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767" w:rsidRDefault="00CE3765">
      <w:pPr>
        <w:spacing w:after="0" w:line="360" w:lineRule="auto"/>
        <w:ind w:right="139"/>
        <w:jc w:val="both"/>
        <w:rPr>
          <w:rFonts w:ascii="Palatino Linotype" w:eastAsia="Palatino Linotype" w:hAnsi="Palatino Linotype" w:cs="Palatino Linotype"/>
          <w:b/>
        </w:rPr>
      </w:pPr>
      <w:bookmarkStart w:id="0" w:name="_heading=h.30j0zll" w:colFirst="0" w:colLast="0"/>
      <w:bookmarkEnd w:id="0"/>
      <w:r>
        <w:rPr>
          <w:rFonts w:ascii="Palatino Linotype" w:eastAsia="Palatino Linotype" w:hAnsi="Palatino Linotype" w:cs="Palatino Linotype"/>
          <w:b/>
        </w:rPr>
        <w:t xml:space="preserve">VOTO DISIDENTE </w:t>
      </w:r>
      <w:r w:rsidR="005B1311">
        <w:rPr>
          <w:rFonts w:ascii="Palatino Linotype" w:eastAsia="Palatino Linotype" w:hAnsi="Palatino Linotype" w:cs="Palatino Linotype"/>
          <w:b/>
        </w:rPr>
        <w:t xml:space="preserve">CONCURRENTE </w:t>
      </w:r>
      <w:r>
        <w:rPr>
          <w:rFonts w:ascii="Palatino Linotype" w:eastAsia="Palatino Linotype" w:hAnsi="Palatino Linotype" w:cs="Palatino Linotype"/>
          <w:b/>
        </w:rPr>
        <w:t>QUE FORMULA</w:t>
      </w:r>
      <w:r w:rsidR="00495C33">
        <w:rPr>
          <w:rFonts w:ascii="Palatino Linotype" w:eastAsia="Palatino Linotype" w:hAnsi="Palatino Linotype" w:cs="Palatino Linotype"/>
          <w:b/>
        </w:rPr>
        <w:t>N</w:t>
      </w:r>
      <w:r>
        <w:rPr>
          <w:rFonts w:ascii="Palatino Linotype" w:eastAsia="Palatino Linotype" w:hAnsi="Palatino Linotype" w:cs="Palatino Linotype"/>
          <w:b/>
        </w:rPr>
        <w:t xml:space="preserve"> LA</w:t>
      </w:r>
      <w:r w:rsidR="00495C33">
        <w:rPr>
          <w:rFonts w:ascii="Palatino Linotype" w:eastAsia="Palatino Linotype" w:hAnsi="Palatino Linotype" w:cs="Palatino Linotype"/>
          <w:b/>
        </w:rPr>
        <w:t>S</w:t>
      </w:r>
      <w:r>
        <w:rPr>
          <w:rFonts w:ascii="Palatino Linotype" w:eastAsia="Palatino Linotype" w:hAnsi="Palatino Linotype" w:cs="Palatino Linotype"/>
          <w:b/>
        </w:rPr>
        <w:t xml:space="preserve"> COMISIONADA</w:t>
      </w:r>
      <w:r w:rsidR="00495C33">
        <w:rPr>
          <w:rFonts w:ascii="Palatino Linotype" w:eastAsia="Palatino Linotype" w:hAnsi="Palatino Linotype" w:cs="Palatino Linotype"/>
          <w:b/>
        </w:rPr>
        <w:t>S</w:t>
      </w:r>
      <w:r>
        <w:rPr>
          <w:rFonts w:ascii="Palatino Linotype" w:eastAsia="Palatino Linotype" w:hAnsi="Palatino Linotype" w:cs="Palatino Linotype"/>
          <w:b/>
        </w:rPr>
        <w:t xml:space="preserve"> GUADALUPE RAMÍREZ PEÑA</w:t>
      </w:r>
      <w:r w:rsidR="00495C33">
        <w:rPr>
          <w:rFonts w:ascii="Palatino Linotype" w:eastAsia="Palatino Linotype" w:hAnsi="Palatino Linotype" w:cs="Palatino Linotype"/>
          <w:b/>
        </w:rPr>
        <w:t xml:space="preserve"> Y SHARON CRISTINA MORALES MARTÍNEZ</w:t>
      </w:r>
      <w:r>
        <w:rPr>
          <w:rFonts w:ascii="Palatino Linotype" w:eastAsia="Palatino Linotype" w:hAnsi="Palatino Linotype" w:cs="Palatino Linotype"/>
          <w:b/>
        </w:rPr>
        <w:t>, EN RELACIÓN CON LA RESOLUCIÓN DICTADA POR EL PLENO DEL INSTITUTO DE TRANSPARENCIA, ACCESO A LA INFORMACIÓN PÚBLICA Y PROTECCIÓN DE DATOS PERSONALES DEL ESTADO</w:t>
      </w:r>
      <w:r w:rsidR="005B1311">
        <w:rPr>
          <w:rFonts w:ascii="Palatino Linotype" w:eastAsia="Palatino Linotype" w:hAnsi="Palatino Linotype" w:cs="Palatino Linotype"/>
          <w:b/>
        </w:rPr>
        <w:t xml:space="preserve"> DE MÉXICO Y MUNICIPIOS, EN LA TERCERA</w:t>
      </w:r>
      <w:r>
        <w:rPr>
          <w:rFonts w:ascii="Palatino Linotype" w:eastAsia="Palatino Linotype" w:hAnsi="Palatino Linotype" w:cs="Palatino Linotype"/>
          <w:b/>
        </w:rPr>
        <w:t xml:space="preserve"> SESIÓN ORDINARIA CELEBRADA EL </w:t>
      </w:r>
      <w:r w:rsidR="005B1311">
        <w:rPr>
          <w:rFonts w:ascii="Palatino Linotype" w:eastAsia="Palatino Linotype" w:hAnsi="Palatino Linotype" w:cs="Palatino Linotype"/>
          <w:b/>
        </w:rPr>
        <w:t>VEINTICINCO DE ENERO</w:t>
      </w:r>
      <w:r>
        <w:rPr>
          <w:rFonts w:ascii="Palatino Linotype" w:eastAsia="Palatino Linotype" w:hAnsi="Palatino Linotype" w:cs="Palatino Linotype"/>
          <w:b/>
        </w:rPr>
        <w:t xml:space="preserve"> DE DOS MIL VEINTITRÉS,</w:t>
      </w:r>
      <w:r w:rsidR="005B1311">
        <w:rPr>
          <w:rFonts w:ascii="Palatino Linotype" w:eastAsia="Palatino Linotype" w:hAnsi="Palatino Linotype" w:cs="Palatino Linotype"/>
          <w:b/>
        </w:rPr>
        <w:t xml:space="preserve"> EN EL RECURSO DE REVISIÓN 15261</w:t>
      </w:r>
      <w:r>
        <w:rPr>
          <w:rFonts w:ascii="Palatino Linotype" w:eastAsia="Palatino Linotype" w:hAnsi="Palatino Linotype" w:cs="Palatino Linotype"/>
          <w:b/>
        </w:rPr>
        <w:t xml:space="preserve">/INFOEM/IP/RR/2022. </w:t>
      </w:r>
    </w:p>
    <w:p w:rsidR="00182767" w:rsidRDefault="00182767">
      <w:pPr>
        <w:spacing w:after="0" w:line="360" w:lineRule="auto"/>
        <w:ind w:right="139"/>
        <w:jc w:val="both"/>
        <w:rPr>
          <w:rFonts w:ascii="Palatino Linotype" w:eastAsia="Palatino Linotype" w:hAnsi="Palatino Linotype" w:cs="Palatino Linotype"/>
          <w:b/>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Con fundamento en lo dispuesto por el artículo 14, fracciones X y XI, del Reglamento del Instituto de Transparencia, Acceso a la Información Pública y Protección de Datos Personales del Es</w:t>
      </w:r>
      <w:r w:rsidR="005B1311">
        <w:rPr>
          <w:rFonts w:ascii="Palatino Linotype" w:eastAsia="Palatino Linotype" w:hAnsi="Palatino Linotype" w:cs="Palatino Linotype"/>
        </w:rPr>
        <w:t xml:space="preserve">tado de México y Municipios, las </w:t>
      </w:r>
      <w:r>
        <w:rPr>
          <w:rFonts w:ascii="Palatino Linotype" w:eastAsia="Palatino Linotype" w:hAnsi="Palatino Linotype" w:cs="Palatino Linotype"/>
        </w:rPr>
        <w:t>que suscribe</w:t>
      </w:r>
      <w:r w:rsidR="005B1311">
        <w:rPr>
          <w:rFonts w:ascii="Palatino Linotype" w:eastAsia="Palatino Linotype" w:hAnsi="Palatino Linotype" w:cs="Palatino Linotype"/>
        </w:rPr>
        <w:t>n</w:t>
      </w:r>
      <w:r>
        <w:rPr>
          <w:rFonts w:ascii="Palatino Linotype" w:eastAsia="Palatino Linotype" w:hAnsi="Palatino Linotype" w:cs="Palatino Linotype"/>
        </w:rPr>
        <w:t>, Guadalupe Ramírez Peña</w:t>
      </w:r>
      <w:r w:rsidR="005B1311">
        <w:rPr>
          <w:rFonts w:ascii="Palatino Linotype" w:eastAsia="Palatino Linotype" w:hAnsi="Palatino Linotype" w:cs="Palatino Linotype"/>
        </w:rPr>
        <w:t xml:space="preserve"> y Sharon Cristina Morales Martínez</w:t>
      </w:r>
      <w:r>
        <w:rPr>
          <w:rFonts w:ascii="Palatino Linotype" w:eastAsia="Palatino Linotype" w:hAnsi="Palatino Linotype" w:cs="Palatino Linotype"/>
        </w:rPr>
        <w:t>, emite</w:t>
      </w:r>
      <w:r w:rsidR="005B1311">
        <w:rPr>
          <w:rFonts w:ascii="Palatino Linotype" w:eastAsia="Palatino Linotype" w:hAnsi="Palatino Linotype" w:cs="Palatino Linotype"/>
        </w:rPr>
        <w:t>n</w:t>
      </w:r>
      <w:r>
        <w:rPr>
          <w:rFonts w:ascii="Palatino Linotype" w:eastAsia="Palatino Linotype" w:hAnsi="Palatino Linotype" w:cs="Palatino Linotype"/>
        </w:rPr>
        <w:t xml:space="preserve"> </w:t>
      </w:r>
      <w:r w:rsidR="005B1311">
        <w:rPr>
          <w:rFonts w:ascii="Palatino Linotype" w:eastAsia="Palatino Linotype" w:hAnsi="Palatino Linotype" w:cs="Palatino Linotype"/>
          <w:b/>
        </w:rPr>
        <w:t xml:space="preserve">VOTO DISIDENTE CONCURRENTE </w:t>
      </w:r>
      <w:r>
        <w:rPr>
          <w:rFonts w:ascii="Palatino Linotype" w:eastAsia="Palatino Linotype" w:hAnsi="Palatino Linotype" w:cs="Palatino Linotype"/>
        </w:rPr>
        <w:t xml:space="preserve">respecto a la resolución dictada en el recurso de revisión número </w:t>
      </w:r>
      <w:r w:rsidR="005B1311">
        <w:rPr>
          <w:rFonts w:ascii="Palatino Linotype" w:eastAsia="Palatino Linotype" w:hAnsi="Palatino Linotype" w:cs="Palatino Linotype"/>
          <w:b/>
        </w:rPr>
        <w:t>15261</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pronunciada por el Pleno de este Instituto ante el proyecto presentado por el Comisionado Luis Gustavo Parra Noriega, al tenor siguiente: </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b/>
        </w:rPr>
        <w:t>I. Antecedentes.</w:t>
      </w:r>
    </w:p>
    <w:p w:rsidR="00182767" w:rsidRDefault="00182767">
      <w:pPr>
        <w:spacing w:after="0" w:line="360" w:lineRule="auto"/>
        <w:ind w:right="139"/>
        <w:jc w:val="both"/>
        <w:rPr>
          <w:rFonts w:ascii="Palatino Linotype" w:eastAsia="Palatino Linotype" w:hAnsi="Palatino Linotype" w:cs="Palatino Linotype"/>
        </w:rPr>
      </w:pPr>
    </w:p>
    <w:p w:rsidR="00182767" w:rsidRPr="005B1311" w:rsidRDefault="00CE3765">
      <w:pPr>
        <w:spacing w:after="0" w:line="360" w:lineRule="auto"/>
        <w:ind w:right="139"/>
        <w:jc w:val="both"/>
        <w:rPr>
          <w:rFonts w:ascii="Palatino Linotype" w:eastAsia="Palatino Linotype" w:hAnsi="Palatino Linotype" w:cs="Palatino Linotype"/>
          <w:b/>
        </w:rPr>
      </w:pPr>
      <w:r>
        <w:rPr>
          <w:rFonts w:ascii="Palatino Linotype" w:eastAsia="Palatino Linotype" w:hAnsi="Palatino Linotype" w:cs="Palatino Linotype"/>
        </w:rPr>
        <w:t>Como quedó debidamente asentado en la resolución, materia del presente voto disidente</w:t>
      </w:r>
      <w:r w:rsidR="005B1311">
        <w:rPr>
          <w:rFonts w:ascii="Palatino Linotype" w:eastAsia="Palatino Linotype" w:hAnsi="Palatino Linotype" w:cs="Palatino Linotype"/>
        </w:rPr>
        <w:t xml:space="preserve"> concurrente</w:t>
      </w:r>
      <w:r>
        <w:rPr>
          <w:rFonts w:ascii="Palatino Linotype" w:eastAsia="Palatino Linotype" w:hAnsi="Palatino Linotype" w:cs="Palatino Linotype"/>
        </w:rPr>
        <w:t xml:space="preserve"> la pretensión de la persona solicitante, a través de una solicitud de información número </w:t>
      </w:r>
      <w:r w:rsidR="005B1311">
        <w:rPr>
          <w:rFonts w:ascii="Palatino Linotype" w:eastAsia="Palatino Linotype" w:hAnsi="Palatino Linotype" w:cs="Palatino Linotype"/>
          <w:b/>
        </w:rPr>
        <w:t>00098</w:t>
      </w:r>
      <w:r>
        <w:rPr>
          <w:rFonts w:ascii="Palatino Linotype" w:eastAsia="Palatino Linotype" w:hAnsi="Palatino Linotype" w:cs="Palatino Linotype"/>
          <w:b/>
        </w:rPr>
        <w:t>/</w:t>
      </w:r>
      <w:r w:rsidR="005B1311">
        <w:rPr>
          <w:rFonts w:ascii="Palatino Linotype" w:eastAsia="Palatino Linotype" w:hAnsi="Palatino Linotype" w:cs="Palatino Linotype"/>
          <w:b/>
        </w:rPr>
        <w:t>IHAEM</w:t>
      </w:r>
      <w:r>
        <w:rPr>
          <w:rFonts w:ascii="Palatino Linotype" w:eastAsia="Palatino Linotype" w:hAnsi="Palatino Linotype" w:cs="Palatino Linotype"/>
          <w:b/>
        </w:rPr>
        <w:t>/IP/2022</w:t>
      </w:r>
      <w:r>
        <w:rPr>
          <w:rFonts w:ascii="Palatino Linotype" w:eastAsia="Palatino Linotype" w:hAnsi="Palatino Linotype" w:cs="Palatino Linotype"/>
        </w:rPr>
        <w:t xml:space="preserve"> era obtener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5B1311">
        <w:rPr>
          <w:rFonts w:ascii="Palatino Linotype" w:eastAsia="Palatino Linotype" w:hAnsi="Palatino Linotype" w:cs="Palatino Linotype"/>
        </w:rPr>
        <w:t xml:space="preserve">el </w:t>
      </w:r>
      <w:r w:rsidR="005B1311">
        <w:rPr>
          <w:rFonts w:ascii="Palatino Linotype" w:eastAsia="Palatino Linotype" w:hAnsi="Palatino Linotype" w:cs="Palatino Linotype"/>
          <w:b/>
        </w:rPr>
        <w:t xml:space="preserve">organigrama con clave programática del año dos mil veintidós. </w:t>
      </w:r>
    </w:p>
    <w:p w:rsidR="00182767" w:rsidRDefault="00182767">
      <w:pPr>
        <w:spacing w:after="0" w:line="360" w:lineRule="auto"/>
        <w:ind w:right="139"/>
        <w:jc w:val="both"/>
        <w:rPr>
          <w:rFonts w:ascii="Palatino Linotype" w:eastAsia="Palatino Linotype" w:hAnsi="Palatino Linotype" w:cs="Palatino Linotype"/>
        </w:rPr>
      </w:pPr>
    </w:p>
    <w:p w:rsidR="00182767" w:rsidRDefault="00CE376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respuesta, el </w:t>
      </w:r>
      <w:r>
        <w:rPr>
          <w:rFonts w:ascii="Palatino Linotype" w:eastAsia="Palatino Linotype" w:hAnsi="Palatino Linotype" w:cs="Palatino Linotype"/>
          <w:b/>
        </w:rPr>
        <w:t>Sujeto Obligado</w:t>
      </w:r>
      <w:r w:rsidR="005B1311">
        <w:rPr>
          <w:rFonts w:ascii="Palatino Linotype" w:eastAsia="Palatino Linotype" w:hAnsi="Palatino Linotype" w:cs="Palatino Linotype"/>
        </w:rPr>
        <w:t xml:space="preserve"> mediante el Jefe de la Unidad de Administración y Finanzas refirió que el organigrama podía ser consultado a través de una liga electrónica que redirige al Portal de Información de Oficio Mexiquense, sin embargo, en relación con las claves programáticas, se trataba de información que poseía la Secretaría de Finanzas del Gobierno del Estado. </w:t>
      </w:r>
    </w:p>
    <w:p w:rsidR="00182767" w:rsidRDefault="00182767">
      <w:pPr>
        <w:spacing w:after="0" w:line="360" w:lineRule="auto"/>
        <w:jc w:val="both"/>
        <w:rPr>
          <w:rFonts w:ascii="Palatino Linotype" w:eastAsia="Palatino Linotype" w:hAnsi="Palatino Linotype" w:cs="Palatino Linotype"/>
        </w:rPr>
      </w:pPr>
    </w:p>
    <w:p w:rsidR="00182767" w:rsidRDefault="00CE3765">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ello, el Particul</w:t>
      </w:r>
      <w:r w:rsidR="005B1311">
        <w:rPr>
          <w:rFonts w:ascii="Palatino Linotype" w:eastAsia="Palatino Linotype" w:hAnsi="Palatino Linotype" w:cs="Palatino Linotype"/>
        </w:rPr>
        <w:t>ar se inconformó arguyendo que no se le habían proporcionado las claves programáticas.</w:t>
      </w:r>
    </w:p>
    <w:p w:rsidR="00182767" w:rsidRDefault="00182767">
      <w:pPr>
        <w:spacing w:after="0" w:line="360" w:lineRule="auto"/>
        <w:jc w:val="both"/>
        <w:rPr>
          <w:rFonts w:ascii="Palatino Linotype" w:eastAsia="Palatino Linotype" w:hAnsi="Palatino Linotype" w:cs="Palatino Linotype"/>
          <w:b/>
        </w:rPr>
      </w:pPr>
    </w:p>
    <w:p w:rsidR="00182767" w:rsidRDefault="00CE3765">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r>
        <w:rPr>
          <w:rFonts w:ascii="Palatino Linotype" w:eastAsia="Palatino Linotype" w:hAnsi="Palatino Linotype" w:cs="Palatino Linotype"/>
        </w:rPr>
        <w:t>Admitido el recurso de revisión, en términos del artículo 185 fracción II</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que, por su parte, el Sujeto Obligado </w:t>
      </w:r>
      <w:r w:rsidR="005B1311">
        <w:rPr>
          <w:rFonts w:ascii="Palatino Linotype" w:eastAsia="Palatino Linotype" w:hAnsi="Palatino Linotype" w:cs="Palatino Linotype"/>
        </w:rPr>
        <w:t xml:space="preserve">ratificó su respuesta inicial mencionando que no contaba con un organigrama con claves programáticas. </w:t>
      </w:r>
    </w:p>
    <w:p w:rsidR="00182767" w:rsidRDefault="00182767">
      <w:pPr>
        <w:pBdr>
          <w:top w:val="nil"/>
          <w:left w:val="nil"/>
          <w:bottom w:val="nil"/>
          <w:right w:val="nil"/>
          <w:between w:val="nil"/>
        </w:pBdr>
        <w:spacing w:after="0" w:line="360" w:lineRule="auto"/>
        <w:ind w:right="142"/>
        <w:jc w:val="both"/>
        <w:rPr>
          <w:rFonts w:ascii="Palatino Linotype" w:eastAsia="Palatino Linotype" w:hAnsi="Palatino Linotype" w:cs="Palatino Linotype"/>
        </w:rPr>
      </w:pPr>
    </w:p>
    <w:p w:rsidR="00182767" w:rsidRDefault="005B1311">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del estudio realizado por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se concluyó que si bien, la clave programática no guarda relación con las unidades administrativas, pues estas sirven para identificar un tema, proyecto o programa, también lo es que, la información que se relaciona con las unidades administrativas es la denominada Clasificación Administrativa. </w:t>
      </w:r>
    </w:p>
    <w:p w:rsidR="005B1311" w:rsidRDefault="005B1311">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Del mismo modo,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refirió que los Particulares al no ser peritos en la materia, no tenían la obligación de conocer el nombre de los concepto a los cuales requerían tener acceso, por lo que si bien, el ahora Recurrente, había hecho alusión a que requería las claves programáticas de las áreas que conforman la estructura orgánica del Sujeto Obligado, también lo es que su pretensión real era obtener la codificación o clave con la cual se identificaba cada una de las unidades administrativas. </w:t>
      </w:r>
    </w:p>
    <w:p w:rsidR="00182767" w:rsidRDefault="00182767">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182767" w:rsidRDefault="005B1311">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Sobre dicha situación, la Ponencia determinó que las manifestaciones del Sujeto Obligado tanto en respuesta como en informe justificado, fueron restrictivas, pues contaba con los elementos </w:t>
      </w:r>
      <w:r w:rsidR="00C23B05">
        <w:rPr>
          <w:rFonts w:ascii="Palatino Linotype" w:eastAsia="Palatino Linotype" w:hAnsi="Palatino Linotype" w:cs="Palatino Linotype"/>
        </w:rPr>
        <w:t xml:space="preserve">suficientes para poder vislumbrar que la pretensión del Solicitante, era obtener la codificación de las unidades administrativas, en por lo que, ordenó la siguiente información: </w:t>
      </w:r>
    </w:p>
    <w:p w:rsidR="00C23B05" w:rsidRPr="00C23B05" w:rsidRDefault="00C23B05" w:rsidP="00C23B05">
      <w:pPr>
        <w:tabs>
          <w:tab w:val="left" w:pos="4962"/>
        </w:tabs>
        <w:spacing w:after="0" w:line="360" w:lineRule="auto"/>
        <w:contextualSpacing/>
        <w:rPr>
          <w:rFonts w:eastAsia="Times New Roman" w:cs="Tahoma"/>
          <w:b/>
          <w:bCs/>
          <w:sz w:val="20"/>
          <w:lang w:eastAsia="es-ES"/>
        </w:rPr>
      </w:pPr>
    </w:p>
    <w:p w:rsidR="00C23B05" w:rsidRPr="00C23B05" w:rsidRDefault="00C23B05" w:rsidP="00C23B05">
      <w:pPr>
        <w:pStyle w:val="Prrafodelista"/>
        <w:numPr>
          <w:ilvl w:val="0"/>
          <w:numId w:val="3"/>
        </w:numPr>
        <w:tabs>
          <w:tab w:val="left" w:pos="4962"/>
        </w:tabs>
        <w:spacing w:line="360" w:lineRule="auto"/>
        <w:ind w:right="758"/>
        <w:jc w:val="both"/>
        <w:rPr>
          <w:rFonts w:ascii="Palatino Linotype" w:eastAsia="Times New Roman" w:hAnsi="Palatino Linotype" w:cs="Tahoma"/>
          <w:b/>
          <w:bCs/>
          <w:sz w:val="22"/>
        </w:rPr>
      </w:pPr>
      <w:r w:rsidRPr="00C23B05">
        <w:rPr>
          <w:rFonts w:ascii="Palatino Linotype" w:eastAsia="Times New Roman" w:hAnsi="Palatino Linotype" w:cs="Tahoma"/>
          <w:b/>
          <w:sz w:val="22"/>
        </w:rPr>
        <w:t>Los documentos donde conste la codificación administrativa de las áreas que conforman el organigrama referido en respuesta.</w:t>
      </w:r>
    </w:p>
    <w:p w:rsidR="00182767" w:rsidRDefault="00182767">
      <w:pPr>
        <w:pBdr>
          <w:top w:val="nil"/>
          <w:left w:val="nil"/>
          <w:bottom w:val="nil"/>
          <w:right w:val="nil"/>
          <w:between w:val="nil"/>
        </w:pBdr>
        <w:spacing w:after="0" w:line="360" w:lineRule="auto"/>
        <w:ind w:right="616"/>
        <w:jc w:val="both"/>
        <w:rPr>
          <w:rFonts w:ascii="Palatino Linotype" w:eastAsia="Palatino Linotype" w:hAnsi="Palatino Linotype" w:cs="Palatino Linotype"/>
        </w:rPr>
      </w:pPr>
    </w:p>
    <w:p w:rsidR="00182767" w:rsidRDefault="00C23B05">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Por lo anterior, se realizan </w:t>
      </w:r>
      <w:r w:rsidR="00CE3765">
        <w:rPr>
          <w:rFonts w:ascii="Palatino Linotype" w:eastAsia="Palatino Linotype" w:hAnsi="Palatino Linotype" w:cs="Palatino Linotype"/>
        </w:rPr>
        <w:t xml:space="preserve">las siguientes consideraciones. </w:t>
      </w:r>
    </w:p>
    <w:p w:rsidR="00182767" w:rsidRDefault="00182767">
      <w:pPr>
        <w:pBdr>
          <w:top w:val="nil"/>
          <w:left w:val="nil"/>
          <w:bottom w:val="nil"/>
          <w:right w:val="nil"/>
          <w:between w:val="nil"/>
        </w:pBdr>
        <w:spacing w:after="0" w:line="360" w:lineRule="auto"/>
        <w:ind w:right="139"/>
        <w:jc w:val="both"/>
        <w:rPr>
          <w:rFonts w:ascii="Palatino Linotype" w:eastAsia="Palatino Linotype" w:hAnsi="Palatino Linotype" w:cs="Palatino Linotype"/>
        </w:rPr>
      </w:pPr>
    </w:p>
    <w:p w:rsidR="00182767" w:rsidRDefault="00CE3765">
      <w:pPr>
        <w:spacing w:after="0" w:line="360" w:lineRule="auto"/>
        <w:ind w:right="539"/>
        <w:jc w:val="both"/>
        <w:rPr>
          <w:rFonts w:ascii="Palatino Linotype" w:eastAsia="Palatino Linotype" w:hAnsi="Palatino Linotype" w:cs="Palatino Linotype"/>
          <w:b/>
        </w:rPr>
      </w:pPr>
      <w:r>
        <w:rPr>
          <w:rFonts w:ascii="Palatino Linotype" w:eastAsia="Palatino Linotype" w:hAnsi="Palatino Linotype" w:cs="Palatino Linotype"/>
          <w:b/>
        </w:rPr>
        <w:t xml:space="preserve">II. Razones del Voto Disidente. </w:t>
      </w:r>
    </w:p>
    <w:p w:rsidR="00182767" w:rsidRDefault="00182767">
      <w:pPr>
        <w:spacing w:after="0" w:line="360" w:lineRule="auto"/>
        <w:ind w:right="539"/>
        <w:jc w:val="both"/>
        <w:rPr>
          <w:rFonts w:ascii="Palatino Linotype" w:eastAsia="Palatino Linotype" w:hAnsi="Palatino Linotype" w:cs="Palatino Linotype"/>
          <w:b/>
          <w:highlight w:val="red"/>
        </w:rPr>
      </w:pPr>
    </w:p>
    <w:p w:rsidR="00C23B05"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términos generales es de señalar que no se comparte el sentido de la resolución emitida por el Comisionado, debido a que, el Particular realizó una solicitud de información </w:t>
      </w:r>
      <w:r w:rsidR="00C23B05">
        <w:rPr>
          <w:rFonts w:ascii="Palatino Linotype" w:eastAsia="Palatino Linotype" w:hAnsi="Palatino Linotype" w:cs="Palatino Linotype"/>
        </w:rPr>
        <w:t xml:space="preserve">en la </w:t>
      </w:r>
      <w:r w:rsidR="00C23B05" w:rsidRPr="00C23B05">
        <w:rPr>
          <w:rFonts w:ascii="Palatino Linotype" w:eastAsia="Palatino Linotype" w:hAnsi="Palatino Linotype" w:cs="Palatino Linotype"/>
        </w:rPr>
        <w:t xml:space="preserve">que a la </w:t>
      </w:r>
      <w:r w:rsidR="00C23B05" w:rsidRPr="00C23B05">
        <w:rPr>
          <w:rFonts w:ascii="Palatino Linotype" w:eastAsia="Palatino Linotype" w:hAnsi="Palatino Linotype" w:cs="Palatino Linotype"/>
          <w:b/>
          <w:u w:val="single"/>
        </w:rPr>
        <w:t>literalidad solicitó el organigrama con claves programáticas</w:t>
      </w:r>
      <w:r w:rsidR="00C23B05">
        <w:rPr>
          <w:rFonts w:ascii="Palatino Linotype" w:eastAsia="Palatino Linotype" w:hAnsi="Palatino Linotype" w:cs="Palatino Linotype"/>
        </w:rPr>
        <w:t xml:space="preserve">, hecho que llevó a que el servidor público competente del Sujeto Obligado señalara que no contaba con un </w:t>
      </w:r>
      <w:r w:rsidR="00C23B05">
        <w:rPr>
          <w:rFonts w:ascii="Palatino Linotype" w:eastAsia="Palatino Linotype" w:hAnsi="Palatino Linotype" w:cs="Palatino Linotype"/>
        </w:rPr>
        <w:lastRenderedPageBreak/>
        <w:t xml:space="preserve">organigrama con claves programáticas, refiriendo así la liga electrónica en donde podía encontrar el organigrama tal como obraba en sus archivos y mencionando que las claves programáticas se encontraban en posesión de la Secretaría de Finanzas. </w:t>
      </w:r>
    </w:p>
    <w:p w:rsidR="00182767" w:rsidRDefault="00182767">
      <w:pPr>
        <w:spacing w:after="0" w:line="360" w:lineRule="auto"/>
        <w:ind w:right="139"/>
        <w:jc w:val="both"/>
        <w:rPr>
          <w:rFonts w:ascii="Palatino Linotype" w:eastAsia="Palatino Linotype" w:hAnsi="Palatino Linotype" w:cs="Palatino Linotype"/>
        </w:rPr>
      </w:pPr>
    </w:p>
    <w:p w:rsidR="00FD6C12"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En ese sentido,</w:t>
      </w:r>
      <w:r w:rsidR="00C23B05">
        <w:rPr>
          <w:rFonts w:ascii="Palatino Linotype" w:eastAsia="Palatino Linotype" w:hAnsi="Palatino Linotype" w:cs="Palatino Linotype"/>
        </w:rPr>
        <w:t xml:space="preserve"> </w:t>
      </w:r>
      <w:r w:rsidR="00FD6C12">
        <w:rPr>
          <w:rFonts w:ascii="Palatino Linotype" w:eastAsia="Palatino Linotype" w:hAnsi="Palatino Linotype" w:cs="Palatino Linotype"/>
        </w:rPr>
        <w:t>como se mencionó</w:t>
      </w:r>
      <w:r w:rsidR="00F84F79">
        <w:rPr>
          <w:rFonts w:ascii="Palatino Linotype" w:eastAsia="Palatino Linotype" w:hAnsi="Palatino Linotype" w:cs="Palatino Linotype"/>
        </w:rPr>
        <w:t xml:space="preserve"> la Ponencia </w:t>
      </w:r>
      <w:proofErr w:type="spellStart"/>
      <w:r w:rsidR="00F84F79">
        <w:rPr>
          <w:rFonts w:ascii="Palatino Linotype" w:eastAsia="Palatino Linotype" w:hAnsi="Palatino Linotype" w:cs="Palatino Linotype"/>
        </w:rPr>
        <w:t>Resolutora</w:t>
      </w:r>
      <w:proofErr w:type="spellEnd"/>
      <w:r w:rsidR="00F84F79">
        <w:rPr>
          <w:rFonts w:ascii="Palatino Linotype" w:eastAsia="Palatino Linotype" w:hAnsi="Palatino Linotype" w:cs="Palatino Linotype"/>
        </w:rPr>
        <w:t xml:space="preserve"> </w:t>
      </w:r>
      <w:r w:rsidR="00FD6C12">
        <w:rPr>
          <w:rFonts w:ascii="Palatino Linotype" w:eastAsia="Palatino Linotype" w:hAnsi="Palatino Linotype" w:cs="Palatino Linotype"/>
        </w:rPr>
        <w:t xml:space="preserve">interpretó la solicitud de información, señalando que las claves programáticas solicitadas, si bien, </w:t>
      </w:r>
      <w:r w:rsidR="00C23B05">
        <w:rPr>
          <w:rFonts w:ascii="Palatino Linotype" w:eastAsia="Palatino Linotype" w:hAnsi="Palatino Linotype" w:cs="Palatino Linotype"/>
        </w:rPr>
        <w:t xml:space="preserve">no guardaban relación con las unidades administrativas, </w:t>
      </w:r>
      <w:r w:rsidR="00FD6C12">
        <w:rPr>
          <w:rFonts w:ascii="Palatino Linotype" w:eastAsia="Palatino Linotype" w:hAnsi="Palatino Linotype" w:cs="Palatino Linotype"/>
        </w:rPr>
        <w:t xml:space="preserve">ya que </w:t>
      </w:r>
      <w:r w:rsidR="00C23B05">
        <w:rPr>
          <w:rFonts w:ascii="Palatino Linotype" w:eastAsia="Palatino Linotype" w:hAnsi="Palatino Linotype" w:cs="Palatino Linotype"/>
        </w:rPr>
        <w:t xml:space="preserve">estas servían únicamente para identificar un tema, proyecto o programa, </w:t>
      </w:r>
      <w:r w:rsidR="00FD6C12">
        <w:rPr>
          <w:rFonts w:ascii="Palatino Linotype" w:eastAsia="Palatino Linotype" w:hAnsi="Palatino Linotype" w:cs="Palatino Linotype"/>
        </w:rPr>
        <w:t xml:space="preserve">también lo es que, debido a que los particulares no son peritos en la materia y no cuentan con la obligación de conocer los nombres técnicos, se concluía que la pretensión del ahora Recurrente, </w:t>
      </w:r>
      <w:r w:rsidR="00FD6C12" w:rsidRPr="00FD6C12">
        <w:rPr>
          <w:rFonts w:ascii="Palatino Linotype" w:eastAsia="Palatino Linotype" w:hAnsi="Palatino Linotype" w:cs="Palatino Linotype"/>
          <w:b/>
          <w:u w:val="single"/>
        </w:rPr>
        <w:t>era obtener la codificación o clave de identificación de cada una de las unidades administrativas.</w:t>
      </w:r>
      <w:r w:rsidR="00FD6C12">
        <w:rPr>
          <w:rFonts w:ascii="Palatino Linotype" w:eastAsia="Palatino Linotype" w:hAnsi="Palatino Linotype" w:cs="Palatino Linotype"/>
        </w:rPr>
        <w:t xml:space="preserve"> </w:t>
      </w:r>
    </w:p>
    <w:p w:rsidR="00FD6C12" w:rsidRDefault="00FD6C12">
      <w:pPr>
        <w:spacing w:after="0" w:line="360" w:lineRule="auto"/>
        <w:ind w:right="139"/>
        <w:jc w:val="both"/>
        <w:rPr>
          <w:rFonts w:ascii="Palatino Linotype" w:eastAsia="Palatino Linotype" w:hAnsi="Palatino Linotype" w:cs="Palatino Linotype"/>
        </w:rPr>
      </w:pPr>
    </w:p>
    <w:p w:rsidR="00FD6C12" w:rsidRDefault="00FD6C12">
      <w:pPr>
        <w:spacing w:after="0" w:line="360" w:lineRule="auto"/>
        <w:ind w:right="139"/>
        <w:jc w:val="both"/>
        <w:rPr>
          <w:rFonts w:ascii="Palatino Linotype" w:hAnsi="Palatino Linotype" w:cs="Tahoma"/>
          <w:lang w:val="es-ES"/>
        </w:rPr>
      </w:pPr>
      <w:r>
        <w:rPr>
          <w:rFonts w:ascii="Palatino Linotype" w:eastAsia="Palatino Linotype" w:hAnsi="Palatino Linotype" w:cs="Palatino Linotype"/>
        </w:rPr>
        <w:t xml:space="preserve">Por lo que, en aplicación del artículo 13 </w:t>
      </w:r>
      <w:r w:rsidRPr="00FD6C12">
        <w:rPr>
          <w:rFonts w:ascii="Palatino Linotype" w:hAnsi="Palatino Linotype" w:cs="Tahoma"/>
          <w:lang w:val="es-ES"/>
        </w:rPr>
        <w:t>de la Ley de Transparencia y Acceso a la Información Pública del Estado de México y Municipios, se considera</w:t>
      </w:r>
      <w:r>
        <w:rPr>
          <w:rFonts w:ascii="Palatino Linotype" w:hAnsi="Palatino Linotype" w:cs="Tahoma"/>
          <w:lang w:val="es-ES"/>
        </w:rPr>
        <w:t>ba</w:t>
      </w:r>
      <w:r w:rsidRPr="00FD6C12">
        <w:rPr>
          <w:rFonts w:ascii="Palatino Linotype" w:hAnsi="Palatino Linotype" w:cs="Tahoma"/>
          <w:lang w:val="es-ES"/>
        </w:rPr>
        <w:t xml:space="preserve"> que el </w:t>
      </w:r>
      <w:r w:rsidR="004B1901">
        <w:rPr>
          <w:rFonts w:ascii="Palatino Linotype" w:hAnsi="Palatino Linotype" w:cs="Tahoma"/>
          <w:lang w:val="es-ES"/>
        </w:rPr>
        <w:t>Recurrente había requerido</w:t>
      </w:r>
      <w:r w:rsidRPr="00FD6C12">
        <w:rPr>
          <w:rFonts w:ascii="Palatino Linotype" w:hAnsi="Palatino Linotype" w:cs="Tahoma"/>
          <w:lang w:val="es-ES"/>
        </w:rPr>
        <w:t xml:space="preserve"> la codificación o clave administrativa de cada una de las unidades administrativas que conforman el Organigrama del Instituto Hacendario del Estado de México.</w:t>
      </w:r>
    </w:p>
    <w:p w:rsidR="00182767" w:rsidRDefault="00182767">
      <w:pPr>
        <w:spacing w:after="0" w:line="360" w:lineRule="auto"/>
        <w:ind w:right="139"/>
        <w:jc w:val="both"/>
        <w:rPr>
          <w:rFonts w:ascii="Palatino Linotype" w:eastAsia="Palatino Linotype" w:hAnsi="Palatino Linotype" w:cs="Palatino Linotype"/>
        </w:rPr>
      </w:pPr>
    </w:p>
    <w:p w:rsidR="004B1901" w:rsidRDefault="004B1901">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destacar que las suscritas consideran que la solicitud de información del presente voto, debió tenerse por atendida; en primera instancia, porque, el Sujeto Obligado le señaló al Particular tanto en respuesta como en informe </w:t>
      </w:r>
      <w:r w:rsidRPr="004B1901">
        <w:rPr>
          <w:rFonts w:ascii="Palatino Linotype" w:eastAsia="Palatino Linotype" w:hAnsi="Palatino Linotype" w:cs="Palatino Linotype"/>
        </w:rPr>
        <w:t>justificado que</w:t>
      </w:r>
      <w:r w:rsidRPr="004B1901">
        <w:rPr>
          <w:rFonts w:ascii="Palatino Linotype" w:eastAsia="Palatino Linotype" w:hAnsi="Palatino Linotype" w:cs="Palatino Linotype"/>
          <w:b/>
          <w:u w:val="single"/>
        </w:rPr>
        <w:t xml:space="preserve"> no poseían un</w:t>
      </w:r>
      <w:r w:rsidRPr="004B1901">
        <w:rPr>
          <w:rFonts w:ascii="Palatino Linotype" w:eastAsia="Palatino Linotype" w:hAnsi="Palatino Linotype" w:cs="Palatino Linotype"/>
          <w:b/>
          <w:i/>
          <w:u w:val="single"/>
        </w:rPr>
        <w:t xml:space="preserve"> </w:t>
      </w:r>
      <w:r w:rsidRPr="004B1901">
        <w:rPr>
          <w:rFonts w:ascii="Palatino Linotype" w:eastAsia="Palatino Linotype" w:hAnsi="Palatino Linotype" w:cs="Palatino Linotype"/>
          <w:b/>
          <w:u w:val="single"/>
        </w:rPr>
        <w:t>organigrama con claves programáticas</w:t>
      </w:r>
      <w:r>
        <w:rPr>
          <w:rFonts w:ascii="Palatino Linotype" w:eastAsia="Palatino Linotype" w:hAnsi="Palatino Linotype" w:cs="Palatino Linotype"/>
        </w:rPr>
        <w:t xml:space="preserve"> y en segunda instancia, porque la Ponencia </w:t>
      </w:r>
      <w:proofErr w:type="spellStart"/>
      <w:r>
        <w:rPr>
          <w:rFonts w:ascii="Palatino Linotype" w:eastAsia="Palatino Linotype" w:hAnsi="Palatino Linotype" w:cs="Palatino Linotype"/>
        </w:rPr>
        <w:t>Resolutora</w:t>
      </w:r>
      <w:proofErr w:type="spellEnd"/>
      <w:r>
        <w:rPr>
          <w:rFonts w:ascii="Palatino Linotype" w:eastAsia="Palatino Linotype" w:hAnsi="Palatino Linotype" w:cs="Palatino Linotype"/>
        </w:rPr>
        <w:t xml:space="preserve"> también determinó lo mismo, en su estudio, sin embargo, de su interpretación ordenó información que no se había solicitado. </w:t>
      </w:r>
    </w:p>
    <w:p w:rsidR="00182767" w:rsidRDefault="004B1901">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lastRenderedPageBreak/>
        <w:t>Dicho de otro modo</w:t>
      </w:r>
      <w:r w:rsidR="00C23B05">
        <w:rPr>
          <w:rFonts w:ascii="Palatino Linotype" w:eastAsia="Palatino Linotype" w:hAnsi="Palatino Linotype" w:cs="Palatino Linotype"/>
        </w:rPr>
        <w:t>, al haberse pronunciado la área administrativa competente</w:t>
      </w:r>
      <w:r w:rsidR="00CE3765">
        <w:rPr>
          <w:rFonts w:ascii="Palatino Linotype" w:eastAsia="Palatino Linotype" w:hAnsi="Palatino Linotype" w:cs="Palatino Linotype"/>
        </w:rPr>
        <w:t xml:space="preserve"> del Sujeto Obligado y al haber referido </w:t>
      </w:r>
      <w:r w:rsidR="00EF4863">
        <w:rPr>
          <w:rFonts w:ascii="Palatino Linotype" w:eastAsia="Palatino Linotype" w:hAnsi="Palatino Linotype" w:cs="Palatino Linotype"/>
        </w:rPr>
        <w:t xml:space="preserve">desde respuesta </w:t>
      </w:r>
      <w:r w:rsidR="00CE3765">
        <w:rPr>
          <w:rFonts w:ascii="Palatino Linotype" w:eastAsia="Palatino Linotype" w:hAnsi="Palatino Linotype" w:cs="Palatino Linotype"/>
        </w:rPr>
        <w:t>que no se había localizado</w:t>
      </w:r>
      <w:r w:rsidR="00EF4863">
        <w:rPr>
          <w:rFonts w:ascii="Palatino Linotype" w:eastAsia="Palatino Linotype" w:hAnsi="Palatino Linotype" w:cs="Palatino Linotype"/>
        </w:rPr>
        <w:t xml:space="preserve"> la información</w:t>
      </w:r>
      <w:r w:rsidR="00CE3765">
        <w:rPr>
          <w:rFonts w:ascii="Palatino Linotype" w:eastAsia="Palatino Linotype" w:hAnsi="Palatino Linotype" w:cs="Palatino Linotype"/>
        </w:rPr>
        <w:t xml:space="preserve"> </w:t>
      </w:r>
      <w:r w:rsidR="00C23B05">
        <w:rPr>
          <w:rFonts w:ascii="Palatino Linotype" w:eastAsia="Palatino Linotype" w:hAnsi="Palatino Linotype" w:cs="Palatino Linotype"/>
        </w:rPr>
        <w:t xml:space="preserve">tal como la requirió el Solicitante, la Ponencia </w:t>
      </w:r>
      <w:proofErr w:type="spellStart"/>
      <w:r w:rsidR="00C23B05">
        <w:rPr>
          <w:rFonts w:ascii="Palatino Linotype" w:eastAsia="Palatino Linotype" w:hAnsi="Palatino Linotype" w:cs="Palatino Linotype"/>
        </w:rPr>
        <w:t>Resolutora</w:t>
      </w:r>
      <w:proofErr w:type="spellEnd"/>
      <w:r w:rsidR="00C23B05">
        <w:rPr>
          <w:rFonts w:ascii="Palatino Linotype" w:eastAsia="Palatino Linotype" w:hAnsi="Palatino Linotype" w:cs="Palatino Linotype"/>
        </w:rPr>
        <w:t xml:space="preserve"> debió </w:t>
      </w:r>
      <w:r w:rsidR="00C23B05">
        <w:rPr>
          <w:rFonts w:ascii="Palatino Linotype" w:eastAsia="Palatino Linotype" w:hAnsi="Palatino Linotype" w:cs="Palatino Linotype"/>
          <w:b/>
        </w:rPr>
        <w:t>CONFIRMAR</w:t>
      </w:r>
      <w:r w:rsidR="00CE3765">
        <w:rPr>
          <w:rFonts w:ascii="Palatino Linotype" w:eastAsia="Palatino Linotype" w:hAnsi="Palatino Linotype" w:cs="Palatino Linotype"/>
        </w:rPr>
        <w:t xml:space="preserve"> el Recurso de Revisión, en atención a lo que establece el artículo 12 de la Ley de Transparencia y Acceso a la Información Pública del Estado de México y Municipios, que a la letra señala que:</w:t>
      </w:r>
    </w:p>
    <w:p w:rsidR="00182767" w:rsidRDefault="00182767">
      <w:pPr>
        <w:spacing w:after="0" w:line="360" w:lineRule="auto"/>
        <w:ind w:right="139"/>
        <w:jc w:val="both"/>
        <w:rPr>
          <w:rFonts w:ascii="Palatino Linotype" w:eastAsia="Palatino Linotype" w:hAnsi="Palatino Linotype" w:cs="Palatino Linotype"/>
        </w:rPr>
      </w:pPr>
    </w:p>
    <w:p w:rsidR="00182767" w:rsidRPr="009365B8" w:rsidRDefault="00CE3765" w:rsidP="009365B8">
      <w:pPr>
        <w:spacing w:after="0" w:line="276" w:lineRule="auto"/>
        <w:ind w:left="567" w:right="900"/>
        <w:jc w:val="both"/>
        <w:rPr>
          <w:rFonts w:ascii="Palatino Linotype" w:eastAsia="Palatino Linotype" w:hAnsi="Palatino Linotype" w:cs="Palatino Linotype"/>
          <w:i/>
          <w:sz w:val="20"/>
        </w:rPr>
      </w:pPr>
      <w:r w:rsidRPr="009365B8">
        <w:rPr>
          <w:rFonts w:ascii="Palatino Linotype" w:eastAsia="Palatino Linotype" w:hAnsi="Palatino Linotype" w:cs="Palatino Linotype"/>
          <w:b/>
          <w:i/>
          <w:sz w:val="20"/>
        </w:rPr>
        <w:t>Artículo 12.</w:t>
      </w:r>
      <w:r w:rsidRPr="009365B8">
        <w:rPr>
          <w:rFonts w:ascii="Palatino Linotype" w:eastAsia="Palatino Linotype" w:hAnsi="Palatino Linotype" w:cs="Palatino Linotype"/>
          <w:i/>
          <w:sz w:val="20"/>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w:t>
      </w:r>
    </w:p>
    <w:p w:rsidR="00182767" w:rsidRDefault="00182767">
      <w:pPr>
        <w:spacing w:after="0" w:line="276" w:lineRule="auto"/>
        <w:ind w:left="567" w:right="900"/>
        <w:jc w:val="both"/>
        <w:rPr>
          <w:rFonts w:ascii="Palatino Linotype" w:eastAsia="Palatino Linotype" w:hAnsi="Palatino Linotype" w:cs="Palatino Linotype"/>
          <w:i/>
        </w:rPr>
      </w:pPr>
    </w:p>
    <w:p w:rsidR="00182767" w:rsidRDefault="00CE3765" w:rsidP="009365B8">
      <w:pPr>
        <w:spacing w:after="0" w:line="276" w:lineRule="auto"/>
        <w:ind w:left="567" w:right="900"/>
        <w:jc w:val="both"/>
        <w:rPr>
          <w:rFonts w:ascii="Palatino Linotype" w:eastAsia="Palatino Linotype" w:hAnsi="Palatino Linotype" w:cs="Palatino Linotype"/>
          <w:i/>
          <w:sz w:val="20"/>
        </w:rPr>
      </w:pPr>
      <w:r w:rsidRPr="009365B8">
        <w:rPr>
          <w:rFonts w:ascii="Palatino Linotype" w:eastAsia="Palatino Linotype" w:hAnsi="Palatino Linotype" w:cs="Palatino Linotype"/>
          <w:i/>
          <w:sz w:val="20"/>
        </w:rPr>
        <w:t>La obligación de proporcionar información no comprende el procesamiento de la misma, ni el presentarla conforme al interés del solicitante; no estarán obligados a generarla, resumirla, efectuar cálculos o practicar investigaciones.</w:t>
      </w:r>
    </w:p>
    <w:p w:rsidR="004B1901" w:rsidRPr="009365B8" w:rsidRDefault="004B1901" w:rsidP="009365B8">
      <w:pPr>
        <w:spacing w:after="0" w:line="276" w:lineRule="auto"/>
        <w:ind w:left="567" w:right="900"/>
        <w:jc w:val="both"/>
        <w:rPr>
          <w:rFonts w:ascii="Palatino Linotype" w:eastAsia="Palatino Linotype" w:hAnsi="Palatino Linotype" w:cs="Palatino Linotype"/>
          <w:i/>
          <w:sz w:val="20"/>
        </w:rPr>
      </w:pPr>
    </w:p>
    <w:p w:rsidR="00182767" w:rsidRDefault="00CE3765">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los sujetos obligados, únicamente están constreñidos a proporcionar la información que obre en sus archivos y en el estado en que esta se encuentre, </w:t>
      </w:r>
      <w:r w:rsidR="00C23B05">
        <w:rPr>
          <w:rFonts w:ascii="Palatino Linotype" w:eastAsia="Palatino Linotype" w:hAnsi="Palatino Linotype" w:cs="Palatino Linotype"/>
        </w:rPr>
        <w:t xml:space="preserve">situación que en el caso que nos ocupa aconteció. </w:t>
      </w:r>
    </w:p>
    <w:p w:rsidR="009365B8" w:rsidRDefault="009365B8">
      <w:pPr>
        <w:spacing w:after="0" w:line="360" w:lineRule="auto"/>
        <w:ind w:right="139"/>
        <w:jc w:val="both"/>
        <w:rPr>
          <w:rFonts w:ascii="Palatino Linotype" w:eastAsia="Palatino Linotype" w:hAnsi="Palatino Linotype" w:cs="Palatino Linotype"/>
        </w:rPr>
      </w:pPr>
    </w:p>
    <w:p w:rsidR="009365B8" w:rsidRDefault="004B1901">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No obstante</w:t>
      </w:r>
      <w:r w:rsidR="009365B8">
        <w:rPr>
          <w:rFonts w:ascii="Palatino Linotype" w:eastAsia="Palatino Linotype" w:hAnsi="Palatino Linotype" w:cs="Palatino Linotype"/>
        </w:rPr>
        <w:t xml:space="preserve">, no pasa desapercibido mencionar </w:t>
      </w:r>
      <w:r>
        <w:rPr>
          <w:rFonts w:ascii="Palatino Linotype" w:eastAsia="Palatino Linotype" w:hAnsi="Palatino Linotype" w:cs="Palatino Linotype"/>
        </w:rPr>
        <w:t xml:space="preserve">que, consideramos que, de ser el caso, la Ponencia </w:t>
      </w:r>
      <w:proofErr w:type="spellStart"/>
      <w:r>
        <w:rPr>
          <w:rFonts w:ascii="Palatino Linotype" w:eastAsia="Palatino Linotype" w:hAnsi="Palatino Linotype" w:cs="Palatino Linotype"/>
        </w:rPr>
        <w:t>Resolutora</w:t>
      </w:r>
      <w:proofErr w:type="spellEnd"/>
      <w:r w:rsidR="009365B8">
        <w:rPr>
          <w:rFonts w:ascii="Palatino Linotype" w:eastAsia="Palatino Linotype" w:hAnsi="Palatino Linotype" w:cs="Palatino Linotype"/>
        </w:rPr>
        <w:t xml:space="preserve"> debió analizar la fuente obligacional de la información solicitada con la finalidad de determinar si en efecto, las claves programáticas se encuentran en posesión de Sujeto Obligado distinto, a saber, la Secretaría de Finanzas. </w:t>
      </w:r>
    </w:p>
    <w:p w:rsidR="009365B8" w:rsidRDefault="009365B8">
      <w:pPr>
        <w:spacing w:after="0" w:line="360" w:lineRule="auto"/>
        <w:ind w:right="139"/>
        <w:jc w:val="both"/>
        <w:rPr>
          <w:rFonts w:ascii="Palatino Linotype" w:eastAsia="Palatino Linotype" w:hAnsi="Palatino Linotype" w:cs="Palatino Linotype"/>
        </w:rPr>
      </w:pPr>
    </w:p>
    <w:p w:rsidR="009365B8" w:rsidRDefault="009365B8">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debido a que por criterio mayoritario del Pleno de este Organismo Garante, se considera que si el Sujeto Obligado no acata lo establecido en el artículo 167 de la Ley de </w:t>
      </w:r>
      <w:r>
        <w:rPr>
          <w:rFonts w:ascii="Palatino Linotype" w:eastAsia="Palatino Linotype" w:hAnsi="Palatino Linotype" w:cs="Palatino Linotype"/>
        </w:rPr>
        <w:lastRenderedPageBreak/>
        <w:t xml:space="preserve">Transparencia y Acceso a la Información Pública del Estado de México y Municipios, que a la letra señala: </w:t>
      </w:r>
    </w:p>
    <w:p w:rsidR="00F84F79" w:rsidRDefault="00F84F79">
      <w:pPr>
        <w:spacing w:after="0" w:line="360" w:lineRule="auto"/>
        <w:ind w:right="139"/>
        <w:jc w:val="both"/>
        <w:rPr>
          <w:rFonts w:ascii="Palatino Linotype" w:eastAsia="Palatino Linotype" w:hAnsi="Palatino Linotype" w:cs="Palatino Linotype"/>
        </w:rPr>
      </w:pPr>
    </w:p>
    <w:p w:rsidR="00F84F79" w:rsidRPr="00F84F79" w:rsidRDefault="00F84F79" w:rsidP="00F84F79">
      <w:pPr>
        <w:spacing w:after="0" w:line="276" w:lineRule="auto"/>
        <w:ind w:left="567" w:right="616"/>
        <w:jc w:val="both"/>
        <w:rPr>
          <w:rFonts w:ascii="Palatino Linotype" w:hAnsi="Palatino Linotype"/>
          <w:i/>
          <w:sz w:val="20"/>
        </w:rPr>
      </w:pPr>
      <w:r w:rsidRPr="00F84F79">
        <w:rPr>
          <w:rFonts w:ascii="Palatino Linotype" w:hAnsi="Palatino Linotype"/>
          <w:b/>
          <w:i/>
          <w:sz w:val="20"/>
        </w:rPr>
        <w:t>Artículo 167.</w:t>
      </w:r>
      <w:r w:rsidRPr="00F84F79">
        <w:rPr>
          <w:rFonts w:ascii="Palatino Linotype" w:hAnsi="Palatino Linotype"/>
          <w:i/>
          <w:sz w:val="20"/>
        </w:rPr>
        <w:t xml:space="preserve"> Cuando las unidades de transparencia determinen la notoria incompetencia por parte de los sujetos obligados, dentro del ámbito de aplicación, para atender la solicitud de acceso a la información, </w:t>
      </w:r>
      <w:r w:rsidRPr="00F84F79">
        <w:rPr>
          <w:rFonts w:ascii="Palatino Linotype" w:hAnsi="Palatino Linotype"/>
          <w:b/>
          <w:i/>
          <w:sz w:val="20"/>
          <w:u w:val="single"/>
        </w:rPr>
        <w:t>deberán comunicarlo al solicitante, dentro de los tres días hábiles posteriores a la recepción de la solicitud y, en su caso orientar al solicitante, el o los sujetos obligados competentes.</w:t>
      </w:r>
      <w:r w:rsidRPr="00F84F79">
        <w:rPr>
          <w:rFonts w:ascii="Palatino Linotype" w:hAnsi="Palatino Linotype"/>
          <w:i/>
          <w:sz w:val="20"/>
        </w:rPr>
        <w:t xml:space="preserve"> </w:t>
      </w:r>
    </w:p>
    <w:p w:rsidR="00F84F79" w:rsidRPr="00F84F79" w:rsidRDefault="00F84F79" w:rsidP="00F84F79">
      <w:pPr>
        <w:spacing w:after="0" w:line="276" w:lineRule="auto"/>
        <w:ind w:left="567" w:right="616"/>
        <w:jc w:val="both"/>
        <w:rPr>
          <w:rFonts w:ascii="Palatino Linotype" w:hAnsi="Palatino Linotype"/>
          <w:i/>
          <w:sz w:val="20"/>
        </w:rPr>
      </w:pPr>
    </w:p>
    <w:p w:rsidR="00F84F79" w:rsidRPr="00F84F79" w:rsidRDefault="00F84F79" w:rsidP="00F84F79">
      <w:pPr>
        <w:spacing w:after="0" w:line="276" w:lineRule="auto"/>
        <w:ind w:left="567" w:right="616"/>
        <w:jc w:val="both"/>
        <w:rPr>
          <w:rFonts w:ascii="Palatino Linotype" w:hAnsi="Palatino Linotype"/>
          <w:i/>
          <w:sz w:val="20"/>
        </w:rPr>
      </w:pPr>
      <w:r w:rsidRPr="00F84F79">
        <w:rPr>
          <w:rFonts w:ascii="Palatino Linotype" w:hAnsi="Palatino Linotype"/>
          <w:i/>
          <w:sz w:val="20"/>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F84F79" w:rsidRPr="00F84F79" w:rsidRDefault="00F84F79" w:rsidP="00F84F79">
      <w:pPr>
        <w:spacing w:after="0" w:line="276" w:lineRule="auto"/>
        <w:ind w:left="567" w:right="616"/>
        <w:jc w:val="both"/>
        <w:rPr>
          <w:rFonts w:ascii="Palatino Linotype" w:hAnsi="Palatino Linotype"/>
          <w:i/>
          <w:sz w:val="20"/>
        </w:rPr>
      </w:pPr>
    </w:p>
    <w:p w:rsidR="00F84F79" w:rsidRPr="00F84F79" w:rsidRDefault="00F84F79" w:rsidP="00F84F79">
      <w:pPr>
        <w:spacing w:after="0" w:line="276" w:lineRule="auto"/>
        <w:ind w:left="567" w:right="616"/>
        <w:jc w:val="both"/>
        <w:rPr>
          <w:rFonts w:ascii="Palatino Linotype" w:eastAsia="Palatino Linotype" w:hAnsi="Palatino Linotype" w:cs="Palatino Linotype"/>
          <w:i/>
          <w:sz w:val="20"/>
        </w:rPr>
      </w:pPr>
      <w:r w:rsidRPr="00F84F79">
        <w:rPr>
          <w:rFonts w:ascii="Palatino Linotype" w:hAnsi="Palatino Linotype"/>
          <w:i/>
          <w:sz w:val="20"/>
        </w:rPr>
        <w:t>Si transcurrido el plazo señalado en el primer párrafo de este artículo, el sujeto obligado no declina la competencia en los términos establecidos, podrá canalizar la solicitud ante el sujeto obligado competente.</w:t>
      </w:r>
    </w:p>
    <w:p w:rsidR="009365B8" w:rsidRDefault="009365B8">
      <w:pPr>
        <w:spacing w:after="0" w:line="360" w:lineRule="auto"/>
        <w:ind w:right="139"/>
        <w:jc w:val="both"/>
        <w:rPr>
          <w:rFonts w:ascii="Palatino Linotype" w:eastAsia="Palatino Linotype" w:hAnsi="Palatino Linotype" w:cs="Palatino Linotype"/>
        </w:rPr>
      </w:pPr>
    </w:p>
    <w:p w:rsidR="009365B8" w:rsidRDefault="009365B8">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Es decir, si lo</w:t>
      </w:r>
      <w:r w:rsidR="00F84F79">
        <w:rPr>
          <w:rFonts w:ascii="Palatino Linotype" w:eastAsia="Palatino Linotype" w:hAnsi="Palatino Linotype" w:cs="Palatino Linotype"/>
        </w:rPr>
        <w:t xml:space="preserve">s sujetos obligados no declinan su competencia dentro de los tres días siguiente al registro de la solicitud de información, estos deberán emitir su Acuerdo de Incompetencia, en el que precisen de manera fundada y motivada las razones por las cuales la información no se encuentra en su posesión. </w:t>
      </w:r>
    </w:p>
    <w:p w:rsidR="00F84F79" w:rsidRDefault="00F84F79">
      <w:pPr>
        <w:spacing w:after="0" w:line="360" w:lineRule="auto"/>
        <w:ind w:right="139"/>
        <w:jc w:val="both"/>
        <w:rPr>
          <w:rFonts w:ascii="Palatino Linotype" w:eastAsia="Palatino Linotype" w:hAnsi="Palatino Linotype" w:cs="Palatino Linotype"/>
        </w:rPr>
      </w:pPr>
    </w:p>
    <w:p w:rsidR="00F84F79" w:rsidRDefault="00F84F79">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Derivado de ello, en el presente asunto, se observa que la solicitud de información fue presentada el </w:t>
      </w:r>
      <w:r>
        <w:rPr>
          <w:rFonts w:ascii="Palatino Linotype" w:eastAsia="Palatino Linotype" w:hAnsi="Palatino Linotype" w:cs="Palatino Linotype"/>
          <w:b/>
        </w:rPr>
        <w:t xml:space="preserve">siete de septiembre de dos mil veintidós </w:t>
      </w:r>
      <w:r>
        <w:rPr>
          <w:rFonts w:ascii="Palatino Linotype" w:eastAsia="Palatino Linotype" w:hAnsi="Palatino Linotype" w:cs="Palatino Linotype"/>
        </w:rPr>
        <w:t xml:space="preserve">y el Sujeto Obligado declinó su competencia en fecha </w:t>
      </w:r>
      <w:r>
        <w:rPr>
          <w:rFonts w:ascii="Palatino Linotype" w:eastAsia="Palatino Linotype" w:hAnsi="Palatino Linotype" w:cs="Palatino Linotype"/>
          <w:b/>
        </w:rPr>
        <w:t>catorce de septiembre de dos mil veintidós</w:t>
      </w:r>
      <w:r>
        <w:rPr>
          <w:rFonts w:ascii="Palatino Linotype" w:eastAsia="Palatino Linotype" w:hAnsi="Palatino Linotype" w:cs="Palatino Linotype"/>
        </w:rPr>
        <w:t xml:space="preserve">, esto es al quinto día hábil siguiente en que se tuvo conocimiento de la solicitud, como se logra observar: </w:t>
      </w:r>
    </w:p>
    <w:p w:rsidR="00F84F79" w:rsidRDefault="00F84F79">
      <w:pPr>
        <w:spacing w:after="0" w:line="360" w:lineRule="auto"/>
        <w:ind w:right="139"/>
        <w:jc w:val="both"/>
        <w:rPr>
          <w:rFonts w:ascii="Palatino Linotype" w:eastAsia="Palatino Linotype" w:hAnsi="Palatino Linotype" w:cs="Palatino Linotype"/>
        </w:rPr>
      </w:pPr>
    </w:p>
    <w:p w:rsidR="00F84F79" w:rsidRDefault="00F84F79" w:rsidP="00F84F79">
      <w:pPr>
        <w:spacing w:after="0" w:line="360" w:lineRule="auto"/>
        <w:ind w:right="139"/>
        <w:jc w:val="center"/>
        <w:rPr>
          <w:rFonts w:ascii="Palatino Linotype" w:eastAsia="Palatino Linotype" w:hAnsi="Palatino Linotype" w:cs="Palatino Linotype"/>
        </w:rPr>
      </w:pPr>
      <w:r w:rsidRPr="00F84F79">
        <w:rPr>
          <w:rFonts w:ascii="Palatino Linotype" w:eastAsia="Palatino Linotype" w:hAnsi="Palatino Linotype" w:cs="Palatino Linotype"/>
          <w:noProof/>
        </w:rPr>
        <w:lastRenderedPageBreak/>
        <w:drawing>
          <wp:inline distT="0" distB="0" distL="0" distR="0" wp14:anchorId="70702CC9" wp14:editId="492AF698">
            <wp:extent cx="5543552" cy="95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4242"/>
                    <a:stretch/>
                  </pic:blipFill>
                  <pic:spPr bwMode="auto">
                    <a:xfrm>
                      <a:off x="0" y="0"/>
                      <a:ext cx="5544324" cy="952633"/>
                    </a:xfrm>
                    <a:prstGeom prst="rect">
                      <a:avLst/>
                    </a:prstGeom>
                    <a:ln>
                      <a:noFill/>
                    </a:ln>
                    <a:extLst>
                      <a:ext uri="{53640926-AAD7-44D8-BBD7-CCE9431645EC}">
                        <a14:shadowObscured xmlns:a14="http://schemas.microsoft.com/office/drawing/2010/main"/>
                      </a:ext>
                    </a:extLst>
                  </pic:spPr>
                </pic:pic>
              </a:graphicData>
            </a:graphic>
          </wp:inline>
        </w:drawing>
      </w:r>
    </w:p>
    <w:p w:rsidR="00F84F79" w:rsidRDefault="00F84F79" w:rsidP="00F84F79">
      <w:pPr>
        <w:spacing w:after="0" w:line="360" w:lineRule="auto"/>
        <w:ind w:right="139"/>
        <w:jc w:val="center"/>
        <w:rPr>
          <w:rFonts w:ascii="Palatino Linotype" w:eastAsia="Palatino Linotype" w:hAnsi="Palatino Linotype" w:cs="Palatino Linotype"/>
        </w:rPr>
      </w:pPr>
    </w:p>
    <w:p w:rsidR="00F84F79" w:rsidRPr="00F84F79" w:rsidRDefault="00F84F79">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toda vez que el Sujeto Obligado no se declaró incompetente dentro del plazo que establece la Ley en la materia, resultaba procedente que emitiera su respectivo Acuerdo de Incompetencia, en términos del artículo 167 de la Ley de Transparencia y Acceso a la Información Pública del Estado de México y Municipios. </w:t>
      </w:r>
    </w:p>
    <w:p w:rsidR="00182767" w:rsidRDefault="00182767">
      <w:pPr>
        <w:spacing w:after="0" w:line="360" w:lineRule="auto"/>
        <w:ind w:right="139"/>
        <w:jc w:val="both"/>
        <w:rPr>
          <w:rFonts w:ascii="Palatino Linotype" w:eastAsia="Palatino Linotype" w:hAnsi="Palatino Linotype" w:cs="Palatino Linotype"/>
        </w:rPr>
      </w:pPr>
    </w:p>
    <w:p w:rsidR="00182767" w:rsidRDefault="00F84F79">
      <w:pPr>
        <w:spacing w:after="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Es por ello que, se considera </w:t>
      </w:r>
      <w:r w:rsidR="00CE3765">
        <w:rPr>
          <w:rFonts w:ascii="Palatino Linotype" w:eastAsia="Palatino Linotype" w:hAnsi="Palatino Linotype" w:cs="Palatino Linotype"/>
        </w:rPr>
        <w:t>qu</w:t>
      </w:r>
      <w:r w:rsidR="00C23B05">
        <w:rPr>
          <w:rFonts w:ascii="Palatino Linotype" w:eastAsia="Palatino Linotype" w:hAnsi="Palatino Linotype" w:cs="Palatino Linotype"/>
        </w:rPr>
        <w:t xml:space="preserve">e </w:t>
      </w:r>
      <w:r>
        <w:rPr>
          <w:rFonts w:ascii="Palatino Linotype" w:eastAsia="Palatino Linotype" w:hAnsi="Palatino Linotype" w:cs="Palatino Linotype"/>
        </w:rPr>
        <w:t xml:space="preserve">el presente asunto </w:t>
      </w:r>
      <w:r w:rsidR="00C23B05">
        <w:rPr>
          <w:rFonts w:ascii="Palatino Linotype" w:eastAsia="Palatino Linotype" w:hAnsi="Palatino Linotype" w:cs="Palatino Linotype"/>
        </w:rPr>
        <w:t>se debió confirmar</w:t>
      </w:r>
      <w:r w:rsidR="00CE3765">
        <w:rPr>
          <w:rFonts w:ascii="Palatino Linotype" w:eastAsia="Palatino Linotype" w:hAnsi="Palatino Linotype" w:cs="Palatino Linotype"/>
        </w:rPr>
        <w:t xml:space="preserve">, toda vez que el Sujeto Obligado </w:t>
      </w:r>
      <w:r w:rsidR="00C23B05">
        <w:rPr>
          <w:rFonts w:ascii="Palatino Linotype" w:eastAsia="Palatino Linotype" w:hAnsi="Palatino Linotype" w:cs="Palatino Linotype"/>
        </w:rPr>
        <w:t xml:space="preserve">mediante respuesta proporcionó la información que obraba en sus </w:t>
      </w:r>
      <w:r>
        <w:rPr>
          <w:rFonts w:ascii="Palatino Linotype" w:eastAsia="Palatino Linotype" w:hAnsi="Palatino Linotype" w:cs="Palatino Linotype"/>
        </w:rPr>
        <w:t>archivos, atendiendo la solicitud de información, o bien, en su caso, en atención al criterio mayoritario del Pleno de este Instituto, se debió modificar y ordenar el Acuerdo de Incompetencia, toda vez que el Sujeto Obligado no se declaró incompetente dentro del plazo establecido para tal efecto</w:t>
      </w:r>
      <w:r w:rsidR="00CE3765">
        <w:rPr>
          <w:rFonts w:ascii="Palatino Linotype" w:eastAsia="Palatino Linotype" w:hAnsi="Palatino Linotype" w:cs="Palatino Linotype"/>
        </w:rPr>
        <w:t>;</w:t>
      </w:r>
      <w:r>
        <w:rPr>
          <w:rFonts w:ascii="Palatino Linotype" w:eastAsia="Palatino Linotype" w:hAnsi="Palatino Linotype" w:cs="Palatino Linotype"/>
        </w:rPr>
        <w:t xml:space="preserve"> determinaciones</w:t>
      </w:r>
      <w:r w:rsidR="00C23B05">
        <w:rPr>
          <w:rFonts w:ascii="Palatino Linotype" w:eastAsia="Palatino Linotype" w:hAnsi="Palatino Linotype" w:cs="Palatino Linotype"/>
        </w:rPr>
        <w:t xml:space="preserve"> que la Ponencia </w:t>
      </w:r>
      <w:proofErr w:type="spellStart"/>
      <w:r w:rsidR="00C23B05">
        <w:rPr>
          <w:rFonts w:ascii="Palatino Linotype" w:eastAsia="Palatino Linotype" w:hAnsi="Palatino Linotype" w:cs="Palatino Linotype"/>
        </w:rPr>
        <w:t>Resolutora</w:t>
      </w:r>
      <w:proofErr w:type="spellEnd"/>
      <w:r w:rsidR="00C23B05">
        <w:rPr>
          <w:rFonts w:ascii="Palatino Linotype" w:eastAsia="Palatino Linotype" w:hAnsi="Palatino Linotype" w:cs="Palatino Linotype"/>
        </w:rPr>
        <w:t xml:space="preserve"> no consider</w:t>
      </w:r>
      <w:r w:rsidR="00495C33">
        <w:rPr>
          <w:rFonts w:ascii="Palatino Linotype" w:eastAsia="Palatino Linotype" w:hAnsi="Palatino Linotype" w:cs="Palatino Linotype"/>
        </w:rPr>
        <w:t>ó y</w:t>
      </w:r>
      <w:r>
        <w:rPr>
          <w:rFonts w:ascii="Palatino Linotype" w:eastAsia="Palatino Linotype" w:hAnsi="Palatino Linotype" w:cs="Palatino Linotype"/>
        </w:rPr>
        <w:t>,</w:t>
      </w:r>
      <w:r w:rsidR="00495C33">
        <w:rPr>
          <w:rFonts w:ascii="Palatino Linotype" w:eastAsia="Palatino Linotype" w:hAnsi="Palatino Linotype" w:cs="Palatino Linotype"/>
        </w:rPr>
        <w:t xml:space="preserve"> por lo que,</w:t>
      </w:r>
      <w:r w:rsidR="00C23B05">
        <w:rPr>
          <w:rFonts w:ascii="Palatino Linotype" w:eastAsia="Palatino Linotype" w:hAnsi="Palatino Linotype" w:cs="Palatino Linotype"/>
        </w:rPr>
        <w:t xml:space="preserve"> </w:t>
      </w:r>
      <w:r w:rsidR="00CE3765">
        <w:rPr>
          <w:rFonts w:ascii="Palatino Linotype" w:eastAsia="Palatino Linotype" w:hAnsi="Palatino Linotype" w:cs="Palatino Linotype"/>
        </w:rPr>
        <w:t>la</w:t>
      </w:r>
      <w:r w:rsidR="00495C33">
        <w:rPr>
          <w:rFonts w:ascii="Palatino Linotype" w:eastAsia="Palatino Linotype" w:hAnsi="Palatino Linotype" w:cs="Palatino Linotype"/>
        </w:rPr>
        <w:t>s</w:t>
      </w:r>
      <w:r w:rsidR="00CE3765">
        <w:rPr>
          <w:rFonts w:ascii="Palatino Linotype" w:eastAsia="Palatino Linotype" w:hAnsi="Palatino Linotype" w:cs="Palatino Linotype"/>
        </w:rPr>
        <w:t xml:space="preserve"> Suscrita</w:t>
      </w:r>
      <w:r w:rsidR="00495C33">
        <w:rPr>
          <w:rFonts w:ascii="Palatino Linotype" w:eastAsia="Palatino Linotype" w:hAnsi="Palatino Linotype" w:cs="Palatino Linotype"/>
        </w:rPr>
        <w:t>s</w:t>
      </w:r>
      <w:r w:rsidR="00CE3765">
        <w:rPr>
          <w:rFonts w:ascii="Palatino Linotype" w:eastAsia="Palatino Linotype" w:hAnsi="Palatino Linotype" w:cs="Palatino Linotype"/>
        </w:rPr>
        <w:t xml:space="preserve"> no comparte</w:t>
      </w:r>
      <w:r w:rsidR="00495C33">
        <w:rPr>
          <w:rFonts w:ascii="Palatino Linotype" w:eastAsia="Palatino Linotype" w:hAnsi="Palatino Linotype" w:cs="Palatino Linotype"/>
        </w:rPr>
        <w:t>n</w:t>
      </w:r>
      <w:r w:rsidR="00CE3765">
        <w:rPr>
          <w:rFonts w:ascii="Palatino Linotype" w:eastAsia="Palatino Linotype" w:hAnsi="Palatino Linotype" w:cs="Palatino Linotype"/>
        </w:rPr>
        <w:t xml:space="preserve"> la resolución emitida</w:t>
      </w:r>
      <w:r w:rsidR="00495C33">
        <w:rPr>
          <w:rFonts w:ascii="Palatino Linotype" w:eastAsia="Palatino Linotype" w:hAnsi="Palatino Linotype" w:cs="Palatino Linotype"/>
        </w:rPr>
        <w:t xml:space="preserve"> y</w:t>
      </w:r>
      <w:r w:rsidR="00CE3765">
        <w:rPr>
          <w:rFonts w:ascii="Palatino Linotype" w:eastAsia="Palatino Linotype" w:hAnsi="Palatino Linotype" w:cs="Palatino Linotype"/>
        </w:rPr>
        <w:t xml:space="preserve"> formula</w:t>
      </w:r>
      <w:r w:rsidR="00495C33">
        <w:rPr>
          <w:rFonts w:ascii="Palatino Linotype" w:eastAsia="Palatino Linotype" w:hAnsi="Palatino Linotype" w:cs="Palatino Linotype"/>
        </w:rPr>
        <w:t>n</w:t>
      </w:r>
      <w:r w:rsidR="00CE3765">
        <w:rPr>
          <w:rFonts w:ascii="Palatino Linotype" w:eastAsia="Palatino Linotype" w:hAnsi="Palatino Linotype" w:cs="Palatino Linotype"/>
        </w:rPr>
        <w:t xml:space="preserve"> el presente voto disidente. </w:t>
      </w: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highlight w:val="red"/>
        </w:rPr>
      </w:pPr>
    </w:p>
    <w:p w:rsidR="00182767" w:rsidRDefault="00182767">
      <w:pPr>
        <w:spacing w:after="0" w:line="360" w:lineRule="auto"/>
        <w:ind w:right="139"/>
        <w:jc w:val="both"/>
        <w:rPr>
          <w:rFonts w:ascii="Palatino Linotype" w:eastAsia="Palatino Linotype" w:hAnsi="Palatino Linotype" w:cs="Palatino Linotype"/>
        </w:rPr>
      </w:pPr>
      <w:bookmarkStart w:id="1" w:name="_heading=h.gjdgxs" w:colFirst="0" w:colLast="0"/>
      <w:bookmarkStart w:id="2" w:name="_GoBack"/>
      <w:bookmarkEnd w:id="1"/>
      <w:bookmarkEnd w:id="2"/>
    </w:p>
    <w:sectPr w:rsidR="00182767">
      <w:headerReference w:type="default" r:id="rId9"/>
      <w:footerReference w:type="default" r:id="rId10"/>
      <w:pgSz w:w="12240" w:h="15840"/>
      <w:pgMar w:top="2438" w:right="1701" w:bottom="2778" w:left="1701" w:header="1134"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77E" w:rsidRDefault="00EA477E">
      <w:pPr>
        <w:spacing w:after="0" w:line="240" w:lineRule="auto"/>
      </w:pPr>
      <w:r>
        <w:separator/>
      </w:r>
    </w:p>
  </w:endnote>
  <w:endnote w:type="continuationSeparator" w:id="0">
    <w:p w:rsidR="00EA477E" w:rsidRDefault="00EA4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67" w:rsidRDefault="00CE3765">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Página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PAGE</w:instrText>
    </w:r>
    <w:r>
      <w:rPr>
        <w:rFonts w:ascii="Times New Roman" w:eastAsia="Times New Roman" w:hAnsi="Times New Roman" w:cs="Times New Roman"/>
        <w:b/>
        <w:color w:val="000000"/>
        <w:sz w:val="20"/>
        <w:szCs w:val="20"/>
      </w:rPr>
      <w:fldChar w:fldCharType="separate"/>
    </w:r>
    <w:r w:rsidR="00AE78FC">
      <w:rPr>
        <w:rFonts w:ascii="Times New Roman" w:eastAsia="Times New Roman" w:hAnsi="Times New Roman" w:cs="Times New Roman"/>
        <w:b/>
        <w:noProof/>
        <w:color w:val="000000"/>
        <w:sz w:val="20"/>
        <w:szCs w:val="20"/>
      </w:rPr>
      <w:t>7</w:t>
    </w:r>
    <w:r>
      <w:rPr>
        <w:rFonts w:ascii="Times New Roman" w:eastAsia="Times New Roman" w:hAnsi="Times New Roman" w:cs="Times New Roman"/>
        <w:b/>
        <w:color w:val="000000"/>
        <w:sz w:val="20"/>
        <w:szCs w:val="20"/>
      </w:rPr>
      <w:fldChar w:fldCharType="end"/>
    </w:r>
    <w:r>
      <w:rPr>
        <w:rFonts w:ascii="Times New Roman" w:eastAsia="Times New Roman" w:hAnsi="Times New Roman" w:cs="Times New Roman"/>
        <w:color w:val="000000"/>
        <w:sz w:val="20"/>
        <w:szCs w:val="20"/>
      </w:rPr>
      <w:t xml:space="preserve"> de </w:t>
    </w:r>
    <w:r>
      <w:rPr>
        <w:rFonts w:ascii="Times New Roman" w:eastAsia="Times New Roman" w:hAnsi="Times New Roman" w:cs="Times New Roman"/>
        <w:b/>
        <w:color w:val="000000"/>
        <w:sz w:val="20"/>
        <w:szCs w:val="20"/>
      </w:rPr>
      <w:fldChar w:fldCharType="begin"/>
    </w:r>
    <w:r>
      <w:rPr>
        <w:rFonts w:ascii="Times New Roman" w:eastAsia="Times New Roman" w:hAnsi="Times New Roman" w:cs="Times New Roman"/>
        <w:b/>
        <w:color w:val="000000"/>
        <w:sz w:val="20"/>
        <w:szCs w:val="20"/>
      </w:rPr>
      <w:instrText>NUMPAGES</w:instrText>
    </w:r>
    <w:r>
      <w:rPr>
        <w:rFonts w:ascii="Times New Roman" w:eastAsia="Times New Roman" w:hAnsi="Times New Roman" w:cs="Times New Roman"/>
        <w:b/>
        <w:color w:val="000000"/>
        <w:sz w:val="20"/>
        <w:szCs w:val="20"/>
      </w:rPr>
      <w:fldChar w:fldCharType="separate"/>
    </w:r>
    <w:r w:rsidR="00AE78FC">
      <w:rPr>
        <w:rFonts w:ascii="Times New Roman" w:eastAsia="Times New Roman" w:hAnsi="Times New Roman" w:cs="Times New Roman"/>
        <w:b/>
        <w:noProof/>
        <w:color w:val="000000"/>
        <w:sz w:val="20"/>
        <w:szCs w:val="20"/>
      </w:rPr>
      <w:t>7</w:t>
    </w:r>
    <w:r>
      <w:rPr>
        <w:rFonts w:ascii="Times New Roman" w:eastAsia="Times New Roman" w:hAnsi="Times New Roman" w:cs="Times New Roman"/>
        <w:b/>
        <w:color w:val="000000"/>
        <w:sz w:val="20"/>
        <w:szCs w:val="20"/>
      </w:rPr>
      <w:fldChar w:fldCharType="end"/>
    </w:r>
  </w:p>
  <w:p w:rsidR="00182767" w:rsidRDefault="0018276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77E" w:rsidRDefault="00EA477E">
      <w:pPr>
        <w:spacing w:after="0" w:line="240" w:lineRule="auto"/>
      </w:pPr>
      <w:r>
        <w:separator/>
      </w:r>
    </w:p>
  </w:footnote>
  <w:footnote w:type="continuationSeparator" w:id="0">
    <w:p w:rsidR="00EA477E" w:rsidRDefault="00EA477E">
      <w:pPr>
        <w:spacing w:after="0" w:line="240" w:lineRule="auto"/>
      </w:pPr>
      <w:r>
        <w:continuationSeparator/>
      </w:r>
    </w:p>
  </w:footnote>
  <w:footnote w:id="1">
    <w:p w:rsidR="00182767" w:rsidRDefault="00CE3765">
      <w:pPr>
        <w:pBdr>
          <w:top w:val="nil"/>
          <w:left w:val="nil"/>
          <w:bottom w:val="nil"/>
          <w:right w:val="nil"/>
          <w:between w:val="nil"/>
        </w:pBdr>
        <w:spacing w:after="0" w:line="360" w:lineRule="auto"/>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rsidR="00182767" w:rsidRDefault="00CE376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767" w:rsidRDefault="00CE376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highlight w:val="yellow"/>
      </w:rPr>
    </w:pPr>
    <w:r>
      <w:rPr>
        <w:rFonts w:ascii="Palatino Linotype" w:eastAsia="Palatino Linotype" w:hAnsi="Palatino Linotype" w:cs="Palatino Linotype"/>
        <w:b/>
        <w:color w:val="000000"/>
        <w:sz w:val="20"/>
        <w:szCs w:val="20"/>
      </w:rPr>
      <w:t>VOTO DISIDENTE</w:t>
    </w:r>
    <w:r>
      <w:rPr>
        <w:noProof/>
      </w:rPr>
      <w:drawing>
        <wp:anchor distT="0" distB="0" distL="0" distR="0" simplePos="0" relativeHeight="251658240" behindDoc="1" locked="0" layoutInCell="1" hidden="0" allowOverlap="1">
          <wp:simplePos x="0" y="0"/>
          <wp:positionH relativeFrom="column">
            <wp:posOffset>-1080134</wp:posOffset>
          </wp:positionH>
          <wp:positionV relativeFrom="paragraph">
            <wp:posOffset>-749299</wp:posOffset>
          </wp:positionV>
          <wp:extent cx="7510628" cy="9883775"/>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sidR="005B1311">
      <w:rPr>
        <w:rFonts w:ascii="Palatino Linotype" w:eastAsia="Palatino Linotype" w:hAnsi="Palatino Linotype" w:cs="Palatino Linotype"/>
        <w:b/>
        <w:color w:val="000000"/>
        <w:sz w:val="20"/>
        <w:szCs w:val="20"/>
      </w:rPr>
      <w:t xml:space="preserve"> CONCURRENTE</w:t>
    </w:r>
  </w:p>
  <w:p w:rsidR="00182767" w:rsidRDefault="005B1311">
    <w:pPr>
      <w:pBdr>
        <w:top w:val="nil"/>
        <w:left w:val="nil"/>
        <w:bottom w:val="nil"/>
        <w:right w:val="nil"/>
        <w:between w:val="nil"/>
      </w:pBdr>
      <w:tabs>
        <w:tab w:val="center" w:pos="4419"/>
        <w:tab w:val="right" w:pos="8838"/>
      </w:tabs>
      <w:spacing w:after="0" w:line="240" w:lineRule="auto"/>
      <w:ind w:left="3261"/>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RECURSO DE REVISIÓN 15261</w:t>
    </w:r>
    <w:r w:rsidR="00CE3765">
      <w:rPr>
        <w:rFonts w:ascii="Palatino Linotype" w:eastAsia="Palatino Linotype" w:hAnsi="Palatino Linotype" w:cs="Palatino Linotype"/>
        <w:b/>
        <w:color w:val="000000"/>
        <w:sz w:val="20"/>
        <w:szCs w:val="20"/>
      </w:rPr>
      <w:t xml:space="preserve">/INFOEM/IP/RR/2022 </w:t>
    </w:r>
  </w:p>
  <w:p w:rsidR="00182767" w:rsidRDefault="0018276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773F2"/>
    <w:multiLevelType w:val="multilevel"/>
    <w:tmpl w:val="BB401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6807172"/>
    <w:multiLevelType w:val="multilevel"/>
    <w:tmpl w:val="DD42BD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7833FB5"/>
    <w:multiLevelType w:val="hybridMultilevel"/>
    <w:tmpl w:val="84621D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767"/>
    <w:rsid w:val="00077301"/>
    <w:rsid w:val="000E4C54"/>
    <w:rsid w:val="00182767"/>
    <w:rsid w:val="003F22D3"/>
    <w:rsid w:val="00495C33"/>
    <w:rsid w:val="004B1901"/>
    <w:rsid w:val="004C0D4A"/>
    <w:rsid w:val="00555785"/>
    <w:rsid w:val="005557B9"/>
    <w:rsid w:val="005B1311"/>
    <w:rsid w:val="007F69BB"/>
    <w:rsid w:val="009365B8"/>
    <w:rsid w:val="00AE78FC"/>
    <w:rsid w:val="00C23B05"/>
    <w:rsid w:val="00CE3765"/>
    <w:rsid w:val="00EA477E"/>
    <w:rsid w:val="00EF4863"/>
    <w:rsid w:val="00F84F79"/>
    <w:rsid w:val="00FD6C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D52414-071D-4C0B-9187-4AF5942B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inespaciado">
    <w:name w:val="No Spacing"/>
    <w:aliases w:val="Francesa,INAI"/>
    <w:link w:val="SinespaciadoCar"/>
    <w:uiPriority w:val="1"/>
    <w:qFormat/>
    <w:rsid w:val="00F33522"/>
    <w:pPr>
      <w:spacing w:after="0" w:line="240" w:lineRule="auto"/>
    </w:pPr>
  </w:style>
  <w:style w:type="character" w:customStyle="1" w:styleId="SinespaciadoCar">
    <w:name w:val="Sin espaciado Car"/>
    <w:aliases w:val="Francesa Car,INAI Car"/>
    <w:link w:val="Sinespaciado"/>
    <w:uiPriority w:val="1"/>
    <w:locked/>
    <w:rsid w:val="00F33522"/>
  </w:style>
  <w:style w:type="table" w:customStyle="1" w:styleId="TableNormal5">
    <w:name w:val="Table Normal"/>
    <w:uiPriority w:val="2"/>
    <w:semiHidden/>
    <w:unhideWhenUsed/>
    <w:qFormat/>
    <w:rsid w:val="00B21C09"/>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C09"/>
    <w:pPr>
      <w:widowControl w:val="0"/>
      <w:spacing w:after="0" w:line="240" w:lineRule="auto"/>
    </w:pPr>
    <w:rPr>
      <w:lang w:val="en-US"/>
    </w:rPr>
  </w:style>
  <w:style w:type="table" w:styleId="Tablaconcuadrcula">
    <w:name w:val="Table Grid"/>
    <w:basedOn w:val="Tablanormal"/>
    <w:uiPriority w:val="39"/>
    <w:rsid w:val="00B2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Pr>
  </w:style>
  <w:style w:type="paragraph" w:customStyle="1" w:styleId="Citas">
    <w:name w:val="Citas"/>
    <w:basedOn w:val="Normal"/>
    <w:qFormat/>
    <w:rsid w:val="000365D3"/>
    <w:pPr>
      <w:spacing w:before="240" w:line="360" w:lineRule="auto"/>
      <w:ind w:left="851" w:right="851"/>
      <w:jc w:val="both"/>
    </w:pPr>
    <w:rPr>
      <w:rFonts w:ascii="Palatino Linotype" w:eastAsiaTheme="minorHAnsi" w:hAnsi="Palatino Linotype" w:cs="Arial"/>
      <w:i/>
      <w:lang w:eastAsia="en-US"/>
    </w:rPr>
  </w:style>
  <w:style w:type="character" w:customStyle="1" w:styleId="normaltextrun">
    <w:name w:val="normaltextrun"/>
    <w:basedOn w:val="Fuentedeprrafopredeter"/>
    <w:rsid w:val="00184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xh6z4w82OebdLXVeERJyk6zybQ==">AMUW2mXKNjI54avJEXGE+D0YAXu4DPPCIrRntb26BgR5k+h+dGDOM5aVrOD07lyEMOVJgkxuOMl3t7FoZAGdpPXn829ofOS+zSXucKM1suyH0QjdHPtyVED3aoV02II4TkPviCGbKnYA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1568</Words>
  <Characters>8624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INFOEM415</cp:lastModifiedBy>
  <cp:revision>3</cp:revision>
  <cp:lastPrinted>2023-01-31T00:58:00Z</cp:lastPrinted>
  <dcterms:created xsi:type="dcterms:W3CDTF">2023-10-17T19:33:00Z</dcterms:created>
  <dcterms:modified xsi:type="dcterms:W3CDTF">2025-02-10T20:28:00Z</dcterms:modified>
</cp:coreProperties>
</file>