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1D6A9" w14:textId="39A3AE08" w:rsidR="00E97758" w:rsidRDefault="00E97758" w:rsidP="00E97758">
      <w:pPr>
        <w:spacing w:after="0" w:line="360" w:lineRule="auto"/>
        <w:jc w:val="both"/>
        <w:rPr>
          <w:rFonts w:ascii="Palatino Linotype" w:hAnsi="Palatino Linotype" w:cs="Arial"/>
          <w:b/>
          <w:sz w:val="24"/>
          <w:szCs w:val="24"/>
        </w:rPr>
      </w:pPr>
      <w:r w:rsidRPr="00FB6D9A">
        <w:rPr>
          <w:rFonts w:ascii="Palatino Linotype" w:hAnsi="Palatino Linotype" w:cs="Arial"/>
          <w:b/>
          <w:sz w:val="24"/>
          <w:szCs w:val="24"/>
        </w:rPr>
        <w:t xml:space="preserve">VOTO </w:t>
      </w:r>
      <w:r>
        <w:rPr>
          <w:rFonts w:ascii="Palatino Linotype" w:hAnsi="Palatino Linotype" w:cs="Arial"/>
          <w:b/>
          <w:sz w:val="24"/>
          <w:szCs w:val="24"/>
        </w:rPr>
        <w:t>DISIDENTE</w:t>
      </w:r>
      <w:r w:rsidR="001A1ECB">
        <w:rPr>
          <w:rFonts w:ascii="Palatino Linotype" w:hAnsi="Palatino Linotype" w:cs="Arial"/>
          <w:b/>
          <w:sz w:val="24"/>
          <w:szCs w:val="24"/>
        </w:rPr>
        <w:t xml:space="preserve"> DE LA COMISIONADA</w:t>
      </w:r>
      <w:r w:rsidRPr="00FB6D9A">
        <w:rPr>
          <w:rFonts w:ascii="Palatino Linotype" w:hAnsi="Palatino Linotype" w:cs="Arial"/>
          <w:b/>
          <w:sz w:val="24"/>
          <w:szCs w:val="24"/>
        </w:rPr>
        <w:t xml:space="preserve"> </w:t>
      </w:r>
      <w:r w:rsidR="001A1ECB">
        <w:rPr>
          <w:rFonts w:ascii="Palatino Linotype" w:hAnsi="Palatino Linotype" w:cs="Arial"/>
          <w:b/>
          <w:sz w:val="24"/>
          <w:szCs w:val="24"/>
        </w:rPr>
        <w:t>MARÍA DEL ROSARIO MEJIA AYALA</w:t>
      </w:r>
      <w:r w:rsidR="00B83597">
        <w:rPr>
          <w:rFonts w:ascii="Palatino Linotype" w:hAnsi="Palatino Linotype" w:cs="Arial"/>
          <w:b/>
          <w:sz w:val="24"/>
          <w:szCs w:val="24"/>
        </w:rPr>
        <w:t xml:space="preserve"> EN EL RECURSO DE REVISIÓN 13389</w:t>
      </w:r>
      <w:r w:rsidRPr="00FB6D9A">
        <w:rPr>
          <w:rFonts w:ascii="Palatino Linotype" w:hAnsi="Palatino Linotype" w:cs="Arial"/>
          <w:b/>
          <w:sz w:val="24"/>
          <w:szCs w:val="24"/>
        </w:rPr>
        <w:t>/INFOEM/</w:t>
      </w:r>
      <w:r w:rsidR="0032435A">
        <w:rPr>
          <w:rFonts w:ascii="Palatino Linotype" w:hAnsi="Palatino Linotype" w:cs="Arial"/>
          <w:b/>
          <w:sz w:val="24"/>
          <w:szCs w:val="24"/>
        </w:rPr>
        <w:t>IP</w:t>
      </w:r>
      <w:r w:rsidRPr="00FB6D9A">
        <w:rPr>
          <w:rFonts w:ascii="Palatino Linotype" w:hAnsi="Palatino Linotype" w:cs="Arial"/>
          <w:b/>
          <w:sz w:val="24"/>
          <w:szCs w:val="24"/>
        </w:rPr>
        <w:t>/RR/20</w:t>
      </w:r>
      <w:r w:rsidR="00B83597">
        <w:rPr>
          <w:rFonts w:ascii="Palatino Linotype" w:hAnsi="Palatino Linotype" w:cs="Arial"/>
          <w:b/>
          <w:sz w:val="24"/>
          <w:szCs w:val="24"/>
        </w:rPr>
        <w:t>22</w:t>
      </w:r>
      <w:r w:rsidRPr="00FB6D9A">
        <w:rPr>
          <w:rFonts w:ascii="Palatino Linotype" w:hAnsi="Palatino Linotype" w:cs="Arial"/>
          <w:b/>
          <w:sz w:val="24"/>
          <w:szCs w:val="24"/>
        </w:rPr>
        <w:t>.</w:t>
      </w:r>
    </w:p>
    <w:p w14:paraId="2724EDEF" w14:textId="77777777" w:rsidR="00E97758" w:rsidRDefault="00E97758" w:rsidP="00E97758">
      <w:pPr>
        <w:spacing w:after="0" w:line="360" w:lineRule="auto"/>
        <w:jc w:val="both"/>
        <w:rPr>
          <w:rFonts w:ascii="Palatino Linotype" w:hAnsi="Palatino Linotype" w:cs="Arial"/>
          <w:b/>
          <w:sz w:val="24"/>
          <w:szCs w:val="24"/>
        </w:rPr>
      </w:pPr>
    </w:p>
    <w:p w14:paraId="030020FA" w14:textId="4623BB60" w:rsidR="00E97758" w:rsidRPr="00442AA9" w:rsidRDefault="00E97758" w:rsidP="00442AA9">
      <w:pPr>
        <w:pStyle w:val="Prrafodelista"/>
        <w:keepNext/>
        <w:keepLines/>
        <w:numPr>
          <w:ilvl w:val="0"/>
          <w:numId w:val="43"/>
        </w:numPr>
        <w:pBdr>
          <w:top w:val="nil"/>
          <w:left w:val="nil"/>
          <w:bottom w:val="nil"/>
          <w:right w:val="nil"/>
          <w:between w:val="nil"/>
          <w:bar w:val="nil"/>
        </w:pBdr>
        <w:spacing w:after="0" w:line="360" w:lineRule="auto"/>
        <w:outlineLvl w:val="0"/>
        <w:rPr>
          <w:rFonts w:ascii="Palatino Linotype" w:eastAsiaTheme="majorEastAsia" w:hAnsi="Palatino Linotype" w:cstheme="majorBidi"/>
          <w:b/>
          <w:sz w:val="24"/>
          <w:szCs w:val="24"/>
          <w:bdr w:val="nil"/>
        </w:rPr>
      </w:pPr>
      <w:bookmarkStart w:id="0" w:name="_Toc9873529"/>
      <w:bookmarkStart w:id="1" w:name="_Toc21366012"/>
      <w:r w:rsidRPr="00442AA9">
        <w:rPr>
          <w:rFonts w:ascii="Palatino Linotype" w:eastAsiaTheme="majorEastAsia" w:hAnsi="Palatino Linotype" w:cstheme="majorBidi"/>
          <w:b/>
          <w:sz w:val="24"/>
          <w:szCs w:val="24"/>
          <w:bdr w:val="nil"/>
        </w:rPr>
        <w:t>Consideraciones Generales</w:t>
      </w:r>
      <w:bookmarkEnd w:id="0"/>
      <w:bookmarkEnd w:id="1"/>
      <w:r w:rsidR="00DF44D7">
        <w:rPr>
          <w:rFonts w:ascii="Palatino Linotype" w:eastAsiaTheme="majorEastAsia" w:hAnsi="Palatino Linotype" w:cstheme="majorBidi"/>
          <w:b/>
          <w:sz w:val="24"/>
          <w:szCs w:val="24"/>
          <w:bdr w:val="nil"/>
        </w:rPr>
        <w:t>.</w:t>
      </w:r>
    </w:p>
    <w:p w14:paraId="36FDBD56" w14:textId="3085FCB3" w:rsidR="00E97758" w:rsidRPr="00DF6B35" w:rsidRDefault="00196054" w:rsidP="00E97758">
      <w:pPr>
        <w:spacing w:after="0" w:line="360" w:lineRule="auto"/>
        <w:rPr>
          <w:b/>
          <w:bCs/>
        </w:rPr>
      </w:pPr>
      <w:r>
        <w:rPr>
          <w:b/>
          <w:bCs/>
        </w:rPr>
        <w:t xml:space="preserve"> </w:t>
      </w:r>
    </w:p>
    <w:p w14:paraId="3E51C75F" w14:textId="77777777" w:rsidR="00511AA1" w:rsidRPr="00511AA1" w:rsidRDefault="009C5F99" w:rsidP="00511AA1">
      <w:pPr>
        <w:numPr>
          <w:ilvl w:val="0"/>
          <w:numId w:val="9"/>
        </w:numPr>
        <w:spacing w:after="0" w:line="360" w:lineRule="auto"/>
        <w:ind w:left="0" w:firstLine="0"/>
        <w:contextualSpacing/>
        <w:jc w:val="both"/>
        <w:rPr>
          <w:rFonts w:ascii="Palatino Linotype" w:eastAsia="Calibri" w:hAnsi="Palatino Linotype" w:cs="Arial"/>
          <w:sz w:val="24"/>
          <w:szCs w:val="24"/>
          <w:lang w:val="es-ES" w:eastAsia="es-ES"/>
        </w:rPr>
      </w:pPr>
      <w:r>
        <w:rPr>
          <w:rFonts w:ascii="Palatino Linotype" w:eastAsia="Arial Unicode MS" w:hAnsi="Palatino Linotype" w:cs="Arial"/>
          <w:color w:val="000000" w:themeColor="text1"/>
          <w:sz w:val="24"/>
          <w:szCs w:val="24"/>
          <w:bdr w:val="none" w:sz="0" w:space="0" w:color="auto" w:frame="1"/>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Disidente </w:t>
      </w:r>
      <w:r>
        <w:rPr>
          <w:rFonts w:ascii="Palatino Linotype" w:eastAsia="Times New Roman" w:hAnsi="Palatino Linotype" w:cs="Arial"/>
          <w:color w:val="000000" w:themeColor="text1"/>
          <w:sz w:val="24"/>
          <w:szCs w:val="24"/>
          <w:bdr w:val="none" w:sz="0" w:space="0" w:color="auto" w:frame="1"/>
          <w:lang w:val="es-ES_tradnl"/>
        </w:rPr>
        <w:t xml:space="preserve">de la presente resolución  aprobada por mayoría de votos </w:t>
      </w:r>
      <w:r>
        <w:rPr>
          <w:rFonts w:ascii="Palatino Linotype" w:eastAsia="Arial Unicode MS" w:hAnsi="Palatino Linotype" w:cs="Arial"/>
          <w:color w:val="000000" w:themeColor="text1"/>
          <w:sz w:val="24"/>
          <w:szCs w:val="24"/>
          <w:bdr w:val="none" w:sz="0" w:space="0" w:color="auto" w:frame="1"/>
        </w:rPr>
        <w:t>por el Pleno del Instituto de Transparencia, Acceso a la Información Pública y Protección de Datos Personales del Estado de México y Mu</w:t>
      </w:r>
      <w:r w:rsidR="00B83597">
        <w:rPr>
          <w:rFonts w:ascii="Palatino Linotype" w:eastAsia="Arial Unicode MS" w:hAnsi="Palatino Linotype" w:cs="Arial"/>
          <w:color w:val="000000" w:themeColor="text1"/>
          <w:sz w:val="24"/>
          <w:szCs w:val="24"/>
          <w:bdr w:val="none" w:sz="0" w:space="0" w:color="auto" w:frame="1"/>
        </w:rPr>
        <w:t>nicipios, en su  Trigésima Sexta</w:t>
      </w:r>
      <w:r>
        <w:rPr>
          <w:rFonts w:ascii="Palatino Linotype" w:eastAsia="Arial Unicode MS" w:hAnsi="Palatino Linotype" w:cs="Arial"/>
          <w:color w:val="000000" w:themeColor="text1"/>
          <w:sz w:val="24"/>
          <w:szCs w:val="24"/>
          <w:bdr w:val="none" w:sz="0" w:space="0" w:color="auto" w:frame="1"/>
        </w:rPr>
        <w:t xml:space="preserve"> Sesión Ordinaria de fecha </w:t>
      </w:r>
      <w:r w:rsidR="00B83597">
        <w:rPr>
          <w:rFonts w:ascii="Palatino Linotype" w:eastAsia="Arial Unicode MS" w:hAnsi="Palatino Linotype" w:cs="Arial"/>
          <w:color w:val="000000" w:themeColor="text1"/>
          <w:sz w:val="24"/>
          <w:szCs w:val="24"/>
          <w:bdr w:val="none" w:sz="0" w:space="0" w:color="auto" w:frame="1"/>
        </w:rPr>
        <w:t>tres (03) de octubre</w:t>
      </w:r>
      <w:r>
        <w:rPr>
          <w:rFonts w:ascii="Palatino Linotype" w:eastAsia="Times New Roman" w:hAnsi="Palatino Linotype" w:cs="Arial"/>
          <w:color w:val="000000"/>
          <w:sz w:val="24"/>
          <w:szCs w:val="24"/>
          <w:bdr w:val="none" w:sz="0" w:space="0" w:color="auto" w:frame="1"/>
          <w:lang w:eastAsia="es-MX"/>
        </w:rPr>
        <w:t xml:space="preserve"> de dos mil veintidós</w:t>
      </w:r>
      <w:r>
        <w:rPr>
          <w:rFonts w:ascii="Palatino Linotype" w:eastAsia="Arial Unicode MS" w:hAnsi="Palatino Linotype" w:cs="Arial"/>
          <w:color w:val="000000" w:themeColor="text1"/>
          <w:sz w:val="24"/>
          <w:szCs w:val="24"/>
          <w:bdr w:val="none" w:sz="0" w:space="0" w:color="auto" w:frame="1"/>
        </w:rPr>
        <w:t xml:space="preserve">, en el recurso de revisión </w:t>
      </w:r>
      <w:r>
        <w:rPr>
          <w:rFonts w:ascii="Palatino Linotype" w:eastAsia="Arial Unicode MS" w:hAnsi="Palatino Linotype" w:cs="Times New Roman"/>
          <w:sz w:val="24"/>
          <w:szCs w:val="24"/>
          <w:bdr w:val="none" w:sz="0" w:space="0" w:color="auto" w:frame="1"/>
        </w:rPr>
        <w:t xml:space="preserve">en contra de la </w:t>
      </w:r>
      <w:r w:rsidR="00B83597" w:rsidRPr="00B83597">
        <w:rPr>
          <w:rFonts w:ascii="Palatino Linotype" w:eastAsia="Arial Unicode MS" w:hAnsi="Palatino Linotype" w:cs="Times New Roman"/>
          <w:b/>
          <w:sz w:val="24"/>
          <w:szCs w:val="24"/>
          <w:bdr w:val="none" w:sz="0" w:space="0" w:color="auto" w:frame="1"/>
        </w:rPr>
        <w:t>Procuraduría de Protección al Ambiente del Estado de México</w:t>
      </w:r>
      <w:r w:rsidR="00B83597">
        <w:rPr>
          <w:rFonts w:ascii="Palatino Linotype" w:eastAsia="Arial Unicode MS" w:hAnsi="Palatino Linotype" w:cs="Times New Roman"/>
          <w:b/>
          <w:sz w:val="24"/>
          <w:szCs w:val="24"/>
          <w:bdr w:val="none" w:sz="0" w:space="0" w:color="auto" w:frame="1"/>
        </w:rPr>
        <w:t>,</w:t>
      </w:r>
      <w:r>
        <w:rPr>
          <w:rFonts w:ascii="Palatino Linotype" w:eastAsia="Arial Unicode MS" w:hAnsi="Palatino Linotype" w:cs="Times New Roman"/>
          <w:sz w:val="24"/>
          <w:szCs w:val="24"/>
          <w:bdr w:val="none" w:sz="0" w:space="0" w:color="auto" w:frame="1"/>
        </w:rPr>
        <w:t xml:space="preserve"> </w:t>
      </w:r>
      <w:r w:rsidR="00E97758" w:rsidRPr="002A43BC">
        <w:rPr>
          <w:rFonts w:ascii="Palatino Linotype" w:eastAsia="Arial Unicode MS" w:hAnsi="Palatino Linotype" w:cs="Arial"/>
          <w:color w:val="000000" w:themeColor="text1"/>
          <w:sz w:val="24"/>
          <w:szCs w:val="24"/>
          <w:bdr w:val="nil"/>
        </w:rPr>
        <w:t xml:space="preserve">procedimiento al que se le asignó el número de expediente </w:t>
      </w:r>
      <w:r w:rsidR="00B83597">
        <w:rPr>
          <w:rFonts w:ascii="Palatino Linotype" w:eastAsia="Arial Unicode MS" w:hAnsi="Palatino Linotype" w:cs="Times New Roman"/>
          <w:b/>
          <w:sz w:val="24"/>
          <w:szCs w:val="24"/>
          <w:bdr w:val="nil"/>
        </w:rPr>
        <w:t>13389</w:t>
      </w:r>
      <w:r w:rsidR="0032435A">
        <w:rPr>
          <w:rFonts w:ascii="Palatino Linotype" w:eastAsia="Arial Unicode MS" w:hAnsi="Palatino Linotype" w:cs="Times New Roman"/>
          <w:b/>
          <w:sz w:val="24"/>
          <w:szCs w:val="24"/>
          <w:bdr w:val="nil"/>
        </w:rPr>
        <w:t>/INFOEM/IP</w:t>
      </w:r>
      <w:r w:rsidR="00E97758">
        <w:rPr>
          <w:rFonts w:ascii="Palatino Linotype" w:eastAsia="Arial Unicode MS" w:hAnsi="Palatino Linotype" w:cs="Times New Roman"/>
          <w:b/>
          <w:sz w:val="24"/>
          <w:szCs w:val="24"/>
          <w:bdr w:val="nil"/>
        </w:rPr>
        <w:t>/RR/20</w:t>
      </w:r>
      <w:r w:rsidR="00B83597">
        <w:rPr>
          <w:rFonts w:ascii="Palatino Linotype" w:eastAsia="Arial Unicode MS" w:hAnsi="Palatino Linotype" w:cs="Times New Roman"/>
          <w:b/>
          <w:sz w:val="24"/>
          <w:szCs w:val="24"/>
          <w:bdr w:val="nil"/>
        </w:rPr>
        <w:t>22</w:t>
      </w:r>
      <w:r w:rsidR="0027773D">
        <w:rPr>
          <w:rFonts w:ascii="Palatino Linotype" w:eastAsia="Arial Unicode MS" w:hAnsi="Palatino Linotype" w:cs="Times New Roman"/>
          <w:b/>
          <w:sz w:val="24"/>
          <w:szCs w:val="24"/>
          <w:bdr w:val="nil"/>
        </w:rPr>
        <w:t xml:space="preserve">. </w:t>
      </w:r>
    </w:p>
    <w:p w14:paraId="402A6D4F" w14:textId="77777777" w:rsidR="00511AA1" w:rsidRDefault="00511AA1" w:rsidP="00511AA1">
      <w:pPr>
        <w:spacing w:after="0" w:line="360" w:lineRule="auto"/>
        <w:contextualSpacing/>
        <w:jc w:val="both"/>
        <w:rPr>
          <w:rFonts w:ascii="Palatino Linotype" w:eastAsia="Calibri" w:hAnsi="Palatino Linotype" w:cs="Arial"/>
          <w:sz w:val="24"/>
          <w:szCs w:val="24"/>
          <w:lang w:val="es-ES" w:eastAsia="es-ES"/>
        </w:rPr>
      </w:pPr>
    </w:p>
    <w:p w14:paraId="7C1B492B" w14:textId="625A603A" w:rsidR="00511AA1" w:rsidRPr="00511AA1" w:rsidRDefault="00511AA1" w:rsidP="00511AA1">
      <w:pPr>
        <w:numPr>
          <w:ilvl w:val="0"/>
          <w:numId w:val="9"/>
        </w:numPr>
        <w:spacing w:after="0" w:line="360" w:lineRule="auto"/>
        <w:ind w:left="0" w:firstLine="0"/>
        <w:contextualSpacing/>
        <w:jc w:val="both"/>
        <w:rPr>
          <w:rFonts w:ascii="Palatino Linotype" w:eastAsia="Calibri" w:hAnsi="Palatino Linotype" w:cs="Arial"/>
          <w:sz w:val="24"/>
          <w:szCs w:val="24"/>
          <w:lang w:val="es-ES" w:eastAsia="es-ES"/>
        </w:rPr>
      </w:pPr>
      <w:r w:rsidRPr="00511AA1">
        <w:rPr>
          <w:rFonts w:ascii="Palatino Linotype" w:eastAsia="Calibri" w:hAnsi="Palatino Linotype"/>
          <w:bCs/>
        </w:rPr>
        <w:t>El</w:t>
      </w:r>
      <w:r w:rsidRPr="00511AA1">
        <w:rPr>
          <w:rFonts w:ascii="Palatino Linotype" w:eastAsia="Calibri" w:hAnsi="Palatino Linotype"/>
          <w:b/>
        </w:rPr>
        <w:t xml:space="preserve"> RECURRENTE </w:t>
      </w:r>
      <w:r w:rsidRPr="00511AA1">
        <w:rPr>
          <w:rFonts w:ascii="Palatino Linotype" w:eastAsia="Calibri" w:hAnsi="Palatino Linotype"/>
          <w:bCs/>
        </w:rPr>
        <w:t>presentó</w:t>
      </w:r>
      <w:r w:rsidRPr="00511AA1">
        <w:rPr>
          <w:rFonts w:ascii="Palatino Linotype" w:eastAsia="Calibri" w:hAnsi="Palatino Linotype" w:cs="Arial"/>
        </w:rPr>
        <w:t xml:space="preserve"> vía Sistema de Acceso a la Información Mexiquense (</w:t>
      </w:r>
      <w:r w:rsidRPr="00511AA1">
        <w:rPr>
          <w:rFonts w:ascii="Palatino Linotype" w:eastAsia="Calibri" w:hAnsi="Palatino Linotype" w:cs="Arial"/>
          <w:b/>
        </w:rPr>
        <w:t>SAIMEX)</w:t>
      </w:r>
      <w:r w:rsidRPr="00511AA1">
        <w:rPr>
          <w:rFonts w:ascii="Palatino Linotype" w:eastAsia="Calibri" w:hAnsi="Palatino Linotype" w:cs="Arial"/>
        </w:rPr>
        <w:t>, la solicitud de información pública</w:t>
      </w:r>
      <w:r w:rsidRPr="00511AA1">
        <w:rPr>
          <w:rFonts w:ascii="Palatino Linotype" w:hAnsi="Palatino Linotype" w:cs="Arial"/>
          <w:lang w:eastAsia="es-MX"/>
        </w:rPr>
        <w:t>,</w:t>
      </w:r>
      <w:r w:rsidRPr="00511AA1">
        <w:rPr>
          <w:rFonts w:ascii="Palatino Linotype" w:hAnsi="Palatino Linotype" w:cs="Arial"/>
          <w:b/>
          <w:lang w:eastAsia="es-MX"/>
        </w:rPr>
        <w:t xml:space="preserve"> </w:t>
      </w:r>
      <w:r w:rsidRPr="00511AA1">
        <w:rPr>
          <w:rFonts w:ascii="Palatino Linotype" w:hAnsi="Palatino Linotype" w:cs="Arial"/>
        </w:rPr>
        <w:t>mediante la cual solicitó la siguiente información:</w:t>
      </w:r>
    </w:p>
    <w:p w14:paraId="589784CC" w14:textId="77777777" w:rsidR="00511AA1" w:rsidRPr="00511AA1" w:rsidRDefault="00511AA1" w:rsidP="00511AA1">
      <w:pPr>
        <w:spacing w:after="0" w:line="360" w:lineRule="auto"/>
        <w:contextualSpacing/>
        <w:jc w:val="both"/>
        <w:rPr>
          <w:rFonts w:ascii="Palatino Linotype" w:eastAsia="Calibri" w:hAnsi="Palatino Linotype" w:cs="Arial"/>
          <w:sz w:val="24"/>
          <w:szCs w:val="24"/>
          <w:lang w:val="es-ES" w:eastAsia="es-ES"/>
        </w:rPr>
      </w:pPr>
    </w:p>
    <w:p w14:paraId="18AE91C7" w14:textId="2F81046E" w:rsidR="00511AA1" w:rsidRDefault="00511AA1" w:rsidP="00511AA1">
      <w:pPr>
        <w:spacing w:after="0" w:line="240" w:lineRule="auto"/>
        <w:ind w:left="1134"/>
        <w:contextualSpacing/>
        <w:jc w:val="both"/>
        <w:rPr>
          <w:rFonts w:ascii="Palatino Linotype" w:eastAsia="Calibri" w:hAnsi="Palatino Linotype" w:cs="Arial"/>
          <w:i/>
          <w:sz w:val="24"/>
          <w:szCs w:val="24"/>
          <w:lang w:val="es-ES" w:eastAsia="es-ES"/>
        </w:rPr>
      </w:pPr>
      <w:r w:rsidRPr="00511AA1">
        <w:rPr>
          <w:rFonts w:ascii="Palatino Linotype" w:eastAsia="Calibri" w:hAnsi="Palatino Linotype" w:cs="Arial"/>
          <w:i/>
          <w:sz w:val="24"/>
          <w:szCs w:val="24"/>
          <w:lang w:val="es-ES" w:eastAsia="es-ES"/>
        </w:rPr>
        <w:t xml:space="preserve">DESCRIPCIÓN CLARA Y PRECISA DE LA INFORMACIÓN SOLICITADA. DE CONFORMIDAD CON los artículos; 1, 4 cuarto y quinto párrafo, 6 segundo párrafo y su apartado A, 14 segundo párrafo y 16 segundo </w:t>
      </w:r>
      <w:r w:rsidRPr="00511AA1">
        <w:rPr>
          <w:rFonts w:ascii="Palatino Linotype" w:eastAsia="Calibri" w:hAnsi="Palatino Linotype" w:cs="Arial"/>
          <w:i/>
          <w:sz w:val="24"/>
          <w:szCs w:val="24"/>
          <w:lang w:val="es-ES" w:eastAsia="es-ES"/>
        </w:rPr>
        <w:lastRenderedPageBreak/>
        <w:t xml:space="preserve">párrafo de la Constitución Política de Los Estados Unidos Mexicanos, 10 y 11 del Protocolo Adicional a la Convención Americana sobre Derechos Humanos en Materia de Derechos Económicos, Sociales y Culturales "PROTOCOLO DE SAN SALVADOR", 4, 5, 6, 7, 101 fracción IV y 115 de la Ley General de Transparencia y Acceso a la Información Pública, 4, 5, 7, 8, 123 fracción IV y 142 de la Ley de Transparencia y Acceso a la Información Pública del Estado de México y Municipios, a los LINEAMIENTOS GENERALES EN MATERIA DE CLASIFICACIÓN Y DESCLASIFICACIÓN DE LA INFORMACIÓN, ASÍ COMO PARA LA ELABORACIÓN DE VERSIONES PÚBLICAS; Capítulos IX del ANEXO DEL ACUERDO CONAIP/SNT/ACUERDO/EXT18/03/2016-03,a los indicios y denuncias por corrupción presentados, según los expedientes siguientes; En el Órgano Superior de Fiscalización del Estado de México (OSFEM) EAI/UI/DEN/003/2021 y en la Fiscalía General de Justicia del Estado de México NIC. FRM/FRM/02/MPI/184/00066/21/10, en consonancia a la Resolución del Pleno del Instituto Nacional de Acceso a la Información expediente Caso relevante RRA 4436/18 en contra de la Procuraduría General de la República Comisionado ponente: Oscar Mauricio Guerra Ford, “de acuerdo con el principio de máxima publicidad, la apertura es la regla, y el secreto es la excepción” (Corte IDH, Caso Claude Reyes y otros vs. Chile, párrafos 86 y 92), por lo que SOLICITO que la Procuraduría de Protección al Ambiente del Estado de México (PROPAEM) ME ENVIÉ VÍA SAIMEX LA INFORMACIÓN PÚBLICA SIGUIENTE; 1.- El escrito inicial de demanda de juicio administrativo contra el C. Procurador de Protección al Ambiente del Estado de México entre otros, interpuesto el 22 de noviembre de 2021 en la primera sala regional de jurisdicción ordinaria con sede en Toluca del Tribunal de Justicia Administrativa del Estado de México, por el C. Gustavo Martínez Martínez en su carácter de Subdirector de Asuntos Contenciosos de la Consejería Jurídica del municipio de Tlalnepantla de Baz Estado de México y apoderado legal del presidente municipal de Tlalnepantla, México, promoción con número de registro 161194. 2.- Las pruebas que acompañaron el escrito inicial de demanda, señalado en el punto 1 de esta solicitud de información pública, consistentes en los ANEXOS DOS, TRES, CUATRO, CINCO, SEIS, SIETE, OCHO, NUEVE, DIEZ, ONCE, DOCE, TRECE Y CATORCE 3.- El expediente generado por la emisión de los sellos de </w:t>
      </w:r>
      <w:r w:rsidRPr="00511AA1">
        <w:rPr>
          <w:rFonts w:ascii="Palatino Linotype" w:eastAsia="Calibri" w:hAnsi="Palatino Linotype" w:cs="Arial"/>
          <w:i/>
          <w:sz w:val="24"/>
          <w:szCs w:val="24"/>
          <w:lang w:val="es-ES" w:eastAsia="es-ES"/>
        </w:rPr>
        <w:lastRenderedPageBreak/>
        <w:t>clausura Nos. 10045/2021 10046/2021, 10047/2021, 10048/2021. 10049/2021 y 10050/2021 emitidos por la PROPAEM al denominado Relleno Sanitario de Tlalnepantla o su conversión a Centro Integral de Residuos Sólidos de Tlalnepantla.</w:t>
      </w:r>
    </w:p>
    <w:p w14:paraId="1ECD18D2" w14:textId="77777777" w:rsidR="00511AA1" w:rsidRDefault="00511AA1" w:rsidP="00511AA1">
      <w:pPr>
        <w:spacing w:after="0" w:line="240" w:lineRule="auto"/>
        <w:ind w:left="1134"/>
        <w:contextualSpacing/>
        <w:jc w:val="both"/>
        <w:rPr>
          <w:rFonts w:ascii="Palatino Linotype" w:eastAsia="Calibri" w:hAnsi="Palatino Linotype" w:cs="Arial"/>
          <w:i/>
          <w:sz w:val="24"/>
          <w:szCs w:val="24"/>
          <w:lang w:val="es-ES" w:eastAsia="es-ES"/>
        </w:rPr>
      </w:pPr>
    </w:p>
    <w:p w14:paraId="3D3DEAF5" w14:textId="77777777" w:rsidR="00511AA1" w:rsidRPr="00511AA1" w:rsidRDefault="00511AA1" w:rsidP="00511AA1">
      <w:pPr>
        <w:spacing w:after="0" w:line="240" w:lineRule="auto"/>
        <w:ind w:left="1134"/>
        <w:contextualSpacing/>
        <w:jc w:val="both"/>
        <w:rPr>
          <w:rFonts w:ascii="Palatino Linotype" w:eastAsia="Calibri" w:hAnsi="Palatino Linotype" w:cs="Arial"/>
          <w:i/>
          <w:sz w:val="24"/>
          <w:szCs w:val="24"/>
          <w:lang w:val="es-ES" w:eastAsia="es-ES"/>
        </w:rPr>
      </w:pPr>
    </w:p>
    <w:p w14:paraId="2F7329BE" w14:textId="77777777" w:rsidR="00511AA1" w:rsidRDefault="00511AA1" w:rsidP="00511AA1">
      <w:pPr>
        <w:tabs>
          <w:tab w:val="left" w:pos="4962"/>
        </w:tabs>
        <w:spacing w:line="360" w:lineRule="auto"/>
        <w:jc w:val="both"/>
        <w:rPr>
          <w:rFonts w:ascii="Palatino Linotype" w:eastAsia="Palatino Linotype" w:hAnsi="Palatino Linotype" w:cs="Palatino Linotype"/>
          <w:color w:val="0D0D0D"/>
          <w:sz w:val="24"/>
          <w:szCs w:val="24"/>
        </w:rPr>
      </w:pPr>
      <w:r>
        <w:rPr>
          <w:rFonts w:ascii="Palatino Linotype" w:eastAsia="Palatino Linotype" w:hAnsi="Palatino Linotype" w:cs="Palatino Linotype"/>
          <w:color w:val="0D0D0D"/>
          <w:sz w:val="24"/>
          <w:szCs w:val="24"/>
        </w:rPr>
        <w:t>En respuesta, el Sujeto Obligado, a través de la Subdirectora de Atención y Seguimiento de Procedimientos informó que respecto al escrito inicial de demanda de juicio administrativo y las pruebas que lo acompañan, el Sujeto Obligado es incompetente parcialmente, por lo que, puede dirigir su solicitud de información al Tribunal de Justicia Administrativa del Estado de México y/o al Ayuntamiento de Tlalnepantla de Baz.</w:t>
      </w:r>
    </w:p>
    <w:p w14:paraId="797A383E" w14:textId="77777777" w:rsidR="00511AA1" w:rsidRDefault="00511AA1" w:rsidP="00511AA1">
      <w:pPr>
        <w:tabs>
          <w:tab w:val="left" w:pos="4962"/>
        </w:tabs>
        <w:spacing w:line="360" w:lineRule="auto"/>
        <w:jc w:val="both"/>
        <w:rPr>
          <w:rFonts w:ascii="Palatino Linotype" w:eastAsia="Palatino Linotype" w:hAnsi="Palatino Linotype" w:cs="Palatino Linotype"/>
          <w:color w:val="0D0D0D"/>
          <w:sz w:val="24"/>
          <w:szCs w:val="24"/>
        </w:rPr>
      </w:pPr>
    </w:p>
    <w:p w14:paraId="70152A99" w14:textId="77777777" w:rsidR="00511AA1" w:rsidRDefault="00511AA1" w:rsidP="00511AA1">
      <w:pPr>
        <w:tabs>
          <w:tab w:val="left" w:pos="4962"/>
        </w:tabs>
        <w:spacing w:line="360" w:lineRule="auto"/>
        <w:jc w:val="both"/>
        <w:rPr>
          <w:rFonts w:ascii="Palatino Linotype" w:eastAsia="Palatino Linotype" w:hAnsi="Palatino Linotype" w:cs="Palatino Linotype"/>
          <w:color w:val="0D0D0D"/>
          <w:sz w:val="24"/>
          <w:szCs w:val="24"/>
        </w:rPr>
      </w:pPr>
      <w:r>
        <w:rPr>
          <w:rFonts w:ascii="Palatino Linotype" w:eastAsia="Palatino Linotype" w:hAnsi="Palatino Linotype" w:cs="Palatino Linotype"/>
          <w:color w:val="0D0D0D"/>
          <w:sz w:val="24"/>
          <w:szCs w:val="24"/>
        </w:rPr>
        <w:t xml:space="preserve">Asimismo, precisó que respecto al expediente generado por la emisión de los sellos de clausura emitidos por la PROPAEM al denominado Relleno Sanitario de Tlalnepantla o su conversión a Centro integral de Residuos Sólidos; no es posible entregar la información requerida en virtud de que actualiza la causal de clasificación prevista en la fracción VIII del artículo 140 de la Ley de Transparencia y Acceso a la Información Pública del Estado de México y Municipios, del mismo modo, proporcionó el Acta de la Segunda Sesión Ordinaria 2022 emitida por el Comité de Transparencia de la Procuraduría de Protección al Ambiente del Estado de México. </w:t>
      </w:r>
    </w:p>
    <w:p w14:paraId="771021D8" w14:textId="77777777" w:rsidR="00511AA1" w:rsidRDefault="00511AA1" w:rsidP="00511AA1">
      <w:pPr>
        <w:tabs>
          <w:tab w:val="left" w:pos="4962"/>
        </w:tabs>
        <w:spacing w:line="360" w:lineRule="auto"/>
        <w:jc w:val="both"/>
        <w:rPr>
          <w:rFonts w:ascii="Palatino Linotype" w:eastAsia="Palatino Linotype" w:hAnsi="Palatino Linotype" w:cs="Palatino Linotype"/>
          <w:color w:val="0D0D0D"/>
          <w:sz w:val="24"/>
          <w:szCs w:val="24"/>
        </w:rPr>
      </w:pPr>
    </w:p>
    <w:p w14:paraId="60CC9097" w14:textId="77777777" w:rsidR="00511AA1" w:rsidRDefault="00511AA1" w:rsidP="00511AA1">
      <w:pPr>
        <w:tabs>
          <w:tab w:val="left" w:pos="4962"/>
        </w:tabs>
        <w:spacing w:line="360" w:lineRule="auto"/>
        <w:jc w:val="both"/>
        <w:rPr>
          <w:rFonts w:ascii="Palatino Linotype" w:eastAsia="Palatino Linotype" w:hAnsi="Palatino Linotype" w:cs="Palatino Linotype"/>
          <w:color w:val="0D0D0D"/>
          <w:sz w:val="24"/>
          <w:szCs w:val="24"/>
        </w:rPr>
      </w:pPr>
    </w:p>
    <w:p w14:paraId="3A37CB45" w14:textId="77777777" w:rsidR="00511AA1" w:rsidRDefault="00511AA1" w:rsidP="00511AA1">
      <w:pPr>
        <w:tabs>
          <w:tab w:val="left" w:pos="4962"/>
        </w:tabs>
        <w:spacing w:line="360" w:lineRule="auto"/>
        <w:jc w:val="both"/>
        <w:rPr>
          <w:rFonts w:ascii="Palatino Linotype" w:eastAsia="Palatino Linotype" w:hAnsi="Palatino Linotype" w:cs="Palatino Linotype"/>
          <w:color w:val="0D0D0D"/>
          <w:sz w:val="24"/>
          <w:szCs w:val="24"/>
        </w:rPr>
      </w:pPr>
      <w:r>
        <w:rPr>
          <w:rFonts w:ascii="Palatino Linotype" w:eastAsia="Palatino Linotype" w:hAnsi="Palatino Linotype" w:cs="Palatino Linotype"/>
          <w:color w:val="0D0D0D"/>
          <w:sz w:val="24"/>
          <w:szCs w:val="24"/>
        </w:rPr>
        <w:lastRenderedPageBreak/>
        <w:t xml:space="preserve">Derivado de ello, la parte Recurrente se inconformó arguyendo lo siguiente: </w:t>
      </w:r>
    </w:p>
    <w:p w14:paraId="40EF5BD2" w14:textId="097DE1E6" w:rsidR="00511AA1" w:rsidRDefault="00511AA1" w:rsidP="00511AA1">
      <w:pPr>
        <w:tabs>
          <w:tab w:val="left" w:pos="4962"/>
        </w:tabs>
        <w:spacing w:line="360" w:lineRule="auto"/>
        <w:jc w:val="both"/>
        <w:rPr>
          <w:rFonts w:ascii="Palatino Linotype" w:eastAsia="Palatino Linotype" w:hAnsi="Palatino Linotype" w:cs="Palatino Linotype"/>
          <w:i/>
          <w:color w:val="0D0D0D"/>
        </w:rPr>
      </w:pPr>
      <w:r>
        <w:rPr>
          <w:rFonts w:ascii="Palatino Linotype" w:eastAsia="Palatino Linotype" w:hAnsi="Palatino Linotype" w:cs="Palatino Linotype"/>
          <w:i/>
          <w:color w:val="0D0D0D"/>
        </w:rPr>
        <w:t xml:space="preserve">“El sujeto obligado y/o su comité de transparencia </w:t>
      </w:r>
      <w:r>
        <w:rPr>
          <w:rFonts w:ascii="Palatino Linotype" w:eastAsia="Palatino Linotype" w:hAnsi="Palatino Linotype" w:cs="Palatino Linotype"/>
          <w:b/>
          <w:i/>
          <w:color w:val="0D0D0D"/>
          <w:u w:val="single"/>
        </w:rPr>
        <w:t>omitió que la información pública solicitada se trata con actos de corrupción</w:t>
      </w:r>
      <w:r>
        <w:rPr>
          <w:rFonts w:ascii="Palatino Linotype" w:eastAsia="Palatino Linotype" w:hAnsi="Palatino Linotype" w:cs="Palatino Linotype"/>
          <w:i/>
          <w:color w:val="0D0D0D"/>
        </w:rPr>
        <w:t xml:space="preserve">, tal y como fue señalado en la solicitud respectiva, también omitió la Resolución del Pleno del Instituto Nacional de Acceso a la Información expediente Caso relevante RRA 4436/18 en contra de la Procuraduría General de la República Comisionado ponente: Oscar Mauricio Guerra Ford.” </w:t>
      </w:r>
    </w:p>
    <w:p w14:paraId="26553693" w14:textId="77777777" w:rsidR="00511AA1" w:rsidRDefault="00511AA1" w:rsidP="00511AA1">
      <w:pPr>
        <w:tabs>
          <w:tab w:val="left" w:pos="4962"/>
        </w:tabs>
        <w:spacing w:line="360" w:lineRule="auto"/>
        <w:jc w:val="both"/>
        <w:rPr>
          <w:rFonts w:ascii="Palatino Linotype" w:eastAsia="Palatino Linotype" w:hAnsi="Palatino Linotype" w:cs="Palatino Linotype"/>
          <w:color w:val="0D0D0D"/>
          <w:sz w:val="24"/>
          <w:szCs w:val="24"/>
        </w:rPr>
      </w:pPr>
      <w:r>
        <w:rPr>
          <w:rFonts w:ascii="Palatino Linotype" w:eastAsia="Palatino Linotype" w:hAnsi="Palatino Linotype" w:cs="Palatino Linotype"/>
          <w:color w:val="0D0D0D"/>
          <w:sz w:val="24"/>
          <w:szCs w:val="24"/>
        </w:rPr>
        <w:t xml:space="preserve">Es así que, mediante informe justificado, el Sujeto Obligado ratificó su respuesta inicial. </w:t>
      </w:r>
    </w:p>
    <w:p w14:paraId="6C9A7F55" w14:textId="4A77DC0E" w:rsidR="00511AA1" w:rsidRDefault="00511AA1" w:rsidP="00511AA1">
      <w:pPr>
        <w:tabs>
          <w:tab w:val="left" w:pos="4962"/>
        </w:tabs>
        <w:spacing w:line="360" w:lineRule="auto"/>
        <w:jc w:val="both"/>
        <w:rPr>
          <w:rFonts w:ascii="Palatino Linotype" w:eastAsia="Palatino Linotype" w:hAnsi="Palatino Linotype" w:cs="Palatino Linotype"/>
          <w:color w:val="0D0D0D"/>
          <w:sz w:val="24"/>
          <w:szCs w:val="24"/>
        </w:rPr>
      </w:pPr>
      <w:r>
        <w:rPr>
          <w:rFonts w:ascii="Palatino Linotype" w:eastAsia="Palatino Linotype" w:hAnsi="Palatino Linotype" w:cs="Palatino Linotype"/>
          <w:color w:val="0D0D0D"/>
          <w:sz w:val="24"/>
          <w:szCs w:val="24"/>
        </w:rPr>
        <w:t xml:space="preserve">Se realizó al Sujeto Obligado un requerimiento de información adicional de conformidad el cual desahogó el  Sujeto Obligado, en los siguientes términos: </w:t>
      </w:r>
    </w:p>
    <w:p w14:paraId="56C86E01" w14:textId="77777777" w:rsidR="00511AA1" w:rsidRDefault="00511AA1" w:rsidP="00511AA1">
      <w:pPr>
        <w:spacing w:line="276" w:lineRule="auto"/>
        <w:ind w:left="567" w:right="539"/>
        <w:jc w:val="both"/>
        <w:rPr>
          <w:rFonts w:ascii="Palatino Linotype" w:eastAsia="Palatino Linotype" w:hAnsi="Palatino Linotype" w:cs="Palatino Linotype"/>
          <w:b/>
          <w:i/>
          <w:color w:val="0D0D0D"/>
        </w:rPr>
      </w:pPr>
      <w:r>
        <w:rPr>
          <w:rFonts w:ascii="Palatino Linotype" w:eastAsia="Palatino Linotype" w:hAnsi="Palatino Linotype" w:cs="Palatino Linotype"/>
          <w:i/>
          <w:color w:val="0D0D0D"/>
        </w:rPr>
        <w:t xml:space="preserve">a) </w:t>
      </w:r>
      <w:r>
        <w:rPr>
          <w:rFonts w:ascii="Palatino Linotype" w:eastAsia="Palatino Linotype" w:hAnsi="Palatino Linotype" w:cs="Palatino Linotype"/>
          <w:b/>
          <w:i/>
          <w:color w:val="0D0D0D"/>
        </w:rPr>
        <w:t xml:space="preserve">Nombre del procedimiento administrativo en materia ambiental; </w:t>
      </w:r>
    </w:p>
    <w:p w14:paraId="623106AF" w14:textId="77777777" w:rsidR="00511AA1" w:rsidRDefault="00511AA1" w:rsidP="00511AA1">
      <w:pPr>
        <w:spacing w:line="276" w:lineRule="auto"/>
        <w:ind w:left="567" w:right="539"/>
        <w:jc w:val="both"/>
        <w:rPr>
          <w:rFonts w:ascii="Palatino Linotype" w:eastAsia="Palatino Linotype" w:hAnsi="Palatino Linotype" w:cs="Palatino Linotype"/>
          <w:i/>
          <w:color w:val="0D0D0D"/>
        </w:rPr>
      </w:pPr>
      <w:r>
        <w:rPr>
          <w:rFonts w:ascii="Palatino Linotype" w:eastAsia="Palatino Linotype" w:hAnsi="Palatino Linotype" w:cs="Palatino Linotype"/>
          <w:i/>
          <w:color w:val="0D0D0D"/>
        </w:rPr>
        <w:t>Procedimiento Administrativo Común, con número de expediente PROPAEM-2021-07/VM/0466</w:t>
      </w:r>
    </w:p>
    <w:p w14:paraId="0DDA5E1D" w14:textId="77777777" w:rsidR="00511AA1" w:rsidRDefault="00511AA1" w:rsidP="00511AA1">
      <w:pPr>
        <w:spacing w:line="276" w:lineRule="auto"/>
        <w:ind w:left="567" w:right="539"/>
        <w:jc w:val="both"/>
        <w:rPr>
          <w:rFonts w:ascii="Palatino Linotype" w:eastAsia="Palatino Linotype" w:hAnsi="Palatino Linotype" w:cs="Palatino Linotype"/>
          <w:b/>
          <w:i/>
          <w:color w:val="0D0D0D"/>
        </w:rPr>
      </w:pPr>
      <w:r>
        <w:rPr>
          <w:rFonts w:ascii="Palatino Linotype" w:eastAsia="Palatino Linotype" w:hAnsi="Palatino Linotype" w:cs="Palatino Linotype"/>
          <w:i/>
          <w:color w:val="0D0D0D"/>
        </w:rPr>
        <w:t xml:space="preserve">b) </w:t>
      </w:r>
      <w:r>
        <w:rPr>
          <w:rFonts w:ascii="Palatino Linotype" w:eastAsia="Palatino Linotype" w:hAnsi="Palatino Linotype" w:cs="Palatino Linotype"/>
          <w:b/>
          <w:i/>
          <w:color w:val="0D0D0D"/>
        </w:rPr>
        <w:t xml:space="preserve">¿En qué consiste y cuál es la normatividad que lo regula? </w:t>
      </w:r>
      <w:r>
        <w:rPr>
          <w:rFonts w:ascii="Palatino Linotype" w:eastAsia="Palatino Linotype" w:hAnsi="Palatino Linotype" w:cs="Palatino Linotype"/>
          <w:i/>
          <w:color w:val="0D0D0D"/>
        </w:rPr>
        <w:t>El Procedimiento administrativo común, es un conjunto de actos jurídicos encaminados a que se otorgue cumplimiento a la normatividad ambiental vigente, mismo que comprende diversas etapas procesales, sustentado en las disposiciones establecidas en el Código de Procedimientos Administrativos del Estado de México y el cual, se inicia en contra de una persona física o jurídico colectiva, por detectarse irregularidades en el desarrollo de sus actividades en materia ambiental.</w:t>
      </w:r>
    </w:p>
    <w:p w14:paraId="0D593FA7" w14:textId="77777777" w:rsidR="00511AA1" w:rsidRDefault="00511AA1" w:rsidP="00511AA1">
      <w:pPr>
        <w:spacing w:line="276" w:lineRule="auto"/>
        <w:ind w:left="567" w:right="539"/>
        <w:jc w:val="both"/>
        <w:rPr>
          <w:rFonts w:ascii="Palatino Linotype" w:eastAsia="Palatino Linotype" w:hAnsi="Palatino Linotype" w:cs="Palatino Linotype"/>
          <w:b/>
          <w:i/>
          <w:color w:val="0D0D0D"/>
        </w:rPr>
      </w:pPr>
      <w:r>
        <w:rPr>
          <w:rFonts w:ascii="Palatino Linotype" w:eastAsia="Palatino Linotype" w:hAnsi="Palatino Linotype" w:cs="Palatino Linotype"/>
          <w:i/>
          <w:color w:val="0D0D0D"/>
        </w:rPr>
        <w:t>La normatividad que rige dicho procedimiento administrativo es el Código para la Biodiversidad del</w:t>
      </w:r>
      <w:r>
        <w:rPr>
          <w:rFonts w:ascii="Palatino Linotype" w:eastAsia="Palatino Linotype" w:hAnsi="Palatino Linotype" w:cs="Palatino Linotype"/>
          <w:b/>
          <w:i/>
          <w:color w:val="0D0D0D"/>
        </w:rPr>
        <w:t xml:space="preserve"> </w:t>
      </w:r>
      <w:r>
        <w:rPr>
          <w:rFonts w:ascii="Palatino Linotype" w:eastAsia="Palatino Linotype" w:hAnsi="Palatino Linotype" w:cs="Palatino Linotype"/>
          <w:i/>
          <w:color w:val="0D0D0D"/>
        </w:rPr>
        <w:t>Estado de México y de manera supletoria, se aplica el Código de Procedimientos Administrativos del</w:t>
      </w:r>
      <w:r>
        <w:rPr>
          <w:rFonts w:ascii="Palatino Linotype" w:eastAsia="Palatino Linotype" w:hAnsi="Palatino Linotype" w:cs="Palatino Linotype"/>
          <w:b/>
          <w:i/>
          <w:color w:val="0D0D0D"/>
        </w:rPr>
        <w:t xml:space="preserve"> </w:t>
      </w:r>
      <w:r>
        <w:rPr>
          <w:rFonts w:ascii="Palatino Linotype" w:eastAsia="Palatino Linotype" w:hAnsi="Palatino Linotype" w:cs="Palatino Linotype"/>
          <w:i/>
          <w:color w:val="0D0D0D"/>
        </w:rPr>
        <w:t>Estado de México.</w:t>
      </w:r>
    </w:p>
    <w:p w14:paraId="33EB973A" w14:textId="77777777" w:rsidR="00511AA1" w:rsidRDefault="00511AA1" w:rsidP="00511AA1">
      <w:pPr>
        <w:spacing w:line="276" w:lineRule="auto"/>
        <w:ind w:left="567" w:right="539"/>
        <w:jc w:val="both"/>
        <w:rPr>
          <w:rFonts w:ascii="Palatino Linotype" w:eastAsia="Palatino Linotype" w:hAnsi="Palatino Linotype" w:cs="Palatino Linotype"/>
          <w:i/>
          <w:color w:val="0D0D0D"/>
        </w:rPr>
      </w:pPr>
      <w:r>
        <w:rPr>
          <w:rFonts w:ascii="Palatino Linotype" w:eastAsia="Palatino Linotype" w:hAnsi="Palatino Linotype" w:cs="Palatino Linotype"/>
          <w:i/>
          <w:color w:val="0D0D0D"/>
        </w:rPr>
        <w:t xml:space="preserve">De manera adicional le refiero, que en el Libro Segundo del Código para la Biodiversidad, se estableció una parte adjetiva, que es aplicable a todos los demás libros del Código para </w:t>
      </w:r>
      <w:r>
        <w:rPr>
          <w:rFonts w:ascii="Palatino Linotype" w:eastAsia="Palatino Linotype" w:hAnsi="Palatino Linotype" w:cs="Palatino Linotype"/>
          <w:i/>
          <w:color w:val="0D0D0D"/>
        </w:rPr>
        <w:lastRenderedPageBreak/>
        <w:t>regular fundamentalmente el procedimiento administrativo para la imposición de sanciones, en los que se incluye, entre otras cosas, de una forma clara y congruente con las garantías de audiencia y seguridad jurídica: las reglas para realizar una visita de inspección; así como todo el procedimiento administrativo, en particular establece el derecho de ser oído y en su caso vencido.</w:t>
      </w:r>
    </w:p>
    <w:p w14:paraId="70155054" w14:textId="77777777" w:rsidR="00511AA1" w:rsidRDefault="00511AA1" w:rsidP="00511AA1">
      <w:pPr>
        <w:spacing w:line="276" w:lineRule="auto"/>
        <w:ind w:left="567" w:right="539"/>
        <w:jc w:val="both"/>
        <w:rPr>
          <w:rFonts w:ascii="Palatino Linotype" w:eastAsia="Palatino Linotype" w:hAnsi="Palatino Linotype" w:cs="Palatino Linotype"/>
          <w:i/>
          <w:color w:val="0D0D0D"/>
        </w:rPr>
      </w:pPr>
      <w:r>
        <w:rPr>
          <w:rFonts w:ascii="Palatino Linotype" w:eastAsia="Palatino Linotype" w:hAnsi="Palatino Linotype" w:cs="Palatino Linotype"/>
          <w:i/>
          <w:color w:val="0D0D0D"/>
        </w:rPr>
        <w:t>Lo anterior se observa de manera precisa en los ordenamientos jurídicos que se citan a continuación:</w:t>
      </w:r>
    </w:p>
    <w:p w14:paraId="7CB7928F" w14:textId="77777777" w:rsidR="00511AA1" w:rsidRDefault="00511AA1" w:rsidP="00511AA1">
      <w:pPr>
        <w:spacing w:line="276" w:lineRule="auto"/>
        <w:ind w:left="567" w:right="539"/>
        <w:jc w:val="both"/>
        <w:rPr>
          <w:rFonts w:ascii="Palatino Linotype" w:eastAsia="Palatino Linotype" w:hAnsi="Palatino Linotype" w:cs="Palatino Linotype"/>
          <w:i/>
          <w:color w:val="0D0D0D"/>
        </w:rPr>
      </w:pPr>
      <w:r>
        <w:rPr>
          <w:rFonts w:ascii="Palatino Linotype" w:eastAsia="Palatino Linotype" w:hAnsi="Palatino Linotype" w:cs="Palatino Linotype"/>
          <w:i/>
          <w:color w:val="0D0D0D"/>
        </w:rPr>
        <w:t>…</w:t>
      </w:r>
    </w:p>
    <w:p w14:paraId="297E7575" w14:textId="77777777" w:rsidR="00511AA1" w:rsidRDefault="00511AA1" w:rsidP="00511AA1">
      <w:pPr>
        <w:spacing w:line="276" w:lineRule="auto"/>
        <w:ind w:left="567" w:right="539"/>
        <w:jc w:val="both"/>
        <w:rPr>
          <w:rFonts w:ascii="Palatino Linotype" w:eastAsia="Palatino Linotype" w:hAnsi="Palatino Linotype" w:cs="Palatino Linotype"/>
          <w:b/>
          <w:i/>
          <w:color w:val="0D0D0D"/>
        </w:rPr>
      </w:pPr>
      <w:r>
        <w:rPr>
          <w:rFonts w:ascii="Palatino Linotype" w:eastAsia="Palatino Linotype" w:hAnsi="Palatino Linotype" w:cs="Palatino Linotype"/>
          <w:b/>
          <w:i/>
          <w:color w:val="0D0D0D"/>
        </w:rPr>
        <w:t>c) Nombre de las partes que conforman el procedimiento;</w:t>
      </w:r>
    </w:p>
    <w:p w14:paraId="736CC691" w14:textId="77777777" w:rsidR="00511AA1" w:rsidRDefault="00511AA1" w:rsidP="00511AA1">
      <w:pPr>
        <w:spacing w:line="276" w:lineRule="auto"/>
        <w:ind w:left="567" w:right="539"/>
        <w:jc w:val="both"/>
        <w:rPr>
          <w:rFonts w:ascii="Palatino Linotype" w:eastAsia="Palatino Linotype" w:hAnsi="Palatino Linotype" w:cs="Palatino Linotype"/>
          <w:b/>
          <w:i/>
          <w:color w:val="0D0D0D"/>
        </w:rPr>
      </w:pPr>
      <w:r>
        <w:rPr>
          <w:rFonts w:ascii="Palatino Linotype" w:eastAsia="Palatino Linotype" w:hAnsi="Palatino Linotype" w:cs="Palatino Linotype"/>
          <w:i/>
          <w:color w:val="0D0D0D"/>
        </w:rPr>
        <w:t>En atención al presente punto, es importante precisar, que la figura del denunciante no forma parte del procedimiento administrativo común, sino que el mismo, puede ser parte del procedimiento cuando se apersone como tercero interesado dentro del mismo, de conformidad con lo dispuesto en el artículo 111 del</w:t>
      </w:r>
      <w:r>
        <w:rPr>
          <w:rFonts w:ascii="Palatino Linotype" w:eastAsia="Palatino Linotype" w:hAnsi="Palatino Linotype" w:cs="Palatino Linotype"/>
          <w:b/>
          <w:i/>
          <w:color w:val="0D0D0D"/>
        </w:rPr>
        <w:t xml:space="preserve"> </w:t>
      </w:r>
      <w:r>
        <w:rPr>
          <w:rFonts w:ascii="Palatino Linotype" w:eastAsia="Palatino Linotype" w:hAnsi="Palatino Linotype" w:cs="Palatino Linotype"/>
          <w:i/>
          <w:color w:val="0D0D0D"/>
        </w:rPr>
        <w:t>Código de Procedimientos Administrativos vigente en la Entidad.</w:t>
      </w:r>
    </w:p>
    <w:p w14:paraId="47342F1A" w14:textId="77777777" w:rsidR="00511AA1" w:rsidRDefault="00511AA1" w:rsidP="00511AA1">
      <w:pPr>
        <w:spacing w:line="276" w:lineRule="auto"/>
        <w:ind w:left="567" w:right="539"/>
        <w:jc w:val="both"/>
        <w:rPr>
          <w:rFonts w:ascii="Palatino Linotype" w:eastAsia="Palatino Linotype" w:hAnsi="Palatino Linotype" w:cs="Palatino Linotype"/>
          <w:i/>
          <w:color w:val="0D0D0D"/>
        </w:rPr>
      </w:pPr>
      <w:r>
        <w:rPr>
          <w:rFonts w:ascii="Palatino Linotype" w:eastAsia="Palatino Linotype" w:hAnsi="Palatino Linotype" w:cs="Palatino Linotype"/>
          <w:i/>
          <w:color w:val="0D0D0D"/>
        </w:rPr>
        <w:t>Una vez precisado lo anterior, hago de su conocimiento que las partes en el procedimiento de mérito son: la Procuraduría de Protección al Ambiente del Estado de México, en su carácter de autoridad y el H. Ayuntamiento de Tlalnepantia de Baz, en su carácter de presunto infractor.</w:t>
      </w:r>
    </w:p>
    <w:p w14:paraId="6DFC17A0" w14:textId="77777777" w:rsidR="00511AA1" w:rsidRDefault="00511AA1" w:rsidP="00511AA1">
      <w:pPr>
        <w:spacing w:line="276" w:lineRule="auto"/>
        <w:ind w:left="567" w:right="539"/>
        <w:jc w:val="both"/>
        <w:rPr>
          <w:rFonts w:ascii="Palatino Linotype" w:eastAsia="Palatino Linotype" w:hAnsi="Palatino Linotype" w:cs="Palatino Linotype"/>
          <w:i/>
          <w:color w:val="0D0D0D"/>
        </w:rPr>
      </w:pPr>
      <w:r>
        <w:rPr>
          <w:rFonts w:ascii="Palatino Linotype" w:eastAsia="Palatino Linotype" w:hAnsi="Palatino Linotype" w:cs="Palatino Linotype"/>
          <w:i/>
          <w:color w:val="0D0D0D"/>
        </w:rPr>
        <w:t>Por último, manifiesto que en el procedimiento de mérito no se cuenta con la figura de tercero interesado.</w:t>
      </w:r>
    </w:p>
    <w:p w14:paraId="7B2351CD" w14:textId="77777777" w:rsidR="00511AA1" w:rsidRDefault="00511AA1" w:rsidP="00511AA1">
      <w:pPr>
        <w:spacing w:line="276" w:lineRule="auto"/>
        <w:ind w:left="567" w:right="539"/>
        <w:jc w:val="both"/>
        <w:rPr>
          <w:rFonts w:ascii="Palatino Linotype" w:eastAsia="Palatino Linotype" w:hAnsi="Palatino Linotype" w:cs="Palatino Linotype"/>
          <w:i/>
          <w:color w:val="0D0D0D"/>
        </w:rPr>
      </w:pPr>
    </w:p>
    <w:p w14:paraId="15062F45" w14:textId="77777777" w:rsidR="00511AA1" w:rsidRDefault="00511AA1" w:rsidP="00511AA1">
      <w:pPr>
        <w:spacing w:line="276" w:lineRule="auto"/>
        <w:ind w:left="567" w:right="539"/>
        <w:jc w:val="both"/>
        <w:rPr>
          <w:rFonts w:ascii="Palatino Linotype" w:eastAsia="Palatino Linotype" w:hAnsi="Palatino Linotype" w:cs="Palatino Linotype"/>
          <w:b/>
          <w:i/>
          <w:color w:val="0D0D0D"/>
        </w:rPr>
      </w:pPr>
      <w:r>
        <w:rPr>
          <w:rFonts w:ascii="Palatino Linotype" w:eastAsia="Palatino Linotype" w:hAnsi="Palatino Linotype" w:cs="Palatino Linotype"/>
          <w:b/>
          <w:i/>
          <w:color w:val="0D0D0D"/>
        </w:rPr>
        <w:t>d) ¿Cuáles son las etapas que conforman este?</w:t>
      </w:r>
    </w:p>
    <w:p w14:paraId="29501F0B" w14:textId="77777777" w:rsidR="00511AA1" w:rsidRDefault="00511AA1" w:rsidP="00511AA1">
      <w:pPr>
        <w:spacing w:line="276" w:lineRule="auto"/>
        <w:ind w:left="567" w:right="539"/>
        <w:jc w:val="both"/>
        <w:rPr>
          <w:rFonts w:ascii="Palatino Linotype" w:eastAsia="Palatino Linotype" w:hAnsi="Palatino Linotype" w:cs="Palatino Linotype"/>
          <w:i/>
          <w:color w:val="0D0D0D"/>
        </w:rPr>
      </w:pPr>
      <w:r>
        <w:rPr>
          <w:rFonts w:ascii="Palatino Linotype" w:eastAsia="Palatino Linotype" w:hAnsi="Palatino Linotype" w:cs="Palatino Linotype"/>
          <w:i/>
          <w:color w:val="0D0D0D"/>
        </w:rPr>
        <w:t xml:space="preserve">Por cuanto hace a este punto, es de precisar que en estricto sentido, la denuncia no forma parte del procedimiento. </w:t>
      </w:r>
    </w:p>
    <w:p w14:paraId="4AC0A3D3" w14:textId="77777777" w:rsidR="00511AA1" w:rsidRDefault="00511AA1" w:rsidP="00511AA1">
      <w:pPr>
        <w:spacing w:line="276" w:lineRule="auto"/>
        <w:ind w:left="567" w:right="539"/>
        <w:jc w:val="both"/>
        <w:rPr>
          <w:rFonts w:ascii="Palatino Linotype" w:eastAsia="Palatino Linotype" w:hAnsi="Palatino Linotype" w:cs="Palatino Linotype"/>
          <w:i/>
          <w:color w:val="0D0D0D"/>
        </w:rPr>
      </w:pPr>
      <w:r>
        <w:rPr>
          <w:rFonts w:ascii="Palatino Linotype" w:eastAsia="Palatino Linotype" w:hAnsi="Palatino Linotype" w:cs="Palatino Linotype"/>
          <w:i/>
          <w:color w:val="0D0D0D"/>
        </w:rPr>
        <w:t xml:space="preserve">Por tal motivo, las etapas del procedimiento administrativo común son las siguientes: </w:t>
      </w:r>
    </w:p>
    <w:p w14:paraId="5B59AB5F" w14:textId="77777777" w:rsidR="00511AA1" w:rsidRDefault="00511AA1" w:rsidP="00511AA1">
      <w:pPr>
        <w:spacing w:line="276" w:lineRule="auto"/>
        <w:ind w:left="567" w:right="539"/>
        <w:jc w:val="center"/>
        <w:rPr>
          <w:rFonts w:ascii="Palatino Linotype" w:eastAsia="Palatino Linotype" w:hAnsi="Palatino Linotype" w:cs="Palatino Linotype"/>
          <w:i/>
          <w:color w:val="0D0D0D"/>
        </w:rPr>
      </w:pPr>
      <w:r>
        <w:rPr>
          <w:rFonts w:ascii="Palatino Linotype" w:eastAsia="Palatino Linotype" w:hAnsi="Palatino Linotype" w:cs="Palatino Linotype"/>
          <w:i/>
          <w:noProof/>
          <w:color w:val="0D0D0D"/>
          <w:lang w:eastAsia="es-MX"/>
        </w:rPr>
        <w:lastRenderedPageBreak/>
        <w:drawing>
          <wp:inline distT="0" distB="0" distL="0" distR="0" wp14:anchorId="7D2E765F" wp14:editId="7A8015B1">
            <wp:extent cx="4500947" cy="2214877"/>
            <wp:effectExtent l="0" t="0" r="0" b="0"/>
            <wp:docPr id="6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4500947" cy="2214877"/>
                    </a:xfrm>
                    <a:prstGeom prst="rect">
                      <a:avLst/>
                    </a:prstGeom>
                    <a:ln/>
                  </pic:spPr>
                </pic:pic>
              </a:graphicData>
            </a:graphic>
          </wp:inline>
        </w:drawing>
      </w:r>
    </w:p>
    <w:p w14:paraId="1A104490" w14:textId="77777777" w:rsidR="00511AA1" w:rsidRDefault="00511AA1" w:rsidP="00511AA1">
      <w:pPr>
        <w:spacing w:line="276" w:lineRule="auto"/>
        <w:ind w:left="567" w:right="539"/>
        <w:jc w:val="both"/>
        <w:rPr>
          <w:rFonts w:ascii="Palatino Linotype" w:eastAsia="Palatino Linotype" w:hAnsi="Palatino Linotype" w:cs="Palatino Linotype"/>
          <w:i/>
          <w:color w:val="0D0D0D"/>
        </w:rPr>
      </w:pPr>
    </w:p>
    <w:p w14:paraId="7D23151C" w14:textId="77777777" w:rsidR="00511AA1" w:rsidRDefault="00511AA1" w:rsidP="00511AA1">
      <w:pPr>
        <w:spacing w:line="276" w:lineRule="auto"/>
        <w:ind w:left="567" w:right="539"/>
        <w:jc w:val="both"/>
        <w:rPr>
          <w:rFonts w:ascii="Palatino Linotype" w:eastAsia="Palatino Linotype" w:hAnsi="Palatino Linotype" w:cs="Palatino Linotype"/>
          <w:b/>
          <w:i/>
          <w:color w:val="0D0D0D"/>
        </w:rPr>
      </w:pPr>
      <w:r>
        <w:rPr>
          <w:rFonts w:ascii="Palatino Linotype" w:eastAsia="Palatino Linotype" w:hAnsi="Palatino Linotype" w:cs="Palatino Linotype"/>
          <w:b/>
          <w:i/>
          <w:color w:val="0D0D0D"/>
        </w:rPr>
        <w:t>e) Indique la etapa en la que se encontraba a la fecha de la solicitud;</w:t>
      </w:r>
    </w:p>
    <w:p w14:paraId="45EDDA58" w14:textId="77777777" w:rsidR="00511AA1" w:rsidRDefault="00511AA1" w:rsidP="00511AA1">
      <w:pPr>
        <w:spacing w:line="276" w:lineRule="auto"/>
        <w:ind w:left="567" w:right="539"/>
        <w:jc w:val="both"/>
        <w:rPr>
          <w:rFonts w:ascii="Palatino Linotype" w:eastAsia="Palatino Linotype" w:hAnsi="Palatino Linotype" w:cs="Palatino Linotype"/>
          <w:i/>
          <w:color w:val="0D0D0D"/>
        </w:rPr>
      </w:pPr>
    </w:p>
    <w:p w14:paraId="50DE2F85" w14:textId="77777777" w:rsidR="00511AA1" w:rsidRDefault="00511AA1" w:rsidP="00511AA1">
      <w:pPr>
        <w:spacing w:line="276" w:lineRule="auto"/>
        <w:ind w:left="567" w:right="539"/>
        <w:jc w:val="both"/>
        <w:rPr>
          <w:rFonts w:ascii="Palatino Linotype" w:eastAsia="Palatino Linotype" w:hAnsi="Palatino Linotype" w:cs="Palatino Linotype"/>
          <w:i/>
          <w:color w:val="0D0D0D"/>
        </w:rPr>
      </w:pPr>
      <w:r>
        <w:rPr>
          <w:rFonts w:ascii="Palatino Linotype" w:eastAsia="Palatino Linotype" w:hAnsi="Palatino Linotype" w:cs="Palatino Linotype"/>
          <w:i/>
          <w:color w:val="0D0D0D"/>
        </w:rPr>
        <w:t>El procedimiento administrativo PROPAEM-2021-07/VM/0466, seguido en forma de juicio se encontraba en la etapa de emisión y notificación de resolución</w:t>
      </w:r>
    </w:p>
    <w:p w14:paraId="76D1DB14" w14:textId="77777777" w:rsidR="00511AA1" w:rsidRDefault="00511AA1" w:rsidP="00511AA1">
      <w:pPr>
        <w:spacing w:line="276" w:lineRule="auto"/>
        <w:ind w:left="567" w:right="539"/>
        <w:jc w:val="both"/>
        <w:rPr>
          <w:rFonts w:ascii="Palatino Linotype" w:eastAsia="Palatino Linotype" w:hAnsi="Palatino Linotype" w:cs="Palatino Linotype"/>
          <w:i/>
          <w:color w:val="0D0D0D"/>
        </w:rPr>
      </w:pPr>
    </w:p>
    <w:p w14:paraId="6BCE7F54" w14:textId="77777777" w:rsidR="00511AA1" w:rsidRDefault="00511AA1" w:rsidP="00511AA1">
      <w:pPr>
        <w:spacing w:line="276" w:lineRule="auto"/>
        <w:ind w:left="567" w:right="539"/>
        <w:jc w:val="both"/>
        <w:rPr>
          <w:rFonts w:ascii="Palatino Linotype" w:eastAsia="Palatino Linotype" w:hAnsi="Palatino Linotype" w:cs="Palatino Linotype"/>
          <w:b/>
          <w:i/>
          <w:color w:val="0D0D0D"/>
        </w:rPr>
      </w:pPr>
      <w:r>
        <w:rPr>
          <w:rFonts w:ascii="Palatino Linotype" w:eastAsia="Palatino Linotype" w:hAnsi="Palatino Linotype" w:cs="Palatino Linotype"/>
          <w:b/>
          <w:i/>
          <w:color w:val="0D0D0D"/>
        </w:rPr>
        <w:t>f) Fecha aproximada de conclusión;</w:t>
      </w:r>
    </w:p>
    <w:p w14:paraId="6BF7BD76" w14:textId="77777777" w:rsidR="00511AA1" w:rsidRDefault="00511AA1" w:rsidP="00511AA1">
      <w:pPr>
        <w:spacing w:line="276" w:lineRule="auto"/>
        <w:ind w:left="567" w:right="539"/>
        <w:jc w:val="both"/>
        <w:rPr>
          <w:rFonts w:ascii="Palatino Linotype" w:eastAsia="Palatino Linotype" w:hAnsi="Palatino Linotype" w:cs="Palatino Linotype"/>
          <w:b/>
          <w:i/>
          <w:color w:val="0D0D0D"/>
        </w:rPr>
      </w:pPr>
      <w:r>
        <w:rPr>
          <w:rFonts w:ascii="Palatino Linotype" w:eastAsia="Palatino Linotype" w:hAnsi="Palatino Linotype" w:cs="Palatino Linotype"/>
          <w:i/>
          <w:color w:val="0D0D0D"/>
        </w:rPr>
        <w:t>De manera atenta hago de su conocimiento, que el expediente número PROPAEM-2021-07/M/0466, se encuentra en etapa de emisión y notificación de resolución, y por tanto, se encuentra pendiente aún de la resolución que en derecho corresponda, la cual es el final del procedimiento administrativo sin embargo, si esta última condena al infractor a un hacer o dejar de hacer o realizar un pago, dicha conclusión será hasta que el particular dé cabal cumplimiento a lo condenado en la resolución.</w:t>
      </w:r>
    </w:p>
    <w:p w14:paraId="317DC4D3" w14:textId="77777777" w:rsidR="00511AA1" w:rsidRDefault="00511AA1" w:rsidP="00511AA1">
      <w:pPr>
        <w:spacing w:line="276" w:lineRule="auto"/>
        <w:ind w:left="567" w:right="539"/>
        <w:jc w:val="both"/>
        <w:rPr>
          <w:rFonts w:ascii="Palatino Linotype" w:eastAsia="Palatino Linotype" w:hAnsi="Palatino Linotype" w:cs="Palatino Linotype"/>
          <w:i/>
          <w:color w:val="0D0D0D"/>
        </w:rPr>
      </w:pPr>
      <w:r>
        <w:rPr>
          <w:rFonts w:ascii="Palatino Linotype" w:eastAsia="Palatino Linotype" w:hAnsi="Palatino Linotype" w:cs="Palatino Linotype"/>
          <w:i/>
          <w:color w:val="0D0D0D"/>
        </w:rPr>
        <w:t xml:space="preserve">En ese sentido, esta autoridad no puede proporcionar una fecha aproximada de conclusión, ya que con base en lo dispuesto en el marco jurídico que rige a esta autoridad ambiental, si para el caso que el infractor no realice el pago de la multa impuesta, se deberá dar vista a la Secretaría de Finanzas para que implemente el procedimiento administrativo de ejecución, sustanciación que es ajena a esta autoridad, adicional a los </w:t>
      </w:r>
      <w:r>
        <w:rPr>
          <w:rFonts w:ascii="Palatino Linotype" w:eastAsia="Palatino Linotype" w:hAnsi="Palatino Linotype" w:cs="Palatino Linotype"/>
          <w:i/>
          <w:color w:val="0D0D0D"/>
        </w:rPr>
        <w:lastRenderedPageBreak/>
        <w:t>medios de defensa con los que cuenta el particular como lo es el Recurso de Inconformidad, Juicio Administrativo,</w:t>
      </w:r>
    </w:p>
    <w:p w14:paraId="40F49018" w14:textId="77777777" w:rsidR="00511AA1" w:rsidRDefault="00511AA1" w:rsidP="00511AA1">
      <w:pPr>
        <w:spacing w:line="276" w:lineRule="auto"/>
        <w:ind w:left="567" w:right="539"/>
        <w:jc w:val="both"/>
        <w:rPr>
          <w:rFonts w:ascii="Palatino Linotype" w:eastAsia="Palatino Linotype" w:hAnsi="Palatino Linotype" w:cs="Palatino Linotype"/>
          <w:i/>
          <w:color w:val="0D0D0D"/>
        </w:rPr>
      </w:pPr>
      <w:r>
        <w:rPr>
          <w:rFonts w:ascii="Palatino Linotype" w:eastAsia="Palatino Linotype" w:hAnsi="Palatino Linotype" w:cs="Palatino Linotype"/>
          <w:i/>
          <w:color w:val="0D0D0D"/>
        </w:rPr>
        <w:t>Recurso de Revisión, Juicio de Amparo, Recurso de Revisión.</w:t>
      </w:r>
    </w:p>
    <w:p w14:paraId="0148C077" w14:textId="77777777" w:rsidR="00511AA1" w:rsidRDefault="00511AA1" w:rsidP="00511AA1">
      <w:pPr>
        <w:spacing w:line="276" w:lineRule="auto"/>
        <w:ind w:left="567" w:right="539"/>
        <w:jc w:val="both"/>
        <w:rPr>
          <w:rFonts w:ascii="Palatino Linotype" w:eastAsia="Palatino Linotype" w:hAnsi="Palatino Linotype" w:cs="Palatino Linotype"/>
          <w:i/>
          <w:color w:val="0D0D0D"/>
        </w:rPr>
      </w:pPr>
    </w:p>
    <w:p w14:paraId="5F0C3D3E" w14:textId="77777777" w:rsidR="00511AA1" w:rsidRDefault="00511AA1" w:rsidP="00511AA1">
      <w:pPr>
        <w:spacing w:line="276" w:lineRule="auto"/>
        <w:ind w:left="567" w:right="539"/>
        <w:jc w:val="both"/>
        <w:rPr>
          <w:rFonts w:ascii="Palatino Linotype" w:eastAsia="Palatino Linotype" w:hAnsi="Palatino Linotype" w:cs="Palatino Linotype"/>
          <w:b/>
          <w:i/>
          <w:color w:val="0D0D0D"/>
        </w:rPr>
      </w:pPr>
      <w:r>
        <w:rPr>
          <w:rFonts w:ascii="Palatino Linotype" w:eastAsia="Palatino Linotype" w:hAnsi="Palatino Linotype" w:cs="Palatino Linotype"/>
          <w:b/>
          <w:i/>
          <w:color w:val="0D0D0D"/>
        </w:rPr>
        <w:t>g) Razones por las cuáles, considera que la difusión de la información requerida por el solicitante puede afectarlo;</w:t>
      </w:r>
    </w:p>
    <w:p w14:paraId="73964D36" w14:textId="77777777" w:rsidR="00511AA1" w:rsidRDefault="00511AA1" w:rsidP="00511AA1">
      <w:pPr>
        <w:spacing w:line="276" w:lineRule="auto"/>
        <w:ind w:left="567" w:right="539"/>
        <w:jc w:val="both"/>
        <w:rPr>
          <w:rFonts w:ascii="Palatino Linotype" w:eastAsia="Palatino Linotype" w:hAnsi="Palatino Linotype" w:cs="Palatino Linotype"/>
          <w:i/>
          <w:color w:val="0D0D0D"/>
        </w:rPr>
      </w:pPr>
    </w:p>
    <w:p w14:paraId="681D062D" w14:textId="77777777" w:rsidR="00511AA1" w:rsidRDefault="00511AA1" w:rsidP="00511AA1">
      <w:pPr>
        <w:spacing w:line="276" w:lineRule="auto"/>
        <w:ind w:left="567" w:right="539"/>
        <w:jc w:val="both"/>
        <w:rPr>
          <w:rFonts w:ascii="Palatino Linotype" w:eastAsia="Palatino Linotype" w:hAnsi="Palatino Linotype" w:cs="Palatino Linotype"/>
          <w:b/>
          <w:i/>
          <w:color w:val="0D0D0D"/>
        </w:rPr>
      </w:pPr>
      <w:r>
        <w:rPr>
          <w:rFonts w:ascii="Palatino Linotype" w:eastAsia="Palatino Linotype" w:hAnsi="Palatino Linotype" w:cs="Palatino Linotype"/>
          <w:b/>
          <w:i/>
          <w:color w:val="0D0D0D"/>
        </w:rPr>
        <w:t xml:space="preserve">a) Porque constituye un riesgo real, demostrable e identificable. </w:t>
      </w:r>
    </w:p>
    <w:p w14:paraId="3C82EC67" w14:textId="77777777" w:rsidR="00511AA1" w:rsidRDefault="00511AA1" w:rsidP="00511AA1">
      <w:pPr>
        <w:spacing w:line="276" w:lineRule="auto"/>
        <w:ind w:left="567" w:right="539"/>
        <w:jc w:val="both"/>
        <w:rPr>
          <w:rFonts w:ascii="Palatino Linotype" w:eastAsia="Palatino Linotype" w:hAnsi="Palatino Linotype" w:cs="Palatino Linotype"/>
          <w:i/>
          <w:color w:val="0D0D0D"/>
        </w:rPr>
      </w:pPr>
    </w:p>
    <w:p w14:paraId="05B3EF28" w14:textId="77777777" w:rsidR="00511AA1" w:rsidRDefault="00511AA1" w:rsidP="00511AA1">
      <w:pPr>
        <w:spacing w:line="276" w:lineRule="auto"/>
        <w:ind w:left="567" w:right="539"/>
        <w:jc w:val="both"/>
        <w:rPr>
          <w:rFonts w:ascii="Palatino Linotype" w:eastAsia="Palatino Linotype" w:hAnsi="Palatino Linotype" w:cs="Palatino Linotype"/>
          <w:i/>
          <w:color w:val="0D0D0D"/>
        </w:rPr>
      </w:pPr>
      <w:r>
        <w:rPr>
          <w:rFonts w:ascii="Palatino Linotype" w:eastAsia="Palatino Linotype" w:hAnsi="Palatino Linotype" w:cs="Palatino Linotype"/>
          <w:i/>
          <w:color w:val="0D0D0D"/>
        </w:rPr>
        <w:t>Toda vez que de dar a conocer el contenido del expediente número PROPAEM-2021-07/V/M/0466, mismos que se encuentran en emisión de resolución respectiva en la Subdirección de Atención y Seguimiento de Procedimientos de esta autoridad ambiental, podría afectar al posible responsable infractor, pues se darían a conocer los motivos por los cuales se inspeccionó y se encontraron irregularidades u omisiones, lo cual podría generar una percepción negativa de este, sin que se hubiere probado su responsabilidad, además de que la ciudadanía podría considerar que hubo una actuación irregular sin que esta autoridad ambiental lo haya determinado, situación que podría afectar su honor, buena reputación o buena fama.</w:t>
      </w:r>
    </w:p>
    <w:p w14:paraId="62EA8CCC" w14:textId="77777777" w:rsidR="00511AA1" w:rsidRDefault="00511AA1" w:rsidP="00511AA1">
      <w:pPr>
        <w:spacing w:line="276" w:lineRule="auto"/>
        <w:ind w:left="567" w:right="539"/>
        <w:jc w:val="both"/>
        <w:rPr>
          <w:rFonts w:ascii="Palatino Linotype" w:eastAsia="Palatino Linotype" w:hAnsi="Palatino Linotype" w:cs="Palatino Linotype"/>
          <w:i/>
          <w:color w:val="0D0D0D"/>
        </w:rPr>
      </w:pPr>
      <w:r>
        <w:rPr>
          <w:rFonts w:ascii="Palatino Linotype" w:eastAsia="Palatino Linotype" w:hAnsi="Palatino Linotype" w:cs="Palatino Linotype"/>
          <w:i/>
          <w:color w:val="0D0D0D"/>
        </w:rPr>
        <w:t>…</w:t>
      </w:r>
    </w:p>
    <w:p w14:paraId="5B2861F2" w14:textId="77777777" w:rsidR="00511AA1" w:rsidRDefault="00511AA1" w:rsidP="00511AA1">
      <w:pPr>
        <w:spacing w:line="276" w:lineRule="auto"/>
        <w:ind w:left="567" w:right="539"/>
        <w:jc w:val="both"/>
        <w:rPr>
          <w:rFonts w:ascii="Palatino Linotype" w:eastAsia="Palatino Linotype" w:hAnsi="Palatino Linotype" w:cs="Palatino Linotype"/>
          <w:i/>
          <w:color w:val="0D0D0D"/>
        </w:rPr>
      </w:pPr>
    </w:p>
    <w:p w14:paraId="37427A13" w14:textId="77777777" w:rsidR="00511AA1" w:rsidRDefault="00511AA1" w:rsidP="00511AA1">
      <w:pPr>
        <w:spacing w:line="276" w:lineRule="auto"/>
        <w:ind w:left="567" w:right="539"/>
        <w:jc w:val="both"/>
        <w:rPr>
          <w:rFonts w:ascii="Palatino Linotype" w:eastAsia="Palatino Linotype" w:hAnsi="Palatino Linotype" w:cs="Palatino Linotype"/>
          <w:b/>
          <w:i/>
          <w:color w:val="0D0D0D"/>
        </w:rPr>
      </w:pPr>
      <w:r>
        <w:rPr>
          <w:rFonts w:ascii="Palatino Linotype" w:eastAsia="Palatino Linotype" w:hAnsi="Palatino Linotype" w:cs="Palatino Linotype"/>
          <w:b/>
          <w:i/>
          <w:color w:val="0D0D0D"/>
        </w:rPr>
        <w:t>h) ¿Cómo Incide en la toma de la decisión definitiva el dar a conocer el contenido en el expediente materia a solicitud?;</w:t>
      </w:r>
    </w:p>
    <w:p w14:paraId="0C51F9BB" w14:textId="77777777" w:rsidR="00511AA1" w:rsidRDefault="00511AA1" w:rsidP="00511AA1">
      <w:pPr>
        <w:spacing w:line="276" w:lineRule="auto"/>
        <w:ind w:left="567" w:right="539"/>
        <w:jc w:val="both"/>
        <w:rPr>
          <w:rFonts w:ascii="Palatino Linotype" w:eastAsia="Palatino Linotype" w:hAnsi="Palatino Linotype" w:cs="Palatino Linotype"/>
          <w:i/>
          <w:color w:val="0D0D0D"/>
        </w:rPr>
      </w:pPr>
      <w:r>
        <w:rPr>
          <w:rFonts w:ascii="Palatino Linotype" w:eastAsia="Palatino Linotype" w:hAnsi="Palatino Linotype" w:cs="Palatino Linotype"/>
          <w:i/>
          <w:color w:val="0D0D0D"/>
        </w:rPr>
        <w:t xml:space="preserve">Al respecto, como fuera referido anteriormente, esta autoridad considera que el otorgar la información antes de quedar firme el procedimiento en mérito puede afectar a que se conozcan datos inherentes al mismo, lo que depararía en la interposición de medios de defensa, así como afectar la fama pública y la esfera jurídica del presunto infractor; así mismo, esta Procuraduría tiene como finalidad velar por el interés público, social o general resguardado en el artículo 4º constitucional, por lo que otorgar dicha información </w:t>
      </w:r>
      <w:r>
        <w:rPr>
          <w:rFonts w:ascii="Palatino Linotype" w:eastAsia="Palatino Linotype" w:hAnsi="Palatino Linotype" w:cs="Palatino Linotype"/>
          <w:i/>
          <w:color w:val="0D0D0D"/>
        </w:rPr>
        <w:lastRenderedPageBreak/>
        <w:t>presumiría una violación flagrante al debido proceso, toda vez que el revelar la información contenida en el asunto, conllevaría a que éste pueda ser susceptible a la manipulación de la información en perjuicio del presunto infractor y con ello a la violación al derecho a un medio ambiente sano para la población de la entidad.</w:t>
      </w:r>
    </w:p>
    <w:p w14:paraId="7D0DBE1F" w14:textId="77777777" w:rsidR="00511AA1" w:rsidRDefault="00511AA1" w:rsidP="00511AA1">
      <w:pPr>
        <w:spacing w:line="276" w:lineRule="auto"/>
        <w:ind w:left="567" w:right="539"/>
        <w:jc w:val="both"/>
        <w:rPr>
          <w:rFonts w:ascii="Palatino Linotype" w:eastAsia="Palatino Linotype" w:hAnsi="Palatino Linotype" w:cs="Palatino Linotype"/>
          <w:i/>
          <w:color w:val="0D0D0D"/>
        </w:rPr>
      </w:pPr>
      <w:r>
        <w:rPr>
          <w:rFonts w:ascii="Palatino Linotype" w:eastAsia="Palatino Linotype" w:hAnsi="Palatino Linotype" w:cs="Palatino Linotype"/>
          <w:i/>
          <w:color w:val="0D0D0D"/>
        </w:rPr>
        <w:t>En ese orden de ideas, el revelar datos del presunto infractor a un particular que no forma parte del procedimiento aun cuando existe dentro del Código de Procedimiento Administrativos del Estado de México, la formalidad establecida para ser parte del procedimiento haria que se violente la protección de datos de las partes que fungen en el mismo y de la normatividad en materia administrativa.</w:t>
      </w:r>
    </w:p>
    <w:p w14:paraId="2796F4A6" w14:textId="77777777" w:rsidR="00511AA1" w:rsidRDefault="00511AA1" w:rsidP="00511AA1">
      <w:pPr>
        <w:spacing w:line="276" w:lineRule="auto"/>
        <w:ind w:left="567" w:right="539"/>
        <w:jc w:val="both"/>
        <w:rPr>
          <w:rFonts w:ascii="Palatino Linotype" w:eastAsia="Palatino Linotype" w:hAnsi="Palatino Linotype" w:cs="Palatino Linotype"/>
          <w:i/>
          <w:color w:val="0D0D0D"/>
        </w:rPr>
      </w:pPr>
      <w:r>
        <w:rPr>
          <w:rFonts w:ascii="Palatino Linotype" w:eastAsia="Palatino Linotype" w:hAnsi="Palatino Linotype" w:cs="Palatino Linotype"/>
          <w:i/>
          <w:color w:val="0D0D0D"/>
        </w:rPr>
        <w:t>La ponderación de interés de reservar la información contenida en el expediente de mérito, parte de la premisa de que dicho expediente aún se encuentra sustanciándose, y el hecho de entregar la información con la que se cuenta, crearía un riesgo de perjuicio directo al debido proceso a través de la documentación con la que se integra dicho expediente, cabe hacer hincapié en el hecho de que se tiene la obligación de tramitar dicho expediente desde el inicio hasta su conclusión. Esto constituye un interés superior al derecho de acceso a la información debido a que existe disposición expresa.</w:t>
      </w:r>
    </w:p>
    <w:p w14:paraId="23C1F1FD" w14:textId="77777777" w:rsidR="00511AA1" w:rsidRDefault="00511AA1" w:rsidP="00511AA1">
      <w:pPr>
        <w:spacing w:line="276" w:lineRule="auto"/>
        <w:ind w:left="567" w:right="539"/>
        <w:jc w:val="both"/>
        <w:rPr>
          <w:rFonts w:ascii="Palatino Linotype" w:eastAsia="Palatino Linotype" w:hAnsi="Palatino Linotype" w:cs="Palatino Linotype"/>
          <w:i/>
          <w:color w:val="0D0D0D"/>
        </w:rPr>
      </w:pPr>
      <w:r>
        <w:rPr>
          <w:rFonts w:ascii="Palatino Linotype" w:eastAsia="Palatino Linotype" w:hAnsi="Palatino Linotype" w:cs="Palatino Linotype"/>
          <w:i/>
          <w:color w:val="0D0D0D"/>
        </w:rPr>
        <w:t>Por lo anteriormente expuesto, de manera respetuosa le refiero que proporcionar la información afectaría y vulneraría la prerrogativa inherente al debido proceso en dicho procedimiento administrativo en materia ambiental, en tanto no haya quedado firme, tal como lo establece el artículo 140 fracción VIII de la Ley de Transparencia y Acceso a la Información Pública del Estado de México y Municipios, además de que traería como posible consecuencia aparejada, la interposición de diversos medios de defensa ante autoridades jurisdiccionales los cuales a su vez, pudieran según sea el caso, ordenar el cese o absolución del procedimiento incoado por esta autoridad ambiental, en contra del presunto infractor.</w:t>
      </w:r>
    </w:p>
    <w:p w14:paraId="626D377F" w14:textId="77777777" w:rsidR="00511AA1" w:rsidRDefault="00511AA1" w:rsidP="00511AA1">
      <w:pPr>
        <w:spacing w:line="276" w:lineRule="auto"/>
        <w:ind w:left="567" w:right="539"/>
        <w:jc w:val="both"/>
        <w:rPr>
          <w:rFonts w:ascii="Palatino Linotype" w:eastAsia="Palatino Linotype" w:hAnsi="Palatino Linotype" w:cs="Palatino Linotype"/>
          <w:i/>
          <w:color w:val="0D0D0D"/>
        </w:rPr>
      </w:pPr>
    </w:p>
    <w:p w14:paraId="12F6F302" w14:textId="77777777" w:rsidR="00511AA1" w:rsidRDefault="00511AA1" w:rsidP="00511AA1">
      <w:pPr>
        <w:spacing w:line="276" w:lineRule="auto"/>
        <w:ind w:left="567" w:right="539"/>
        <w:jc w:val="both"/>
        <w:rPr>
          <w:rFonts w:ascii="Palatino Linotype" w:eastAsia="Palatino Linotype" w:hAnsi="Palatino Linotype" w:cs="Palatino Linotype"/>
          <w:b/>
          <w:i/>
          <w:color w:val="0D0D0D"/>
        </w:rPr>
      </w:pPr>
      <w:r>
        <w:rPr>
          <w:rFonts w:ascii="Palatino Linotype" w:eastAsia="Palatino Linotype" w:hAnsi="Palatino Linotype" w:cs="Palatino Linotype"/>
          <w:b/>
          <w:i/>
          <w:color w:val="0D0D0D"/>
        </w:rPr>
        <w:t>i) ¿Por qué razón los sellos de clausura identificados con los números 10045/2021, 10046/2021, 10047/2021, 10048/2021, 10049/2021 y 10050/2021 forman parte integral del expediente administrativo con número PROPAEM-2021-07/VM/0466?</w:t>
      </w:r>
    </w:p>
    <w:p w14:paraId="26D54E79" w14:textId="77777777" w:rsidR="00511AA1" w:rsidRDefault="00511AA1" w:rsidP="00511AA1">
      <w:pPr>
        <w:spacing w:line="276" w:lineRule="auto"/>
        <w:ind w:left="567" w:right="539"/>
        <w:jc w:val="both"/>
        <w:rPr>
          <w:rFonts w:ascii="Palatino Linotype" w:eastAsia="Palatino Linotype" w:hAnsi="Palatino Linotype" w:cs="Palatino Linotype"/>
          <w:i/>
          <w:color w:val="0D0D0D"/>
        </w:rPr>
      </w:pPr>
    </w:p>
    <w:p w14:paraId="60303B04" w14:textId="77777777" w:rsidR="00511AA1" w:rsidRDefault="00511AA1" w:rsidP="00511AA1">
      <w:pPr>
        <w:spacing w:line="276" w:lineRule="auto"/>
        <w:ind w:left="567" w:right="539"/>
        <w:jc w:val="both"/>
        <w:rPr>
          <w:rFonts w:ascii="Palatino Linotype" w:eastAsia="Palatino Linotype" w:hAnsi="Palatino Linotype" w:cs="Palatino Linotype"/>
          <w:i/>
          <w:color w:val="0D0D0D"/>
        </w:rPr>
      </w:pPr>
      <w:r>
        <w:rPr>
          <w:rFonts w:ascii="Palatino Linotype" w:eastAsia="Palatino Linotype" w:hAnsi="Palatino Linotype" w:cs="Palatino Linotype"/>
          <w:i/>
          <w:color w:val="0D0D0D"/>
        </w:rPr>
        <w:t>Porque al momento de practicarse la visita de inspección que dio origen al procedimiento administrativo PROPAEM-2021-07/M/0466, el personal adscrito a esta Procuraduría Ambiental observó que se realizan actividades que pueden causar daños o deterioro graves a los recursos naturales, con repercusiones peligrosas para los ecosistemas y sus componentes, por lo que con fundamento en lo dispuesto por los artículos 2.67 fracción XX, 2.81, 2.130 fracciones I, VI y VII, 2133, 2.239, 2.241 fracción I, 2.277 fracción III, 2.281 fracción I, 2286 fracciones I y II del Código para la Biodiversidad del Estado de México, se decretó como medida de seguridad la clausura temporal total de las actividades realizadas.</w:t>
      </w:r>
    </w:p>
    <w:p w14:paraId="3554F819" w14:textId="77777777" w:rsidR="00511AA1" w:rsidRDefault="00511AA1" w:rsidP="00511AA1">
      <w:pPr>
        <w:spacing w:line="276" w:lineRule="auto"/>
        <w:ind w:left="567" w:right="539"/>
        <w:jc w:val="both"/>
        <w:rPr>
          <w:rFonts w:ascii="Palatino Linotype" w:eastAsia="Palatino Linotype" w:hAnsi="Palatino Linotype" w:cs="Palatino Linotype"/>
          <w:i/>
          <w:color w:val="0D0D0D"/>
        </w:rPr>
      </w:pPr>
    </w:p>
    <w:p w14:paraId="17BEA349" w14:textId="77777777" w:rsidR="00511AA1" w:rsidRDefault="00511AA1" w:rsidP="00511AA1">
      <w:pPr>
        <w:spacing w:line="276" w:lineRule="auto"/>
        <w:ind w:left="567" w:right="539"/>
        <w:jc w:val="both"/>
        <w:rPr>
          <w:rFonts w:ascii="Palatino Linotype" w:eastAsia="Palatino Linotype" w:hAnsi="Palatino Linotype" w:cs="Palatino Linotype"/>
          <w:b/>
          <w:i/>
          <w:color w:val="0D0D0D"/>
        </w:rPr>
      </w:pPr>
      <w:r>
        <w:rPr>
          <w:rFonts w:ascii="Palatino Linotype" w:eastAsia="Palatino Linotype" w:hAnsi="Palatino Linotype" w:cs="Palatino Linotype"/>
          <w:b/>
          <w:i/>
          <w:color w:val="0D0D0D"/>
        </w:rPr>
        <w:t>j) ¿Por qué razón o circunstancia se emitieron los sellos de clausura identificados con los números 10045/2021, 10046/2021, 10047/2021, 10048/2021, 10049/2021 у 10050/2021?</w:t>
      </w:r>
    </w:p>
    <w:p w14:paraId="078AF6F3" w14:textId="77777777" w:rsidR="00511AA1" w:rsidRDefault="00511AA1" w:rsidP="00511AA1">
      <w:pPr>
        <w:spacing w:line="276" w:lineRule="auto"/>
        <w:ind w:left="567" w:right="539"/>
        <w:jc w:val="both"/>
        <w:rPr>
          <w:rFonts w:ascii="Palatino Linotype" w:eastAsia="Palatino Linotype" w:hAnsi="Palatino Linotype" w:cs="Palatino Linotype"/>
          <w:i/>
          <w:color w:val="0D0D0D"/>
        </w:rPr>
      </w:pPr>
    </w:p>
    <w:p w14:paraId="79306A11" w14:textId="77777777" w:rsidR="00511AA1" w:rsidRDefault="00511AA1" w:rsidP="00511AA1">
      <w:pPr>
        <w:spacing w:line="276" w:lineRule="auto"/>
        <w:ind w:left="567" w:right="539"/>
        <w:jc w:val="both"/>
        <w:rPr>
          <w:rFonts w:ascii="Palatino Linotype" w:eastAsia="Palatino Linotype" w:hAnsi="Palatino Linotype" w:cs="Palatino Linotype"/>
          <w:i/>
          <w:color w:val="0D0D0D"/>
        </w:rPr>
      </w:pPr>
      <w:r>
        <w:rPr>
          <w:rFonts w:ascii="Palatino Linotype" w:eastAsia="Palatino Linotype" w:hAnsi="Palatino Linotype" w:cs="Palatino Linotype"/>
          <w:i/>
          <w:color w:val="0D0D0D"/>
        </w:rPr>
        <w:t xml:space="preserve">Los sellos de clausura los impone esta Procuraduria de Protección al Ambiente del Estado de México cuando existen daños graves a la preservación, restauración y protección del medio ambiente, alterando significativamente el ambiente original ocasionado por la actividad del ser humano, dañando considerablemente los recursos naturales con repercusiones peligrosas para los ecosistemas que indudablemente afectan a las personas y a los ecosistemas, quienes tienen derecho a gozar de un ambiente sano y adecuado para su desarrollo y bienestar, tal como lo prevé el artículo 4 de la Constitución Política de los Estados Unidos Mexicanos, y derivado de que en el predio sujeto a inspección se realizan actividades que pueden causar daños o deterioro graves a los recursos naturales, con repercusiones peligrosas para los ecosistemas y sus componentes, por lo que con fundamento en lo dispuesto por los artículos 2.67 fracción XX, 281, 2.130 fracciones I, VI Y VII, 2.133, 2.239, 2.241 fracción I, 2.277 fracción III, 2281 fracción I, 2.286 fracciones I y lI del Código para la Biodiversidad del Estado de México, se decretó como medida de seguridad la clausura temporal total de las actividades realizadas; esto, derivado de que al momento de practicarse la visita de inspección correspondiente, se </w:t>
      </w:r>
      <w:r>
        <w:rPr>
          <w:rFonts w:ascii="Palatino Linotype" w:eastAsia="Palatino Linotype" w:hAnsi="Palatino Linotype" w:cs="Palatino Linotype"/>
          <w:i/>
          <w:color w:val="0D0D0D"/>
        </w:rPr>
        <w:lastRenderedPageBreak/>
        <w:t>observaron posibles infracciones a la normatividad ambiental, específicamente a lo relativo al Impacto Ambiental.</w:t>
      </w:r>
    </w:p>
    <w:p w14:paraId="51620B4E" w14:textId="77777777" w:rsidR="00511AA1" w:rsidRDefault="00511AA1" w:rsidP="00511AA1">
      <w:pPr>
        <w:spacing w:line="276" w:lineRule="auto"/>
        <w:ind w:left="567" w:right="539"/>
        <w:jc w:val="both"/>
        <w:rPr>
          <w:rFonts w:ascii="Palatino Linotype" w:eastAsia="Palatino Linotype" w:hAnsi="Palatino Linotype" w:cs="Palatino Linotype"/>
          <w:i/>
          <w:color w:val="0D0D0D"/>
        </w:rPr>
      </w:pPr>
    </w:p>
    <w:p w14:paraId="3958965D" w14:textId="77777777" w:rsidR="00511AA1" w:rsidRDefault="00511AA1" w:rsidP="00511AA1">
      <w:pPr>
        <w:spacing w:line="276" w:lineRule="auto"/>
        <w:ind w:left="567" w:right="539"/>
        <w:jc w:val="both"/>
        <w:rPr>
          <w:rFonts w:ascii="Palatino Linotype" w:eastAsia="Palatino Linotype" w:hAnsi="Palatino Linotype" w:cs="Palatino Linotype"/>
          <w:b/>
          <w:i/>
          <w:color w:val="0D0D0D"/>
        </w:rPr>
      </w:pPr>
      <w:r>
        <w:rPr>
          <w:rFonts w:ascii="Palatino Linotype" w:eastAsia="Palatino Linotype" w:hAnsi="Palatino Linotype" w:cs="Palatino Linotype"/>
          <w:b/>
          <w:i/>
          <w:color w:val="0D0D0D"/>
        </w:rPr>
        <w:t>k) ¿El expediente reservado se relaciona con actos de corrupción y/o alguna excepción prevista en el artículo 142 de la Ley de Transparencia y Acceso a la Información Pública del Estado de México y Municipios?</w:t>
      </w:r>
    </w:p>
    <w:p w14:paraId="168D3E43" w14:textId="77777777" w:rsidR="00511AA1" w:rsidRDefault="00511AA1" w:rsidP="00511AA1">
      <w:pPr>
        <w:spacing w:line="276" w:lineRule="auto"/>
        <w:ind w:left="567" w:right="539"/>
        <w:jc w:val="both"/>
        <w:rPr>
          <w:rFonts w:ascii="Palatino Linotype" w:eastAsia="Palatino Linotype" w:hAnsi="Palatino Linotype" w:cs="Palatino Linotype"/>
          <w:i/>
          <w:color w:val="0D0D0D"/>
        </w:rPr>
      </w:pPr>
    </w:p>
    <w:p w14:paraId="439A46F6" w14:textId="77777777" w:rsidR="00511AA1" w:rsidRDefault="00511AA1" w:rsidP="00511AA1">
      <w:pPr>
        <w:spacing w:line="276" w:lineRule="auto"/>
        <w:ind w:left="567" w:right="539"/>
        <w:jc w:val="both"/>
        <w:rPr>
          <w:rFonts w:ascii="Palatino Linotype" w:eastAsia="Palatino Linotype" w:hAnsi="Palatino Linotype" w:cs="Palatino Linotype"/>
          <w:i/>
          <w:color w:val="0D0D0D"/>
        </w:rPr>
      </w:pPr>
      <w:r>
        <w:rPr>
          <w:rFonts w:ascii="Palatino Linotype" w:eastAsia="Palatino Linotype" w:hAnsi="Palatino Linotype" w:cs="Palatino Linotype"/>
          <w:i/>
          <w:color w:val="0D0D0D"/>
        </w:rPr>
        <w:t>Primeramente, respecto a la interrogante consistente en que si el expediente reservado se relaciona con actos de corrupción, se hace de su conocimiento que dicha atribución no se encuentra conferida a esta Procuraduría de Protección al Ambiente del Estado de México, de conformidad con el artículo 4 del Decreto del Ejecutivo del</w:t>
      </w:r>
    </w:p>
    <w:p w14:paraId="13817862" w14:textId="77777777" w:rsidR="00511AA1" w:rsidRDefault="00511AA1" w:rsidP="00511AA1">
      <w:pPr>
        <w:spacing w:line="276" w:lineRule="auto"/>
        <w:ind w:left="567" w:right="539"/>
        <w:jc w:val="both"/>
        <w:rPr>
          <w:rFonts w:ascii="Palatino Linotype" w:eastAsia="Palatino Linotype" w:hAnsi="Palatino Linotype" w:cs="Palatino Linotype"/>
          <w:i/>
          <w:color w:val="0D0D0D"/>
        </w:rPr>
      </w:pPr>
      <w:r>
        <w:rPr>
          <w:rFonts w:ascii="Palatino Linotype" w:eastAsia="Palatino Linotype" w:hAnsi="Palatino Linotype" w:cs="Palatino Linotype"/>
          <w:i/>
          <w:color w:val="0D0D0D"/>
        </w:rPr>
        <w:t>Estado por el que se transforma el Órgano Desconcentrado denominado Procuraduría de Protección al Ambiente del Estado de México, en Organismo Público Descentralizado, publicado en el Periódico Oficial "Gaceta del Gobierno" el 7 de diciembre de 2007, así como en el Decreto del Ejecutivo del Estadio por el que se reforma el diverso por el que se transforma el Organio Desconcentrado denominado Procuraduría de Protección al Ambiente del Estado de México, en Organismo Público Descentralizado, publicado en el Periódico Oficial "Gaceta del Gobierno" el 16 de diciembre de 201; por tal motivo no es posible atender su requerimiento en los términos solicitados</w:t>
      </w:r>
    </w:p>
    <w:p w14:paraId="739218D2" w14:textId="77777777" w:rsidR="00511AA1" w:rsidRDefault="00511AA1" w:rsidP="00511AA1">
      <w:pPr>
        <w:spacing w:line="276" w:lineRule="auto"/>
        <w:ind w:left="567" w:right="539"/>
        <w:jc w:val="both"/>
        <w:rPr>
          <w:rFonts w:ascii="Palatino Linotype" w:eastAsia="Palatino Linotype" w:hAnsi="Palatino Linotype" w:cs="Palatino Linotype"/>
          <w:i/>
          <w:color w:val="0D0D0D"/>
        </w:rPr>
      </w:pPr>
      <w:r>
        <w:rPr>
          <w:rFonts w:ascii="Palatino Linotype" w:eastAsia="Palatino Linotype" w:hAnsi="Palatino Linotype" w:cs="Palatino Linotype"/>
          <w:i/>
          <w:color w:val="0D0D0D"/>
        </w:rPr>
        <w:t>Ahora bien, por lo que respecta a su interrogante consistente en que si el expediente reservado se encuentra en alguna excepción prevista en el artículo 142 de la Ley de Trasparencia vigente en la Entidad; al respecto, hago de su conocimiento que el procedimiento administrativo PROPAEM-2021-07/M/0466, no se encuentra en alguna de las excepciones del artículo 142 de la Ley de Transparencia y Acceso a la Información Pública del Estado de México y Municipios, análisis que fue practicado por el Comité de Transparencia de esta Procuraduria de Protección al Ambiente del Estado de México, al momento de confirmar la reserva del mismo, ya que no corresponde a actos de corrupción, violaciones graves de derechos humanos, lesa humanidad, y/o alguna otra de las previstas por dicho artículo.</w:t>
      </w:r>
    </w:p>
    <w:p w14:paraId="15F9FE25" w14:textId="77777777" w:rsidR="00511AA1" w:rsidRDefault="00511AA1" w:rsidP="00511AA1">
      <w:pPr>
        <w:spacing w:line="276" w:lineRule="auto"/>
        <w:ind w:left="567" w:right="539"/>
        <w:jc w:val="both"/>
        <w:rPr>
          <w:rFonts w:ascii="Palatino Linotype" w:eastAsia="Palatino Linotype" w:hAnsi="Palatino Linotype" w:cs="Palatino Linotype"/>
          <w:i/>
          <w:color w:val="0D0D0D"/>
        </w:rPr>
      </w:pPr>
      <w:r>
        <w:rPr>
          <w:rFonts w:ascii="Palatino Linotype" w:eastAsia="Palatino Linotype" w:hAnsi="Palatino Linotype" w:cs="Palatino Linotype"/>
          <w:i/>
          <w:color w:val="0D0D0D"/>
        </w:rPr>
        <w:lastRenderedPageBreak/>
        <w:t>Por último y de manera respetuosa, con la finalidad de que el Órgano Garante pueda constatar la información requerida y el status en que se encuentra, se pone a su disposición el expediente de referencia, a efecto de que reúna los elementos necesarios para emitir la resolución que en derecho corresponda y constate el dicho de este Sujeto Obligado dicha información deberá ser mantenida con el carácter de reservada y no deberá estar disponible en el expediente, ya que no se trata de una desclasificación ni de violaciones graves a derechos humanos o delitos de lesa humanidad, de conformidad con el derecho nacional y los tratados internacionales de los que el Estado mexicano sea parte: lo anterior, de conformidad con lo dispuesto en los artículos 182 y 183 de la Ley de Transparencia y Acceso a la Información Pública del Estado de México y Municipios.</w:t>
      </w:r>
    </w:p>
    <w:p w14:paraId="7E1BE9B7" w14:textId="77777777" w:rsidR="00511AA1" w:rsidRDefault="00511AA1" w:rsidP="00511AA1">
      <w:pPr>
        <w:spacing w:line="360" w:lineRule="auto"/>
        <w:jc w:val="both"/>
        <w:rPr>
          <w:rFonts w:ascii="Palatino Linotype" w:eastAsia="Palatino Linotype" w:hAnsi="Palatino Linotype" w:cs="Palatino Linotype"/>
          <w:color w:val="0D0D0D"/>
          <w:sz w:val="24"/>
          <w:szCs w:val="24"/>
        </w:rPr>
      </w:pPr>
    </w:p>
    <w:p w14:paraId="7FDF39C0" w14:textId="35C8F560" w:rsidR="00511AA1" w:rsidRPr="00511AA1" w:rsidRDefault="00511AA1" w:rsidP="00511AA1">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color w:val="0D0D0D"/>
          <w:sz w:val="24"/>
          <w:szCs w:val="24"/>
        </w:rPr>
        <w:t xml:space="preserve">Por lo que </w:t>
      </w:r>
      <w:r w:rsidRPr="00511AA1">
        <w:rPr>
          <w:rFonts w:ascii="Palatino Linotype" w:eastAsia="Palatino Linotype" w:hAnsi="Palatino Linotype" w:cs="Palatino Linotype"/>
          <w:sz w:val="24"/>
          <w:szCs w:val="24"/>
        </w:rPr>
        <w:t xml:space="preserve">se </w:t>
      </w:r>
      <w:r w:rsidRPr="00511AA1">
        <w:rPr>
          <w:rFonts w:ascii="Palatino Linotype" w:eastAsia="Palatino Linotype" w:hAnsi="Palatino Linotype" w:cs="Palatino Linotype"/>
          <w:b/>
          <w:sz w:val="24"/>
          <w:szCs w:val="24"/>
        </w:rPr>
        <w:t xml:space="preserve">MODIFICA </w:t>
      </w:r>
      <w:r w:rsidRPr="00511AA1">
        <w:rPr>
          <w:rFonts w:ascii="Palatino Linotype" w:eastAsia="Palatino Linotype" w:hAnsi="Palatino Linotype" w:cs="Palatino Linotype"/>
          <w:sz w:val="24"/>
          <w:szCs w:val="24"/>
        </w:rPr>
        <w:t xml:space="preserve">la respuesta emitida por el </w:t>
      </w:r>
      <w:r w:rsidRPr="00511AA1">
        <w:rPr>
          <w:rFonts w:ascii="Palatino Linotype" w:eastAsia="Palatino Linotype" w:hAnsi="Palatino Linotype" w:cs="Palatino Linotype"/>
          <w:b/>
          <w:sz w:val="24"/>
          <w:szCs w:val="24"/>
        </w:rPr>
        <w:t>SUJETO OBLIGADO</w:t>
      </w:r>
      <w:r w:rsidRPr="00511AA1">
        <w:rPr>
          <w:rFonts w:ascii="Palatino Linotype" w:eastAsia="Palatino Linotype" w:hAnsi="Palatino Linotype" w:cs="Palatino Linotype"/>
          <w:sz w:val="24"/>
          <w:szCs w:val="24"/>
        </w:rPr>
        <w:t>, y se</w:t>
      </w:r>
      <w:r>
        <w:rPr>
          <w:rFonts w:ascii="Palatino Linotype" w:eastAsia="Palatino Linotype" w:hAnsi="Palatino Linotype" w:cs="Palatino Linotype"/>
          <w:b/>
          <w:sz w:val="24"/>
          <w:szCs w:val="24"/>
        </w:rPr>
        <w:t xml:space="preserve"> </w:t>
      </w:r>
      <w:r w:rsidRPr="00511AA1">
        <w:rPr>
          <w:rFonts w:ascii="Palatino Linotype" w:eastAsia="Palatino Linotype" w:hAnsi="Palatino Linotype" w:cs="Palatino Linotype"/>
          <w:b/>
          <w:sz w:val="24"/>
          <w:szCs w:val="24"/>
        </w:rPr>
        <w:t xml:space="preserve">ORDENA </w:t>
      </w:r>
      <w:r w:rsidRPr="00511AA1">
        <w:rPr>
          <w:rFonts w:ascii="Palatino Linotype" w:eastAsia="Palatino Linotype" w:hAnsi="Palatino Linotype" w:cs="Palatino Linotype"/>
          <w:sz w:val="24"/>
          <w:szCs w:val="24"/>
        </w:rPr>
        <w:t xml:space="preserve">al </w:t>
      </w:r>
      <w:r w:rsidRPr="00511AA1">
        <w:rPr>
          <w:rFonts w:ascii="Palatino Linotype" w:eastAsia="Palatino Linotype" w:hAnsi="Palatino Linotype" w:cs="Palatino Linotype"/>
          <w:b/>
          <w:sz w:val="24"/>
          <w:szCs w:val="24"/>
        </w:rPr>
        <w:t>SUJETO OBLIGADO</w:t>
      </w:r>
      <w:r w:rsidRPr="00511AA1">
        <w:rPr>
          <w:rFonts w:ascii="Palatino Linotype" w:eastAsia="Palatino Linotype" w:hAnsi="Palatino Linotype" w:cs="Palatino Linotype"/>
          <w:sz w:val="24"/>
          <w:szCs w:val="24"/>
        </w:rPr>
        <w:t xml:space="preserve"> a que,</w:t>
      </w:r>
      <w:r w:rsidRPr="00511AA1">
        <w:rPr>
          <w:rFonts w:ascii="Palatino Linotype" w:eastAsia="Palatino Linotype" w:hAnsi="Palatino Linotype" w:cs="Palatino Linotype"/>
          <w:b/>
          <w:sz w:val="24"/>
          <w:szCs w:val="24"/>
        </w:rPr>
        <w:t xml:space="preserve"> </w:t>
      </w:r>
      <w:r w:rsidRPr="00511AA1">
        <w:rPr>
          <w:rFonts w:ascii="Palatino Linotype" w:eastAsia="Palatino Linotype" w:hAnsi="Palatino Linotype" w:cs="Palatino Linotype"/>
          <w:sz w:val="24"/>
          <w:szCs w:val="24"/>
        </w:rPr>
        <w:t xml:space="preserve">en términos del Considerando Cuarto, haga entrega vía Sistema de Acceso a la Información Mexiquense, de lo siguiente: </w:t>
      </w:r>
    </w:p>
    <w:p w14:paraId="0B228A32" w14:textId="77777777" w:rsidR="00B9713D" w:rsidRPr="00B9713D" w:rsidRDefault="00B9713D" w:rsidP="00B9713D">
      <w:pPr>
        <w:pStyle w:val="Prrafodelista"/>
        <w:spacing w:after="0" w:line="360" w:lineRule="auto"/>
        <w:ind w:right="49"/>
        <w:contextualSpacing w:val="0"/>
        <w:jc w:val="both"/>
        <w:rPr>
          <w:rFonts w:ascii="Palatino Linotype" w:eastAsia="Palatino Linotype" w:hAnsi="Palatino Linotype" w:cs="Palatino Linotype"/>
          <w:sz w:val="24"/>
        </w:rPr>
      </w:pPr>
    </w:p>
    <w:p w14:paraId="66BE16C5" w14:textId="77777777" w:rsidR="00511AA1" w:rsidRPr="00511AA1" w:rsidRDefault="00511AA1" w:rsidP="00511AA1">
      <w:pPr>
        <w:pStyle w:val="Prrafodelista"/>
        <w:numPr>
          <w:ilvl w:val="0"/>
          <w:numId w:val="44"/>
        </w:numPr>
        <w:spacing w:after="0" w:line="360" w:lineRule="auto"/>
        <w:ind w:right="49"/>
        <w:contextualSpacing w:val="0"/>
        <w:jc w:val="both"/>
        <w:rPr>
          <w:rFonts w:ascii="Palatino Linotype" w:eastAsia="Palatino Linotype" w:hAnsi="Palatino Linotype" w:cs="Palatino Linotype"/>
          <w:sz w:val="24"/>
        </w:rPr>
      </w:pPr>
      <w:r w:rsidRPr="00511AA1">
        <w:rPr>
          <w:rFonts w:ascii="Palatino Linotype" w:hAnsi="Palatino Linotype" w:cs="Tahoma"/>
        </w:rPr>
        <w:t xml:space="preserve">El acuerdo de clasificación emitido por el Comité de Transparencia, en donde de manera debidamente fundada y motivada, a través de una prueba de daño, confirme la clasificación como reservada, en términos del artículo 140, fracción VIII de la Ley de Transparencia y Acceso a la Información Pública del Estado de México y Municipios, del </w:t>
      </w:r>
      <w:r w:rsidRPr="00511AA1">
        <w:rPr>
          <w:rFonts w:ascii="Palatino Linotype" w:eastAsia="Palatino Linotype" w:hAnsi="Palatino Linotype" w:cs="Palatino Linotype"/>
        </w:rPr>
        <w:t xml:space="preserve">expediente </w:t>
      </w:r>
      <w:r w:rsidRPr="00511AA1">
        <w:rPr>
          <w:rFonts w:ascii="Palatino Linotype" w:eastAsia="Palatino Linotype" w:hAnsi="Palatino Linotype" w:cs="Palatino Linotype"/>
          <w:i/>
          <w:color w:val="0D0D0D"/>
        </w:rPr>
        <w:t xml:space="preserve">PROPAEM-2021-07/VM/0466. </w:t>
      </w:r>
    </w:p>
    <w:p w14:paraId="0393CFCC" w14:textId="77777777" w:rsidR="00511AA1" w:rsidRPr="00213603" w:rsidRDefault="00511AA1" w:rsidP="00213603">
      <w:pPr>
        <w:spacing w:after="0" w:line="360" w:lineRule="auto"/>
        <w:contextualSpacing/>
        <w:jc w:val="both"/>
        <w:rPr>
          <w:rFonts w:ascii="Palatino Linotype" w:eastAsia="Calibri" w:hAnsi="Palatino Linotype" w:cs="Arial"/>
          <w:sz w:val="24"/>
          <w:szCs w:val="24"/>
          <w:lang w:val="es-ES" w:eastAsia="es-ES"/>
        </w:rPr>
      </w:pPr>
    </w:p>
    <w:p w14:paraId="18C9EB35" w14:textId="192C5F24" w:rsidR="00964C1E" w:rsidRPr="00442AA9" w:rsidRDefault="001A1ECB" w:rsidP="00442AA9">
      <w:pPr>
        <w:pStyle w:val="Prrafodelista"/>
        <w:keepNext/>
        <w:keepLines/>
        <w:numPr>
          <w:ilvl w:val="0"/>
          <w:numId w:val="42"/>
        </w:numPr>
        <w:pBdr>
          <w:top w:val="nil"/>
          <w:left w:val="nil"/>
          <w:bottom w:val="nil"/>
          <w:right w:val="nil"/>
          <w:between w:val="nil"/>
          <w:bar w:val="nil"/>
        </w:pBdr>
        <w:spacing w:after="0" w:line="360" w:lineRule="auto"/>
        <w:outlineLvl w:val="0"/>
        <w:rPr>
          <w:rFonts w:ascii="Palatino Linotype" w:eastAsiaTheme="majorEastAsia" w:hAnsi="Palatino Linotype" w:cstheme="majorBidi"/>
          <w:b/>
          <w:sz w:val="24"/>
          <w:szCs w:val="24"/>
          <w:bdr w:val="nil"/>
        </w:rPr>
      </w:pPr>
      <w:bookmarkStart w:id="2" w:name="_Toc21366014"/>
      <w:r w:rsidRPr="00442AA9">
        <w:rPr>
          <w:rFonts w:ascii="Palatino Linotype" w:eastAsiaTheme="majorEastAsia" w:hAnsi="Palatino Linotype" w:cstheme="majorBidi"/>
          <w:b/>
          <w:sz w:val="24"/>
          <w:szCs w:val="24"/>
          <w:bdr w:val="nil"/>
        </w:rPr>
        <w:t xml:space="preserve">Las </w:t>
      </w:r>
      <w:r w:rsidR="00964C1E" w:rsidRPr="00442AA9">
        <w:rPr>
          <w:rFonts w:ascii="Palatino Linotype" w:eastAsiaTheme="majorEastAsia" w:hAnsi="Palatino Linotype" w:cstheme="majorBidi"/>
          <w:b/>
          <w:sz w:val="24"/>
          <w:szCs w:val="24"/>
          <w:bdr w:val="nil"/>
        </w:rPr>
        <w:t>restricciones del Derecho de Acceso a la Información.</w:t>
      </w:r>
      <w:bookmarkEnd w:id="2"/>
      <w:r w:rsidR="00964C1E" w:rsidRPr="00442AA9">
        <w:rPr>
          <w:rFonts w:ascii="Palatino Linotype" w:eastAsiaTheme="majorEastAsia" w:hAnsi="Palatino Linotype" w:cstheme="majorBidi"/>
          <w:b/>
          <w:sz w:val="24"/>
          <w:szCs w:val="24"/>
          <w:bdr w:val="nil"/>
        </w:rPr>
        <w:t xml:space="preserve"> </w:t>
      </w:r>
    </w:p>
    <w:p w14:paraId="7AEB57DE" w14:textId="77777777" w:rsidR="00AA2CEC" w:rsidRPr="00964C1E" w:rsidRDefault="00AA2CEC" w:rsidP="004B4437">
      <w:pPr>
        <w:pBdr>
          <w:top w:val="nil"/>
          <w:left w:val="nil"/>
          <w:bottom w:val="nil"/>
          <w:right w:val="nil"/>
          <w:between w:val="nil"/>
          <w:bar w:val="nil"/>
        </w:pBdr>
        <w:spacing w:after="0" w:line="360" w:lineRule="auto"/>
        <w:jc w:val="both"/>
        <w:rPr>
          <w:rFonts w:ascii="Palatino Linotype" w:eastAsia="Calibri" w:hAnsi="Palatino Linotype" w:cs="Arial"/>
          <w:sz w:val="24"/>
          <w:szCs w:val="24"/>
          <w:lang w:eastAsia="es-ES"/>
        </w:rPr>
      </w:pPr>
    </w:p>
    <w:p w14:paraId="1370AF17" w14:textId="4F8930ED" w:rsidR="00C77E23" w:rsidRDefault="00F26763" w:rsidP="00C77E23">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Tal y como lo establece la Suprema Corte de Justicia de la Nación, las razones que justifican entender las restricciones y suspensiones a los derechos humanos </w:t>
      </w:r>
      <w:r>
        <w:rPr>
          <w:rFonts w:ascii="Palatino Linotype" w:eastAsia="Calibri" w:hAnsi="Palatino Linotype" w:cs="Arial"/>
          <w:sz w:val="24"/>
          <w:szCs w:val="24"/>
          <w:lang w:val="es-ES" w:eastAsia="es-ES"/>
        </w:rPr>
        <w:lastRenderedPageBreak/>
        <w:t xml:space="preserve">fuera del exclusivo ámbito procedimental excepcional del artículo 29 constitucional; en primer lugar, se encuentra que: </w:t>
      </w:r>
      <w:r w:rsidRPr="00F26763">
        <w:rPr>
          <w:rFonts w:ascii="Palatino Linotype" w:eastAsia="Calibri" w:hAnsi="Palatino Linotype" w:cs="Arial"/>
          <w:b/>
          <w:bCs/>
          <w:sz w:val="24"/>
          <w:szCs w:val="24"/>
          <w:lang w:val="es-ES" w:eastAsia="es-ES"/>
        </w:rPr>
        <w:t>los derechos fundamentales no son absolutos</w:t>
      </w:r>
      <w:r>
        <w:rPr>
          <w:rFonts w:ascii="Palatino Linotype" w:eastAsia="Calibri" w:hAnsi="Palatino Linotype" w:cs="Arial"/>
          <w:sz w:val="24"/>
          <w:szCs w:val="24"/>
          <w:lang w:val="es-ES" w:eastAsia="es-ES"/>
        </w:rPr>
        <w:t xml:space="preserve">, por lo que han de determinarse cuáles son los límites legítimos a su ejercicio, siendo estas limitaciones individualizadas en el contexto jurídico y fáctico de los asuntos en concreto y cuya determinación de las condiciones de aplicación de los derechos humanos, se cierran en cada categoría de casos por la exigencia de otros principios o normas jurídicas. </w:t>
      </w:r>
    </w:p>
    <w:p w14:paraId="4E3F9A93" w14:textId="77777777" w:rsidR="00F26763" w:rsidRDefault="00F26763" w:rsidP="00F26763">
      <w:pPr>
        <w:pStyle w:val="Prrafodelista"/>
        <w:pBdr>
          <w:top w:val="nil"/>
          <w:left w:val="nil"/>
          <w:bottom w:val="nil"/>
          <w:right w:val="nil"/>
          <w:between w:val="nil"/>
          <w:bar w:val="nil"/>
        </w:pBdr>
        <w:spacing w:after="0" w:line="360" w:lineRule="auto"/>
        <w:ind w:left="0"/>
        <w:jc w:val="both"/>
        <w:rPr>
          <w:rFonts w:ascii="Palatino Linotype" w:eastAsia="Calibri" w:hAnsi="Palatino Linotype" w:cs="Arial"/>
          <w:sz w:val="24"/>
          <w:szCs w:val="24"/>
          <w:lang w:val="es-ES" w:eastAsia="es-ES"/>
        </w:rPr>
      </w:pPr>
    </w:p>
    <w:p w14:paraId="76AA37A2" w14:textId="6B40F060" w:rsidR="00AA2CEC" w:rsidRPr="00C77E23" w:rsidRDefault="00AA2CEC" w:rsidP="00C77E23">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sidRPr="00C77E23">
        <w:rPr>
          <w:rFonts w:ascii="Palatino Linotype" w:eastAsia="Calibri" w:hAnsi="Palatino Linotype" w:cs="Arial"/>
          <w:sz w:val="24"/>
          <w:szCs w:val="24"/>
          <w:lang w:val="es-ES" w:eastAsia="es-ES"/>
        </w:rPr>
        <w:t>De acuerdo con el artículo 13.</w:t>
      </w:r>
      <w:r w:rsidR="00964C1E" w:rsidRPr="00C77E23">
        <w:rPr>
          <w:rFonts w:ascii="Palatino Linotype" w:eastAsia="Calibri" w:hAnsi="Palatino Linotype" w:cs="Arial"/>
          <w:sz w:val="24"/>
          <w:szCs w:val="24"/>
          <w:lang w:val="es-ES" w:eastAsia="es-ES"/>
        </w:rPr>
        <w:t>2 de la Convención</w:t>
      </w:r>
      <w:r w:rsidR="00F26763">
        <w:rPr>
          <w:rFonts w:ascii="Palatino Linotype" w:eastAsia="Calibri" w:hAnsi="Palatino Linotype" w:cs="Arial"/>
          <w:sz w:val="24"/>
          <w:szCs w:val="24"/>
          <w:lang w:val="es-ES" w:eastAsia="es-ES"/>
        </w:rPr>
        <w:t xml:space="preserve"> Americana, </w:t>
      </w:r>
      <w:r w:rsidR="00964C1E" w:rsidRPr="00C77E23">
        <w:rPr>
          <w:rFonts w:ascii="Palatino Linotype" w:eastAsia="Calibri" w:hAnsi="Palatino Linotype" w:cs="Arial"/>
          <w:sz w:val="24"/>
          <w:szCs w:val="24"/>
          <w:lang w:val="es-ES" w:eastAsia="es-ES"/>
        </w:rPr>
        <w:t xml:space="preserve">se exige el cumplimiento </w:t>
      </w:r>
      <w:r w:rsidR="008C5C3F">
        <w:rPr>
          <w:rFonts w:ascii="Palatino Linotype" w:eastAsia="Calibri" w:hAnsi="Palatino Linotype" w:cs="Arial"/>
          <w:sz w:val="24"/>
          <w:szCs w:val="24"/>
          <w:lang w:val="es-ES" w:eastAsia="es-ES"/>
        </w:rPr>
        <w:t xml:space="preserve">de un test de tres elementos que contiene </w:t>
      </w:r>
      <w:r w:rsidR="00964C1E" w:rsidRPr="00C77E23">
        <w:rPr>
          <w:rFonts w:ascii="Palatino Linotype" w:eastAsia="Calibri" w:hAnsi="Palatino Linotype" w:cs="Arial"/>
          <w:sz w:val="24"/>
          <w:szCs w:val="24"/>
          <w:lang w:val="es-ES" w:eastAsia="es-ES"/>
        </w:rPr>
        <w:t xml:space="preserve">una limitación al derecho a la libertad de expresión sea admisible; </w:t>
      </w:r>
    </w:p>
    <w:p w14:paraId="10299755" w14:textId="269F5D31" w:rsidR="00964C1E" w:rsidRPr="00FE301B" w:rsidRDefault="00964C1E" w:rsidP="004B4437">
      <w:pPr>
        <w:pBdr>
          <w:top w:val="nil"/>
          <w:left w:val="nil"/>
          <w:bottom w:val="nil"/>
          <w:right w:val="nil"/>
          <w:between w:val="nil"/>
          <w:bar w:val="nil"/>
        </w:pBdr>
        <w:spacing w:after="0" w:line="360" w:lineRule="auto"/>
        <w:jc w:val="both"/>
        <w:rPr>
          <w:rFonts w:ascii="Palatino Linotype" w:eastAsia="Calibri" w:hAnsi="Palatino Linotype" w:cs="Arial"/>
          <w:lang w:val="es-ES" w:eastAsia="es-ES"/>
        </w:rPr>
      </w:pPr>
    </w:p>
    <w:p w14:paraId="4AC6D4F3" w14:textId="309089B0" w:rsidR="00964C1E" w:rsidRPr="00FE301B" w:rsidRDefault="00964C1E" w:rsidP="00F26763">
      <w:pPr>
        <w:pStyle w:val="Prrafodelista"/>
        <w:numPr>
          <w:ilvl w:val="0"/>
          <w:numId w:val="15"/>
        </w:numPr>
        <w:pBdr>
          <w:top w:val="nil"/>
          <w:left w:val="nil"/>
          <w:bottom w:val="nil"/>
          <w:right w:val="nil"/>
          <w:between w:val="nil"/>
          <w:bar w:val="nil"/>
        </w:pBdr>
        <w:spacing w:after="0" w:line="360" w:lineRule="auto"/>
        <w:ind w:left="567" w:right="616" w:firstLine="0"/>
        <w:jc w:val="both"/>
        <w:rPr>
          <w:rFonts w:ascii="Palatino Linotype" w:eastAsia="Calibri" w:hAnsi="Palatino Linotype" w:cs="Arial"/>
          <w:lang w:val="es-ES" w:eastAsia="es-ES"/>
        </w:rPr>
      </w:pPr>
      <w:r w:rsidRPr="00FE301B">
        <w:rPr>
          <w:rFonts w:ascii="Palatino Linotype" w:eastAsia="Calibri" w:hAnsi="Palatino Linotype" w:cs="Arial"/>
          <w:lang w:val="es-ES" w:eastAsia="es-ES"/>
        </w:rPr>
        <w:t>La limitación debe haber sido definida en forma precisa clara y a través de una ley formal y material</w:t>
      </w:r>
      <w:r w:rsidR="00F26763" w:rsidRPr="00FE301B">
        <w:rPr>
          <w:rFonts w:ascii="Palatino Linotype" w:eastAsia="Calibri" w:hAnsi="Palatino Linotype" w:cs="Arial"/>
          <w:lang w:val="es-ES" w:eastAsia="es-ES"/>
        </w:rPr>
        <w:t xml:space="preserve">; </w:t>
      </w:r>
    </w:p>
    <w:p w14:paraId="637A3486" w14:textId="4A665D08" w:rsidR="00964C1E" w:rsidRPr="00FE301B" w:rsidRDefault="00964C1E" w:rsidP="00F26763">
      <w:pPr>
        <w:pStyle w:val="Prrafodelista"/>
        <w:numPr>
          <w:ilvl w:val="0"/>
          <w:numId w:val="15"/>
        </w:numPr>
        <w:pBdr>
          <w:top w:val="nil"/>
          <w:left w:val="nil"/>
          <w:bottom w:val="nil"/>
          <w:right w:val="nil"/>
          <w:between w:val="nil"/>
          <w:bar w:val="nil"/>
        </w:pBdr>
        <w:spacing w:after="0" w:line="360" w:lineRule="auto"/>
        <w:ind w:left="567" w:right="616" w:firstLine="0"/>
        <w:jc w:val="both"/>
        <w:rPr>
          <w:rFonts w:ascii="Palatino Linotype" w:eastAsia="Calibri" w:hAnsi="Palatino Linotype" w:cs="Arial"/>
          <w:lang w:val="es-ES" w:eastAsia="es-ES"/>
        </w:rPr>
      </w:pPr>
      <w:r w:rsidRPr="00FE301B">
        <w:rPr>
          <w:rFonts w:ascii="Palatino Linotype" w:eastAsia="Calibri" w:hAnsi="Palatino Linotype" w:cs="Arial"/>
          <w:lang w:val="es-ES" w:eastAsia="es-ES"/>
        </w:rPr>
        <w:t>La limitación debe estar orientada al logro de objetivos imperiosos autorizados por la Convención Americana y;</w:t>
      </w:r>
    </w:p>
    <w:p w14:paraId="3F31D3CA" w14:textId="355275A2" w:rsidR="00964C1E" w:rsidRDefault="00964C1E" w:rsidP="00964C1E">
      <w:pPr>
        <w:pStyle w:val="Prrafodelista"/>
        <w:numPr>
          <w:ilvl w:val="0"/>
          <w:numId w:val="15"/>
        </w:numPr>
        <w:pBdr>
          <w:top w:val="nil"/>
          <w:left w:val="nil"/>
          <w:bottom w:val="nil"/>
          <w:right w:val="nil"/>
          <w:between w:val="nil"/>
          <w:bar w:val="nil"/>
        </w:pBdr>
        <w:spacing w:after="0" w:line="360" w:lineRule="auto"/>
        <w:ind w:left="567" w:right="616" w:firstLine="0"/>
        <w:jc w:val="both"/>
        <w:rPr>
          <w:rFonts w:ascii="Palatino Linotype" w:eastAsia="Calibri" w:hAnsi="Palatino Linotype" w:cs="Arial"/>
          <w:lang w:val="es-ES" w:eastAsia="es-ES"/>
        </w:rPr>
      </w:pPr>
      <w:r w:rsidRPr="00FE301B">
        <w:rPr>
          <w:rFonts w:ascii="Palatino Linotype" w:eastAsia="Calibri" w:hAnsi="Palatino Linotype" w:cs="Arial"/>
          <w:lang w:val="es-ES" w:eastAsia="es-ES"/>
        </w:rPr>
        <w:t>La limitación debe ser necesaria en una sociedad democrática para el logro de los fines imperiosos que se buscan; estrictamente proporcionada a la finalidad perseguida; e idónea para lograr el objetivo imperioso que pretende lograr.</w:t>
      </w:r>
    </w:p>
    <w:p w14:paraId="1A9234AD" w14:textId="77777777" w:rsidR="00B9713D" w:rsidRDefault="00B9713D" w:rsidP="00B9713D">
      <w:pPr>
        <w:pBdr>
          <w:top w:val="nil"/>
          <w:left w:val="nil"/>
          <w:bottom w:val="nil"/>
          <w:right w:val="nil"/>
          <w:between w:val="nil"/>
          <w:bar w:val="nil"/>
        </w:pBdr>
        <w:spacing w:after="0" w:line="360" w:lineRule="auto"/>
        <w:ind w:right="616"/>
        <w:jc w:val="both"/>
        <w:rPr>
          <w:rFonts w:ascii="Palatino Linotype" w:eastAsia="Calibri" w:hAnsi="Palatino Linotype" w:cs="Arial"/>
          <w:lang w:val="es-ES" w:eastAsia="es-ES"/>
        </w:rPr>
      </w:pPr>
    </w:p>
    <w:p w14:paraId="34E35907" w14:textId="77777777" w:rsidR="00B9713D" w:rsidRPr="00B9713D" w:rsidRDefault="00B9713D" w:rsidP="00B9713D">
      <w:pPr>
        <w:pBdr>
          <w:top w:val="nil"/>
          <w:left w:val="nil"/>
          <w:bottom w:val="nil"/>
          <w:right w:val="nil"/>
          <w:between w:val="nil"/>
          <w:bar w:val="nil"/>
        </w:pBdr>
        <w:spacing w:after="0" w:line="360" w:lineRule="auto"/>
        <w:ind w:right="616"/>
        <w:jc w:val="both"/>
        <w:rPr>
          <w:rFonts w:ascii="Palatino Linotype" w:eastAsia="Calibri" w:hAnsi="Palatino Linotype" w:cs="Arial"/>
          <w:lang w:val="es-ES" w:eastAsia="es-ES"/>
        </w:rPr>
      </w:pPr>
    </w:p>
    <w:p w14:paraId="37778AEA" w14:textId="77777777" w:rsidR="008C5C3F" w:rsidRPr="008A4B0D" w:rsidRDefault="008C5C3F" w:rsidP="008C5C3F">
      <w:pPr>
        <w:pBdr>
          <w:top w:val="nil"/>
          <w:left w:val="nil"/>
          <w:bottom w:val="nil"/>
          <w:right w:val="nil"/>
          <w:between w:val="nil"/>
          <w:bar w:val="nil"/>
        </w:pBdr>
        <w:spacing w:after="0" w:line="360" w:lineRule="auto"/>
        <w:ind w:left="567" w:right="616"/>
        <w:jc w:val="both"/>
        <w:rPr>
          <w:rFonts w:ascii="Palatino Linotype" w:eastAsia="Calibri" w:hAnsi="Palatino Linotype" w:cs="Arial"/>
          <w:lang w:val="es-ES" w:eastAsia="es-ES"/>
        </w:rPr>
      </w:pPr>
    </w:p>
    <w:p w14:paraId="39B29092" w14:textId="608AC119" w:rsidR="00964C1E" w:rsidRPr="00442AA9" w:rsidRDefault="00964C1E" w:rsidP="00442AA9">
      <w:pPr>
        <w:pStyle w:val="Prrafodelista"/>
        <w:keepNext/>
        <w:keepLines/>
        <w:numPr>
          <w:ilvl w:val="0"/>
          <w:numId w:val="41"/>
        </w:numPr>
        <w:pBdr>
          <w:top w:val="nil"/>
          <w:left w:val="nil"/>
          <w:bottom w:val="nil"/>
          <w:right w:val="nil"/>
          <w:between w:val="nil"/>
          <w:bar w:val="nil"/>
        </w:pBdr>
        <w:spacing w:after="0" w:line="360" w:lineRule="auto"/>
        <w:outlineLvl w:val="0"/>
        <w:rPr>
          <w:rFonts w:ascii="Palatino Linotype" w:eastAsiaTheme="majorEastAsia" w:hAnsi="Palatino Linotype" w:cstheme="majorBidi"/>
          <w:b/>
          <w:sz w:val="24"/>
          <w:szCs w:val="24"/>
          <w:bdr w:val="nil"/>
        </w:rPr>
      </w:pPr>
      <w:bookmarkStart w:id="3" w:name="_Toc21366015"/>
      <w:r w:rsidRPr="00442AA9">
        <w:rPr>
          <w:rFonts w:ascii="Palatino Linotype" w:eastAsiaTheme="majorEastAsia" w:hAnsi="Palatino Linotype" w:cstheme="majorBidi"/>
          <w:b/>
          <w:sz w:val="24"/>
          <w:szCs w:val="24"/>
          <w:bdr w:val="nil"/>
        </w:rPr>
        <w:lastRenderedPageBreak/>
        <w:t>La determinación de la mayoría del Pleno.</w:t>
      </w:r>
      <w:bookmarkEnd w:id="3"/>
    </w:p>
    <w:p w14:paraId="2EC87C76" w14:textId="7C526C61" w:rsidR="00964C1E" w:rsidRDefault="00964C1E" w:rsidP="00964C1E">
      <w:pPr>
        <w:pStyle w:val="Prrafodelista"/>
        <w:pBdr>
          <w:top w:val="nil"/>
          <w:left w:val="nil"/>
          <w:bottom w:val="nil"/>
          <w:right w:val="nil"/>
          <w:between w:val="nil"/>
          <w:bar w:val="nil"/>
        </w:pBdr>
        <w:spacing w:after="0" w:line="360" w:lineRule="auto"/>
        <w:ind w:left="0"/>
        <w:jc w:val="both"/>
        <w:rPr>
          <w:rFonts w:ascii="Palatino Linotype" w:eastAsia="Calibri" w:hAnsi="Palatino Linotype" w:cs="Arial"/>
          <w:sz w:val="24"/>
          <w:szCs w:val="24"/>
          <w:lang w:val="es-ES" w:eastAsia="es-ES"/>
        </w:rPr>
      </w:pPr>
    </w:p>
    <w:p w14:paraId="2814076A" w14:textId="315E2672" w:rsidR="00511AA1" w:rsidRPr="00511AA1" w:rsidRDefault="00964C1E" w:rsidP="00511AA1">
      <w:pPr>
        <w:pStyle w:val="Prrafodelista"/>
        <w:numPr>
          <w:ilvl w:val="0"/>
          <w:numId w:val="9"/>
        </w:numPr>
        <w:pBdr>
          <w:top w:val="nil"/>
          <w:left w:val="nil"/>
          <w:bottom w:val="nil"/>
          <w:right w:val="nil"/>
          <w:between w:val="nil"/>
          <w:bar w:val="nil"/>
        </w:pBdr>
        <w:tabs>
          <w:tab w:val="left" w:pos="0"/>
        </w:tabs>
        <w:spacing w:after="0" w:line="360" w:lineRule="auto"/>
        <w:ind w:left="0" w:firstLine="0"/>
        <w:jc w:val="both"/>
        <w:rPr>
          <w:rFonts w:ascii="Palatino Linotype" w:eastAsia="Calibri" w:hAnsi="Palatino Linotype" w:cs="Arial"/>
          <w:sz w:val="24"/>
          <w:szCs w:val="24"/>
          <w:lang w:eastAsia="es-ES"/>
        </w:rPr>
      </w:pPr>
      <w:r w:rsidRPr="001B6D73">
        <w:rPr>
          <w:rFonts w:ascii="Palatino Linotype" w:eastAsia="Calibri" w:hAnsi="Palatino Linotype" w:cs="Arial"/>
          <w:sz w:val="24"/>
          <w:szCs w:val="24"/>
          <w:lang w:val="es-ES" w:eastAsia="es-ES"/>
        </w:rPr>
        <w:t xml:space="preserve">El Pleno de este Instituto </w:t>
      </w:r>
      <w:r w:rsidR="00B14249" w:rsidRPr="001B6D73">
        <w:rPr>
          <w:rFonts w:ascii="Palatino Linotype" w:eastAsia="Calibri" w:hAnsi="Palatino Linotype" w:cs="Arial"/>
          <w:sz w:val="24"/>
          <w:szCs w:val="24"/>
          <w:lang w:val="es-ES" w:eastAsia="es-ES"/>
        </w:rPr>
        <w:t>sostuvo</w:t>
      </w:r>
      <w:r w:rsidRPr="001B6D73">
        <w:rPr>
          <w:rFonts w:ascii="Palatino Linotype" w:eastAsia="Calibri" w:hAnsi="Palatino Linotype" w:cs="Arial"/>
          <w:sz w:val="24"/>
          <w:szCs w:val="24"/>
          <w:lang w:val="es-ES" w:eastAsia="es-ES"/>
        </w:rPr>
        <w:t xml:space="preserve"> </w:t>
      </w:r>
      <w:r w:rsidR="001B2FE3" w:rsidRPr="001B6D73">
        <w:rPr>
          <w:rFonts w:ascii="Palatino Linotype" w:eastAsia="Calibri" w:hAnsi="Palatino Linotype" w:cs="Arial"/>
          <w:sz w:val="24"/>
          <w:szCs w:val="24"/>
          <w:lang w:val="es-ES" w:eastAsia="es-ES"/>
        </w:rPr>
        <w:t>que,</w:t>
      </w:r>
      <w:r w:rsidRPr="001B6D73">
        <w:rPr>
          <w:rFonts w:ascii="Palatino Linotype" w:eastAsia="Calibri" w:hAnsi="Palatino Linotype" w:cs="Arial"/>
          <w:sz w:val="24"/>
          <w:szCs w:val="24"/>
          <w:lang w:val="es-ES" w:eastAsia="es-ES"/>
        </w:rPr>
        <w:t xml:space="preserve"> si bien </w:t>
      </w:r>
      <w:r w:rsidR="008C5C3F" w:rsidRPr="001B6D73">
        <w:rPr>
          <w:rFonts w:ascii="Palatino Linotype" w:eastAsia="Calibri" w:hAnsi="Palatino Linotype" w:cs="Arial"/>
          <w:sz w:val="24"/>
          <w:szCs w:val="24"/>
          <w:lang w:val="es-ES" w:eastAsia="es-ES"/>
        </w:rPr>
        <w:t>las personas</w:t>
      </w:r>
      <w:r w:rsidRPr="001B6D73">
        <w:rPr>
          <w:rFonts w:ascii="Palatino Linotype" w:eastAsia="Calibri" w:hAnsi="Palatino Linotype" w:cs="Arial"/>
          <w:sz w:val="24"/>
          <w:szCs w:val="24"/>
          <w:lang w:val="es-ES" w:eastAsia="es-ES"/>
        </w:rPr>
        <w:t xml:space="preserve"> tiene</w:t>
      </w:r>
      <w:r w:rsidR="008C5C3F" w:rsidRPr="001B6D73">
        <w:rPr>
          <w:rFonts w:ascii="Palatino Linotype" w:eastAsia="Calibri" w:hAnsi="Palatino Linotype" w:cs="Arial"/>
          <w:sz w:val="24"/>
          <w:szCs w:val="24"/>
          <w:lang w:val="es-ES" w:eastAsia="es-ES"/>
        </w:rPr>
        <w:t>n</w:t>
      </w:r>
      <w:r w:rsidRPr="001B6D73">
        <w:rPr>
          <w:rFonts w:ascii="Palatino Linotype" w:eastAsia="Calibri" w:hAnsi="Palatino Linotype" w:cs="Arial"/>
          <w:sz w:val="24"/>
          <w:szCs w:val="24"/>
          <w:lang w:val="es-ES" w:eastAsia="es-ES"/>
        </w:rPr>
        <w:t xml:space="preserve"> derecho </w:t>
      </w:r>
      <w:r w:rsidR="00FE301B" w:rsidRPr="001B6D73">
        <w:rPr>
          <w:rFonts w:ascii="Palatino Linotype" w:eastAsia="Calibri" w:hAnsi="Palatino Linotype" w:cs="Arial"/>
          <w:sz w:val="24"/>
          <w:szCs w:val="24"/>
          <w:lang w:val="es-ES" w:eastAsia="es-ES"/>
        </w:rPr>
        <w:t xml:space="preserve">de </w:t>
      </w:r>
      <w:r w:rsidR="002B000F" w:rsidRPr="001B6D73">
        <w:rPr>
          <w:rFonts w:ascii="Palatino Linotype" w:eastAsia="Calibri" w:hAnsi="Palatino Linotype" w:cs="Arial"/>
          <w:sz w:val="24"/>
          <w:szCs w:val="24"/>
          <w:lang w:val="es-ES" w:eastAsia="es-ES"/>
        </w:rPr>
        <w:t>acceder a la información en posesión de los sujetos obligados, este derecho encuentra su limitante en la clasificación de la información, lo cual sucedió en el presente asunto, por el hecho de que al actualizar una causal de reserva por corresponder a un procedimie</w:t>
      </w:r>
      <w:r w:rsidR="00B83597">
        <w:rPr>
          <w:rFonts w:ascii="Palatino Linotype" w:eastAsia="Calibri" w:hAnsi="Palatino Linotype" w:cs="Arial"/>
          <w:sz w:val="24"/>
          <w:szCs w:val="24"/>
          <w:lang w:val="es-ES" w:eastAsia="es-ES"/>
        </w:rPr>
        <w:t>nto en curso de naturaleza administrativa</w:t>
      </w:r>
      <w:r w:rsidR="002B000F" w:rsidRPr="001B6D73">
        <w:rPr>
          <w:rFonts w:ascii="Palatino Linotype" w:eastAsia="Calibri" w:hAnsi="Palatino Linotype" w:cs="Arial"/>
          <w:sz w:val="24"/>
          <w:szCs w:val="24"/>
          <w:lang w:val="es-ES" w:eastAsia="es-ES"/>
        </w:rPr>
        <w:t xml:space="preserve">, por lo que se </w:t>
      </w:r>
      <w:r w:rsidR="00511AA1">
        <w:rPr>
          <w:rFonts w:ascii="Palatino Linotype" w:eastAsia="Palatino Linotype" w:hAnsi="Palatino Linotype" w:cs="Palatino Linotype"/>
          <w:b/>
          <w:sz w:val="24"/>
          <w:szCs w:val="24"/>
        </w:rPr>
        <w:t xml:space="preserve">ORDENA </w:t>
      </w:r>
      <w:r w:rsidR="00511AA1">
        <w:rPr>
          <w:rFonts w:ascii="Palatino Linotype" w:eastAsia="Palatino Linotype" w:hAnsi="Palatino Linotype" w:cs="Palatino Linotype"/>
          <w:sz w:val="24"/>
          <w:szCs w:val="24"/>
        </w:rPr>
        <w:t xml:space="preserve">al </w:t>
      </w:r>
      <w:r w:rsidR="00511AA1">
        <w:rPr>
          <w:rFonts w:ascii="Palatino Linotype" w:eastAsia="Palatino Linotype" w:hAnsi="Palatino Linotype" w:cs="Palatino Linotype"/>
          <w:b/>
          <w:sz w:val="24"/>
          <w:szCs w:val="24"/>
        </w:rPr>
        <w:t>SUJETO OBLIGADO</w:t>
      </w:r>
      <w:r w:rsidR="00511AA1">
        <w:rPr>
          <w:rFonts w:ascii="Palatino Linotype" w:eastAsia="Calibri" w:hAnsi="Palatino Linotype" w:cs="Arial"/>
          <w:sz w:val="24"/>
          <w:szCs w:val="24"/>
          <w:lang w:eastAsia="es-ES"/>
        </w:rPr>
        <w:t xml:space="preserve"> entregue </w:t>
      </w:r>
      <w:r w:rsidR="00597F9A">
        <w:rPr>
          <w:rFonts w:ascii="Palatino Linotype" w:eastAsia="Calibri" w:hAnsi="Palatino Linotype" w:cs="Arial"/>
          <w:sz w:val="24"/>
          <w:szCs w:val="24"/>
          <w:lang w:eastAsia="es-ES"/>
        </w:rPr>
        <w:t>e</w:t>
      </w:r>
      <w:r w:rsidR="00511AA1" w:rsidRPr="00511AA1">
        <w:rPr>
          <w:rFonts w:ascii="Palatino Linotype" w:eastAsia="Calibri" w:hAnsi="Palatino Linotype" w:cs="Arial"/>
          <w:sz w:val="24"/>
          <w:szCs w:val="24"/>
          <w:lang w:eastAsia="es-ES"/>
        </w:rPr>
        <w:t>l acuerdo de clasificación emitido por el Comité de Transparencia, en donde de manera debidamente fundada y motivada, a través de una prueba de daño, confirme la clasificación como reservada, en términos del artículo 140, fracción VIII de la Ley de Transparencia y Acceso a la Información Pública del Estado de México y Municipios, del expediente PROPAEM-2021-07/VM/0466.</w:t>
      </w:r>
    </w:p>
    <w:p w14:paraId="74973132" w14:textId="77777777" w:rsidR="001B6D73" w:rsidRPr="001B6D73" w:rsidRDefault="001B6D73" w:rsidP="001B6D73">
      <w:pPr>
        <w:pStyle w:val="Prrafodelista"/>
        <w:pBdr>
          <w:top w:val="nil"/>
          <w:left w:val="nil"/>
          <w:bottom w:val="nil"/>
          <w:right w:val="nil"/>
          <w:between w:val="nil"/>
          <w:bar w:val="nil"/>
        </w:pBdr>
        <w:tabs>
          <w:tab w:val="left" w:pos="0"/>
        </w:tabs>
        <w:spacing w:after="0" w:line="360" w:lineRule="auto"/>
        <w:ind w:left="0"/>
        <w:jc w:val="both"/>
        <w:rPr>
          <w:rFonts w:ascii="Palatino Linotype" w:eastAsia="Calibri" w:hAnsi="Palatino Linotype" w:cs="Arial"/>
          <w:sz w:val="24"/>
          <w:szCs w:val="24"/>
          <w:lang w:eastAsia="es-ES"/>
        </w:rPr>
      </w:pPr>
    </w:p>
    <w:p w14:paraId="4797AC0E" w14:textId="743BC79B" w:rsidR="0078362A" w:rsidRPr="001B6D73" w:rsidRDefault="00551216" w:rsidP="007C3E34">
      <w:pPr>
        <w:pStyle w:val="Prrafodelista"/>
        <w:numPr>
          <w:ilvl w:val="0"/>
          <w:numId w:val="9"/>
        </w:numPr>
        <w:pBdr>
          <w:top w:val="nil"/>
          <w:left w:val="nil"/>
          <w:bottom w:val="nil"/>
          <w:right w:val="nil"/>
          <w:between w:val="nil"/>
          <w:bar w:val="nil"/>
        </w:pBdr>
        <w:tabs>
          <w:tab w:val="left" w:pos="0"/>
        </w:tabs>
        <w:spacing w:after="0" w:line="360" w:lineRule="auto"/>
        <w:ind w:left="0" w:firstLine="0"/>
        <w:jc w:val="both"/>
        <w:rPr>
          <w:rFonts w:ascii="Palatino Linotype" w:eastAsia="Calibri" w:hAnsi="Palatino Linotype" w:cs="Arial"/>
          <w:sz w:val="24"/>
          <w:szCs w:val="24"/>
          <w:lang w:val="es-ES" w:eastAsia="es-ES"/>
        </w:rPr>
      </w:pPr>
      <w:r w:rsidRPr="001B6D73">
        <w:rPr>
          <w:rFonts w:ascii="Palatino Linotype" w:eastAsia="Calibri" w:hAnsi="Palatino Linotype" w:cs="Arial"/>
          <w:sz w:val="24"/>
          <w:szCs w:val="24"/>
          <w:lang w:val="es-ES" w:eastAsia="es-ES"/>
        </w:rPr>
        <w:t xml:space="preserve">Situación que no se comparte por la Ponencia que emite el presente voto disidente, porque si bien la información forma parte de un proceso seguido en forma de juicio, lo cierto es que, los antecedentes históricos del caso permiten identificar posibles vulneraciones graves a derechos humanos, </w:t>
      </w:r>
      <w:r w:rsidR="001B6D73" w:rsidRPr="001B6D73">
        <w:rPr>
          <w:rFonts w:ascii="Palatino Linotype" w:eastAsia="Calibri" w:hAnsi="Palatino Linotype" w:cs="Arial"/>
          <w:sz w:val="24"/>
          <w:szCs w:val="24"/>
          <w:lang w:val="es-ES" w:eastAsia="es-ES"/>
        </w:rPr>
        <w:t xml:space="preserve">como es el </w:t>
      </w:r>
      <w:r w:rsidR="001B6D73" w:rsidRPr="001B6D73">
        <w:rPr>
          <w:rFonts w:ascii="Palatino Linotype" w:eastAsia="Calibri" w:hAnsi="Palatino Linotype" w:cs="Arial"/>
          <w:b/>
          <w:sz w:val="24"/>
          <w:szCs w:val="24"/>
          <w:lang w:eastAsia="es-ES"/>
        </w:rPr>
        <w:t xml:space="preserve">derecho </w:t>
      </w:r>
      <w:r w:rsidR="00C30C8A">
        <w:rPr>
          <w:rFonts w:ascii="Palatino Linotype" w:eastAsia="Calibri" w:hAnsi="Palatino Linotype" w:cs="Arial"/>
          <w:b/>
          <w:sz w:val="24"/>
          <w:szCs w:val="24"/>
          <w:lang w:eastAsia="es-ES"/>
        </w:rPr>
        <w:t>a un medio ambiente sano</w:t>
      </w:r>
      <w:r w:rsidRPr="001B6D73">
        <w:rPr>
          <w:rFonts w:ascii="Palatino Linotype" w:eastAsia="Calibri" w:hAnsi="Palatino Linotype" w:cs="Arial"/>
          <w:sz w:val="24"/>
          <w:szCs w:val="24"/>
          <w:lang w:val="es-ES" w:eastAsia="es-ES"/>
        </w:rPr>
        <w:t xml:space="preserve">, lo cual </w:t>
      </w:r>
      <w:r w:rsidR="001B6D73">
        <w:rPr>
          <w:rFonts w:ascii="Palatino Linotype" w:eastAsia="Calibri" w:hAnsi="Palatino Linotype" w:cs="Arial"/>
          <w:sz w:val="24"/>
          <w:szCs w:val="24"/>
          <w:lang w:val="es-ES" w:eastAsia="es-ES"/>
        </w:rPr>
        <w:t xml:space="preserve">constituye </w:t>
      </w:r>
      <w:r w:rsidRPr="001B6D73">
        <w:rPr>
          <w:rFonts w:ascii="Palatino Linotype" w:eastAsia="Calibri" w:hAnsi="Palatino Linotype" w:cs="Arial"/>
          <w:sz w:val="24"/>
          <w:szCs w:val="24"/>
          <w:lang w:val="es-ES" w:eastAsia="es-ES"/>
        </w:rPr>
        <w:t>una excepción a la clasificación por reserva, conforme al artículo 142, f</w:t>
      </w:r>
      <w:r w:rsidR="00C30C8A">
        <w:rPr>
          <w:rFonts w:ascii="Palatino Linotype" w:eastAsia="Calibri" w:hAnsi="Palatino Linotype" w:cs="Arial"/>
          <w:sz w:val="24"/>
          <w:szCs w:val="24"/>
          <w:lang w:val="es-ES" w:eastAsia="es-ES"/>
        </w:rPr>
        <w:t>racción II</w:t>
      </w:r>
      <w:r w:rsidR="001B6D73">
        <w:rPr>
          <w:rFonts w:ascii="Palatino Linotype" w:eastAsia="Calibri" w:hAnsi="Palatino Linotype" w:cs="Arial"/>
          <w:sz w:val="24"/>
          <w:szCs w:val="24"/>
          <w:lang w:val="es-ES" w:eastAsia="es-ES"/>
        </w:rPr>
        <w:t xml:space="preserve"> </w:t>
      </w:r>
      <w:r w:rsidRPr="001B6D73">
        <w:rPr>
          <w:rFonts w:ascii="Palatino Linotype" w:eastAsia="Calibri" w:hAnsi="Palatino Linotype" w:cs="Arial"/>
          <w:sz w:val="24"/>
          <w:szCs w:val="24"/>
          <w:lang w:val="es-ES" w:eastAsia="es-ES"/>
        </w:rPr>
        <w:t>de la Ley de Transparencia y Acceso a la Información Pública del Estado de México y Municipios.</w:t>
      </w:r>
    </w:p>
    <w:p w14:paraId="562B54C7" w14:textId="77777777" w:rsidR="008C5C3F" w:rsidRPr="0078362A" w:rsidRDefault="008C5C3F" w:rsidP="0078362A">
      <w:pPr>
        <w:pStyle w:val="Prrafodelista"/>
        <w:pBdr>
          <w:top w:val="nil"/>
          <w:left w:val="nil"/>
          <w:bottom w:val="nil"/>
          <w:right w:val="nil"/>
          <w:between w:val="nil"/>
          <w:bar w:val="nil"/>
        </w:pBdr>
        <w:spacing w:after="0" w:line="360" w:lineRule="auto"/>
        <w:ind w:left="0"/>
        <w:jc w:val="both"/>
        <w:rPr>
          <w:rFonts w:ascii="Palatino Linotype" w:eastAsia="Calibri" w:hAnsi="Palatino Linotype" w:cs="Arial"/>
          <w:sz w:val="24"/>
          <w:szCs w:val="24"/>
          <w:lang w:val="es-ES" w:eastAsia="es-ES"/>
        </w:rPr>
      </w:pPr>
    </w:p>
    <w:p w14:paraId="218B8011" w14:textId="36160075" w:rsidR="006B4F3E" w:rsidRDefault="00EC1AD4" w:rsidP="0074075A">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Theme="majorEastAsia" w:hAnsi="Palatino Linotype" w:cstheme="majorBidi"/>
          <w:b/>
          <w:sz w:val="24"/>
          <w:szCs w:val="24"/>
          <w:bdr w:val="nil"/>
        </w:rPr>
      </w:pPr>
      <w:r>
        <w:rPr>
          <w:rFonts w:ascii="Palatino Linotype" w:eastAsiaTheme="majorEastAsia" w:hAnsi="Palatino Linotype" w:cstheme="majorBidi"/>
          <w:bCs/>
          <w:sz w:val="24"/>
          <w:szCs w:val="24"/>
          <w:bdr w:val="nil"/>
        </w:rPr>
        <w:lastRenderedPageBreak/>
        <w:t xml:space="preserve">De tal manera que, </w:t>
      </w:r>
      <w:r w:rsidR="006B4F3E">
        <w:rPr>
          <w:rFonts w:ascii="Palatino Linotype" w:eastAsiaTheme="majorEastAsia" w:hAnsi="Palatino Linotype" w:cstheme="majorBidi"/>
          <w:bCs/>
          <w:sz w:val="24"/>
          <w:szCs w:val="24"/>
          <w:bdr w:val="nil"/>
        </w:rPr>
        <w:t xml:space="preserve">el Sujeto Obligado y la decisión de la mayoría del Pleno </w:t>
      </w:r>
      <w:r>
        <w:rPr>
          <w:rFonts w:ascii="Palatino Linotype" w:eastAsiaTheme="majorEastAsia" w:hAnsi="Palatino Linotype" w:cstheme="majorBidi"/>
          <w:bCs/>
          <w:sz w:val="24"/>
          <w:szCs w:val="24"/>
          <w:bdr w:val="nil"/>
        </w:rPr>
        <w:t>restringe</w:t>
      </w:r>
      <w:r w:rsidR="006B4F3E">
        <w:rPr>
          <w:rFonts w:ascii="Palatino Linotype" w:eastAsiaTheme="majorEastAsia" w:hAnsi="Palatino Linotype" w:cstheme="majorBidi"/>
          <w:bCs/>
          <w:sz w:val="24"/>
          <w:szCs w:val="24"/>
          <w:bdr w:val="nil"/>
        </w:rPr>
        <w:t xml:space="preserve"> el</w:t>
      </w:r>
      <w:r w:rsidR="00D87FCD" w:rsidRPr="00EC1AD4">
        <w:rPr>
          <w:rFonts w:ascii="Palatino Linotype" w:eastAsiaTheme="majorEastAsia" w:hAnsi="Palatino Linotype" w:cstheme="majorBidi"/>
          <w:bCs/>
          <w:sz w:val="24"/>
          <w:szCs w:val="24"/>
          <w:bdr w:val="nil"/>
        </w:rPr>
        <w:t xml:space="preserve"> derecho </w:t>
      </w:r>
      <w:r w:rsidR="006B4F3E">
        <w:rPr>
          <w:rFonts w:ascii="Palatino Linotype" w:eastAsiaTheme="majorEastAsia" w:hAnsi="Palatino Linotype" w:cstheme="majorBidi"/>
          <w:bCs/>
          <w:sz w:val="24"/>
          <w:szCs w:val="24"/>
          <w:bdr w:val="nil"/>
        </w:rPr>
        <w:t xml:space="preserve">de acceso </w:t>
      </w:r>
      <w:r w:rsidR="00D87FCD" w:rsidRPr="00EC1AD4">
        <w:rPr>
          <w:rFonts w:ascii="Palatino Linotype" w:eastAsiaTheme="majorEastAsia" w:hAnsi="Palatino Linotype" w:cstheme="majorBidi"/>
          <w:bCs/>
          <w:sz w:val="24"/>
          <w:szCs w:val="24"/>
          <w:bdr w:val="nil"/>
        </w:rPr>
        <w:t xml:space="preserve">a </w:t>
      </w:r>
      <w:r w:rsidR="006B4F3E">
        <w:rPr>
          <w:rFonts w:ascii="Palatino Linotype" w:eastAsiaTheme="majorEastAsia" w:hAnsi="Palatino Linotype" w:cstheme="majorBidi"/>
          <w:bCs/>
          <w:sz w:val="24"/>
          <w:szCs w:val="24"/>
          <w:bdr w:val="nil"/>
        </w:rPr>
        <w:t xml:space="preserve">la información y, </w:t>
      </w:r>
      <w:r w:rsidR="00D87FCD" w:rsidRPr="00EC1AD4">
        <w:rPr>
          <w:rFonts w:ascii="Palatino Linotype" w:eastAsiaTheme="majorEastAsia" w:hAnsi="Palatino Linotype" w:cstheme="majorBidi"/>
          <w:bCs/>
          <w:sz w:val="24"/>
          <w:szCs w:val="24"/>
          <w:bdr w:val="nil"/>
        </w:rPr>
        <w:t xml:space="preserve">precisamente lo que le impide a la </w:t>
      </w:r>
      <w:r w:rsidR="006B4F3E">
        <w:rPr>
          <w:rFonts w:ascii="Palatino Linotype" w:eastAsiaTheme="majorEastAsia" w:hAnsi="Palatino Linotype" w:cstheme="majorBidi"/>
          <w:bCs/>
          <w:sz w:val="24"/>
          <w:szCs w:val="24"/>
          <w:bdr w:val="nil"/>
        </w:rPr>
        <w:t xml:space="preserve">ciudadanía </w:t>
      </w:r>
      <w:r w:rsidR="006B4F3E" w:rsidRPr="00C30C8A">
        <w:rPr>
          <w:rFonts w:ascii="Palatino Linotype" w:eastAsiaTheme="majorEastAsia" w:hAnsi="Palatino Linotype" w:cstheme="majorBidi"/>
          <w:sz w:val="24"/>
          <w:szCs w:val="24"/>
          <w:bdr w:val="nil"/>
        </w:rPr>
        <w:t xml:space="preserve">cuestionar, </w:t>
      </w:r>
      <w:r w:rsidR="00D87FCD" w:rsidRPr="00C30C8A">
        <w:rPr>
          <w:rFonts w:ascii="Palatino Linotype" w:eastAsiaTheme="majorEastAsia" w:hAnsi="Palatino Linotype" w:cstheme="majorBidi"/>
          <w:sz w:val="24"/>
          <w:szCs w:val="24"/>
          <w:bdr w:val="nil"/>
        </w:rPr>
        <w:t>verificar y refutar</w:t>
      </w:r>
      <w:r w:rsidR="00D87FCD" w:rsidRPr="00C30C8A">
        <w:rPr>
          <w:rFonts w:ascii="Palatino Linotype" w:eastAsiaTheme="majorEastAsia" w:hAnsi="Palatino Linotype" w:cstheme="majorBidi"/>
          <w:bCs/>
          <w:sz w:val="24"/>
          <w:szCs w:val="24"/>
          <w:bdr w:val="nil"/>
        </w:rPr>
        <w:t xml:space="preserve"> </w:t>
      </w:r>
      <w:r w:rsidR="00D87FCD" w:rsidRPr="00C30C8A">
        <w:rPr>
          <w:rFonts w:ascii="Palatino Linotype" w:eastAsiaTheme="majorEastAsia" w:hAnsi="Palatino Linotype" w:cstheme="majorBidi"/>
          <w:sz w:val="24"/>
          <w:szCs w:val="24"/>
          <w:bdr w:val="nil"/>
        </w:rPr>
        <w:t>l</w:t>
      </w:r>
      <w:r w:rsidR="006B4F3E" w:rsidRPr="00C30C8A">
        <w:rPr>
          <w:rFonts w:ascii="Palatino Linotype" w:eastAsiaTheme="majorEastAsia" w:hAnsi="Palatino Linotype" w:cstheme="majorBidi"/>
          <w:sz w:val="24"/>
          <w:szCs w:val="24"/>
          <w:bdr w:val="nil"/>
        </w:rPr>
        <w:t>as acciones desplegadas por la autoridad</w:t>
      </w:r>
      <w:r w:rsidR="00C30C8A" w:rsidRPr="00C30C8A">
        <w:rPr>
          <w:rFonts w:ascii="Palatino Linotype" w:eastAsiaTheme="majorEastAsia" w:hAnsi="Palatino Linotype" w:cstheme="majorBidi"/>
          <w:sz w:val="24"/>
          <w:szCs w:val="24"/>
          <w:bdr w:val="nil"/>
        </w:rPr>
        <w:t>.</w:t>
      </w:r>
    </w:p>
    <w:p w14:paraId="7432E7B0" w14:textId="77777777" w:rsidR="007357CE" w:rsidRPr="007357CE" w:rsidRDefault="007357CE" w:rsidP="007357CE">
      <w:pPr>
        <w:pStyle w:val="Prrafodelista"/>
        <w:rPr>
          <w:rFonts w:ascii="Palatino Linotype" w:eastAsiaTheme="minorEastAsia" w:hAnsi="Palatino Linotype"/>
          <w:color w:val="000000" w:themeColor="text1"/>
        </w:rPr>
      </w:pPr>
      <w:bookmarkStart w:id="4" w:name="_Toc21366022"/>
    </w:p>
    <w:p w14:paraId="035804DE" w14:textId="2BDDAF9C" w:rsidR="002529B2" w:rsidRDefault="005F796F" w:rsidP="002529B2">
      <w:pPr>
        <w:pStyle w:val="Prrafodelista"/>
        <w:numPr>
          <w:ilvl w:val="0"/>
          <w:numId w:val="9"/>
        </w:numPr>
        <w:pBdr>
          <w:top w:val="nil"/>
          <w:left w:val="nil"/>
          <w:bottom w:val="nil"/>
          <w:right w:val="nil"/>
          <w:between w:val="nil"/>
          <w:bar w:val="nil"/>
        </w:pBdr>
        <w:spacing w:before="240" w:after="0" w:line="360" w:lineRule="auto"/>
        <w:ind w:left="0" w:right="51" w:firstLine="0"/>
        <w:contextualSpacing w:val="0"/>
        <w:jc w:val="both"/>
        <w:rPr>
          <w:rFonts w:ascii="Palatino Linotype" w:eastAsiaTheme="minorEastAsia" w:hAnsi="Palatino Linotype"/>
          <w:b/>
          <w:color w:val="000000" w:themeColor="text1"/>
          <w:sz w:val="24"/>
        </w:rPr>
      </w:pPr>
      <w:r w:rsidRPr="001B6D73">
        <w:rPr>
          <w:rFonts w:ascii="Palatino Linotype" w:eastAsia="Calibri" w:hAnsi="Palatino Linotype" w:cs="Times New Roman"/>
          <w:bCs/>
          <w:sz w:val="24"/>
          <w:szCs w:val="24"/>
          <w:lang w:val="es-ES" w:eastAsia="es-ES"/>
        </w:rPr>
        <w:t>Precisado lo an</w:t>
      </w:r>
      <w:r w:rsidR="002529B2">
        <w:rPr>
          <w:rFonts w:ascii="Palatino Linotype" w:eastAsia="Calibri" w:hAnsi="Palatino Linotype" w:cs="Times New Roman"/>
          <w:bCs/>
          <w:sz w:val="24"/>
          <w:szCs w:val="24"/>
          <w:lang w:val="es-ES" w:eastAsia="es-ES"/>
        </w:rPr>
        <w:t>terior</w:t>
      </w:r>
      <w:r w:rsidRPr="001B6D73">
        <w:rPr>
          <w:rFonts w:ascii="Palatino Linotype" w:eastAsia="Calibri" w:hAnsi="Palatino Linotype" w:cs="Times New Roman"/>
          <w:bCs/>
          <w:sz w:val="24"/>
          <w:szCs w:val="24"/>
          <w:lang w:val="es-ES" w:eastAsia="es-ES"/>
        </w:rPr>
        <w:t>, se advierte que el SUJETO OBLIGADO, presentó el Acuerdo</w:t>
      </w:r>
      <w:r w:rsidR="002529B2">
        <w:rPr>
          <w:rFonts w:ascii="Palatino Linotype" w:eastAsia="Calibri" w:hAnsi="Palatino Linotype" w:cs="Times New Roman"/>
          <w:bCs/>
          <w:sz w:val="24"/>
          <w:szCs w:val="24"/>
          <w:lang w:val="es-ES" w:eastAsia="es-ES"/>
        </w:rPr>
        <w:t xml:space="preserve"> de Clasificación número PPA/CT/ORD/02/202/05</w:t>
      </w:r>
      <w:r w:rsidRPr="001B6D73">
        <w:rPr>
          <w:rFonts w:ascii="Palatino Linotype" w:eastAsia="Calibri" w:hAnsi="Palatino Linotype" w:cs="Times New Roman"/>
          <w:bCs/>
          <w:sz w:val="24"/>
          <w:szCs w:val="24"/>
          <w:lang w:val="es-ES" w:eastAsia="es-ES"/>
        </w:rPr>
        <w:t>, emitido por el Comité de Transparencia, a través del cual se aprobó la reserva de</w:t>
      </w:r>
      <w:r w:rsidR="00422657">
        <w:rPr>
          <w:rFonts w:ascii="Palatino Linotype" w:eastAsia="Calibri" w:hAnsi="Palatino Linotype" w:cs="Times New Roman"/>
          <w:bCs/>
          <w:sz w:val="24"/>
          <w:szCs w:val="24"/>
          <w:lang w:val="es-ES" w:eastAsia="es-ES"/>
        </w:rPr>
        <w:t>l</w:t>
      </w:r>
      <w:r w:rsidRPr="001B6D73">
        <w:rPr>
          <w:rFonts w:ascii="Palatino Linotype" w:eastAsia="Calibri" w:hAnsi="Palatino Linotype" w:cs="Times New Roman"/>
          <w:bCs/>
          <w:sz w:val="24"/>
          <w:szCs w:val="24"/>
          <w:lang w:val="es-ES" w:eastAsia="es-ES"/>
        </w:rPr>
        <w:t xml:space="preserve"> </w:t>
      </w:r>
      <w:r w:rsidR="00422657" w:rsidRPr="00422657">
        <w:rPr>
          <w:rFonts w:ascii="Palatino Linotype" w:eastAsia="Calibri" w:hAnsi="Palatino Linotype" w:cs="Times New Roman"/>
          <w:bCs/>
          <w:sz w:val="24"/>
          <w:szCs w:val="24"/>
          <w:lang w:eastAsia="es-ES"/>
        </w:rPr>
        <w:t xml:space="preserve">expediente </w:t>
      </w:r>
      <w:r w:rsidR="00422657" w:rsidRPr="00422657">
        <w:rPr>
          <w:rFonts w:ascii="Palatino Linotype" w:eastAsia="Calibri" w:hAnsi="Palatino Linotype" w:cs="Times New Roman"/>
          <w:bCs/>
          <w:i/>
          <w:sz w:val="24"/>
          <w:szCs w:val="24"/>
          <w:lang w:eastAsia="es-ES"/>
        </w:rPr>
        <w:t>PROPAEM-2021-07/VM/0466</w:t>
      </w:r>
      <w:r w:rsidR="002529B2">
        <w:rPr>
          <w:rFonts w:ascii="Palatino Linotype" w:eastAsia="Calibri" w:hAnsi="Palatino Linotype" w:cs="Times New Roman"/>
          <w:bCs/>
          <w:sz w:val="24"/>
          <w:szCs w:val="24"/>
          <w:lang w:val="es-ES" w:eastAsia="es-ES"/>
        </w:rPr>
        <w:t>.</w:t>
      </w:r>
      <w:r w:rsidR="007357CE" w:rsidRPr="001B6D73">
        <w:rPr>
          <w:rFonts w:ascii="Palatino Linotype" w:eastAsia="Calibri" w:hAnsi="Palatino Linotype" w:cs="Times New Roman"/>
          <w:bCs/>
          <w:sz w:val="24"/>
          <w:szCs w:val="24"/>
          <w:lang w:val="es-ES" w:eastAsia="es-ES"/>
        </w:rPr>
        <w:t xml:space="preserve"> </w:t>
      </w:r>
    </w:p>
    <w:p w14:paraId="72A6B621" w14:textId="77777777" w:rsidR="00422657" w:rsidRPr="00422657" w:rsidRDefault="00422657" w:rsidP="00422657">
      <w:pPr>
        <w:pStyle w:val="Prrafodelista"/>
        <w:pBdr>
          <w:top w:val="nil"/>
          <w:left w:val="nil"/>
          <w:bottom w:val="nil"/>
          <w:right w:val="nil"/>
          <w:between w:val="nil"/>
          <w:bar w:val="nil"/>
        </w:pBdr>
        <w:spacing w:before="240" w:after="0" w:line="360" w:lineRule="auto"/>
        <w:ind w:left="0" w:right="51"/>
        <w:contextualSpacing w:val="0"/>
        <w:jc w:val="both"/>
        <w:rPr>
          <w:rFonts w:ascii="Palatino Linotype" w:eastAsiaTheme="minorEastAsia" w:hAnsi="Palatino Linotype"/>
          <w:b/>
          <w:color w:val="000000" w:themeColor="text1"/>
          <w:sz w:val="24"/>
        </w:rPr>
      </w:pPr>
    </w:p>
    <w:p w14:paraId="45968651" w14:textId="58754A9A" w:rsidR="007357CE" w:rsidRDefault="002529B2" w:rsidP="00A378FE">
      <w:pPr>
        <w:pStyle w:val="Prrafodelista"/>
        <w:numPr>
          <w:ilvl w:val="0"/>
          <w:numId w:val="9"/>
        </w:numPr>
        <w:tabs>
          <w:tab w:val="left" w:pos="426"/>
        </w:tabs>
        <w:spacing w:before="240" w:after="240" w:line="360" w:lineRule="auto"/>
        <w:ind w:left="0" w:right="51" w:firstLine="0"/>
        <w:jc w:val="both"/>
        <w:rPr>
          <w:rFonts w:ascii="Palatino Linotype" w:eastAsiaTheme="minorEastAsia" w:hAnsi="Palatino Linotype"/>
          <w:color w:val="000000" w:themeColor="text1"/>
          <w:sz w:val="24"/>
        </w:rPr>
      </w:pPr>
      <w:r>
        <w:rPr>
          <w:rFonts w:ascii="Palatino Linotype" w:eastAsiaTheme="minorEastAsia" w:hAnsi="Palatino Linotype"/>
          <w:b/>
          <w:color w:val="000000" w:themeColor="text1"/>
          <w:sz w:val="24"/>
        </w:rPr>
        <w:t>E</w:t>
      </w:r>
      <w:r w:rsidR="005F796F" w:rsidRPr="007357CE">
        <w:rPr>
          <w:rFonts w:ascii="Palatino Linotype" w:eastAsiaTheme="minorEastAsia" w:hAnsi="Palatino Linotype"/>
          <w:color w:val="000000" w:themeColor="text1"/>
          <w:sz w:val="24"/>
        </w:rPr>
        <w:t xml:space="preserve">s imperativo señalar </w:t>
      </w:r>
      <w:r w:rsidR="003442F0" w:rsidRPr="007357CE">
        <w:rPr>
          <w:rFonts w:ascii="Palatino Linotype" w:eastAsiaTheme="minorEastAsia" w:hAnsi="Palatino Linotype"/>
          <w:color w:val="000000" w:themeColor="text1"/>
          <w:sz w:val="24"/>
        </w:rPr>
        <w:t xml:space="preserve">que </w:t>
      </w:r>
      <w:r w:rsidR="005F796F" w:rsidRPr="007357CE">
        <w:rPr>
          <w:rFonts w:ascii="Palatino Linotype" w:eastAsiaTheme="minorEastAsia" w:hAnsi="Palatino Linotype"/>
          <w:color w:val="000000" w:themeColor="text1"/>
          <w:sz w:val="24"/>
        </w:rPr>
        <w:t xml:space="preserve">la Ley vigente de Transparencia y Acceso a la Información Pública del Estado de México y Municipios, en su artículo 5, establece que </w:t>
      </w:r>
      <w:r w:rsidR="005F796F" w:rsidRPr="007357CE">
        <w:rPr>
          <w:rFonts w:ascii="Palatino Linotype" w:eastAsiaTheme="minorEastAsia" w:hAnsi="Palatino Linotype"/>
          <w:b/>
          <w:bCs/>
          <w:color w:val="000000" w:themeColor="text1"/>
          <w:sz w:val="24"/>
        </w:rPr>
        <w:t>no podrá clasificarse como reservada aquella información que esté relacionada con violaciones graves a derechos humanos o delitos de lesa humanidad</w:t>
      </w:r>
      <w:r w:rsidR="005F796F" w:rsidRPr="007357CE">
        <w:rPr>
          <w:rFonts w:ascii="Palatino Linotype" w:eastAsiaTheme="minorEastAsia" w:hAnsi="Palatino Linotype"/>
          <w:color w:val="000000" w:themeColor="text1"/>
          <w:sz w:val="24"/>
        </w:rPr>
        <w:t>, de conformidad con el derecho nacional o los tratados internacionales de los que el Estado mexicano sea parte.</w:t>
      </w:r>
    </w:p>
    <w:p w14:paraId="668B64BC" w14:textId="77777777" w:rsidR="007357CE" w:rsidRPr="007357CE" w:rsidRDefault="007357CE" w:rsidP="007357CE">
      <w:pPr>
        <w:pStyle w:val="Prrafodelista"/>
        <w:rPr>
          <w:rFonts w:ascii="Palatino Linotype" w:eastAsiaTheme="minorEastAsia" w:hAnsi="Palatino Linotype"/>
          <w:color w:val="000000" w:themeColor="text1"/>
          <w:sz w:val="24"/>
        </w:rPr>
      </w:pPr>
    </w:p>
    <w:p w14:paraId="5F245D1D" w14:textId="77777777" w:rsidR="00756CB0" w:rsidRDefault="005F796F" w:rsidP="007357CE">
      <w:pPr>
        <w:pStyle w:val="Prrafodelista"/>
        <w:numPr>
          <w:ilvl w:val="0"/>
          <w:numId w:val="9"/>
        </w:numPr>
        <w:tabs>
          <w:tab w:val="left" w:pos="426"/>
        </w:tabs>
        <w:spacing w:before="240" w:after="240" w:line="360" w:lineRule="auto"/>
        <w:ind w:left="0" w:right="51" w:firstLine="0"/>
        <w:jc w:val="both"/>
        <w:rPr>
          <w:rFonts w:ascii="Palatino Linotype" w:eastAsiaTheme="minorEastAsia" w:hAnsi="Palatino Linotype"/>
          <w:color w:val="000000" w:themeColor="text1"/>
          <w:sz w:val="24"/>
        </w:rPr>
      </w:pPr>
      <w:r w:rsidRPr="007357CE">
        <w:rPr>
          <w:rFonts w:ascii="Palatino Linotype" w:eastAsiaTheme="minorEastAsia" w:hAnsi="Palatino Linotype"/>
          <w:color w:val="000000" w:themeColor="text1"/>
          <w:sz w:val="24"/>
        </w:rPr>
        <w:t>Correlativo lo anterior, el diverso dispositivo 142 del ordenamiento en cita, enlista los escenarios bajo los que no se podrá invocar la reserva de información, a saber:</w:t>
      </w:r>
    </w:p>
    <w:p w14:paraId="07DC9885" w14:textId="77777777" w:rsidR="00756CB0" w:rsidRPr="0062467A" w:rsidRDefault="00756CB0" w:rsidP="00756CB0">
      <w:pPr>
        <w:tabs>
          <w:tab w:val="left" w:pos="426"/>
        </w:tabs>
        <w:spacing w:before="240" w:after="240" w:line="360" w:lineRule="auto"/>
        <w:ind w:right="51"/>
        <w:contextualSpacing/>
        <w:jc w:val="both"/>
        <w:rPr>
          <w:rFonts w:ascii="Palatino Linotype" w:eastAsiaTheme="minorEastAsia" w:hAnsi="Palatino Linotype"/>
          <w:color w:val="000000" w:themeColor="text1"/>
        </w:rPr>
      </w:pPr>
    </w:p>
    <w:p w14:paraId="34D3D021" w14:textId="77777777" w:rsidR="00756CB0" w:rsidRDefault="00756CB0" w:rsidP="00756CB0">
      <w:pPr>
        <w:tabs>
          <w:tab w:val="left" w:pos="426"/>
        </w:tabs>
        <w:spacing w:before="240" w:after="240" w:line="360" w:lineRule="auto"/>
        <w:ind w:left="567" w:right="567"/>
        <w:contextualSpacing/>
        <w:jc w:val="both"/>
        <w:rPr>
          <w:rFonts w:ascii="Palatino Linotype" w:eastAsiaTheme="minorEastAsia" w:hAnsi="Palatino Linotype"/>
          <w:i/>
          <w:iCs/>
        </w:rPr>
      </w:pPr>
      <w:r w:rsidRPr="0062467A">
        <w:rPr>
          <w:rFonts w:ascii="Palatino Linotype" w:eastAsiaTheme="minorEastAsia" w:hAnsi="Palatino Linotype"/>
          <w:i/>
          <w:iCs/>
        </w:rPr>
        <w:t>“</w:t>
      </w:r>
      <w:r w:rsidRPr="0062467A">
        <w:rPr>
          <w:rFonts w:ascii="Palatino Linotype" w:eastAsiaTheme="minorEastAsia" w:hAnsi="Palatino Linotype"/>
          <w:b/>
          <w:bCs/>
          <w:i/>
          <w:iCs/>
        </w:rPr>
        <w:t xml:space="preserve">Artículo 142. </w:t>
      </w:r>
      <w:r w:rsidRPr="0062467A">
        <w:rPr>
          <w:rFonts w:ascii="Palatino Linotype" w:eastAsiaTheme="minorEastAsia" w:hAnsi="Palatino Linotype"/>
          <w:i/>
          <w:iCs/>
        </w:rPr>
        <w:t xml:space="preserve">Bajo ninguna circunstancia podrá invocarse el carácter de reservado cuando: </w:t>
      </w:r>
    </w:p>
    <w:p w14:paraId="3CE4431A" w14:textId="77777777" w:rsidR="00756CB0" w:rsidRPr="0062467A" w:rsidRDefault="00756CB0" w:rsidP="00756CB0">
      <w:pPr>
        <w:tabs>
          <w:tab w:val="left" w:pos="426"/>
        </w:tabs>
        <w:spacing w:before="240" w:after="240" w:line="360" w:lineRule="auto"/>
        <w:ind w:left="567" w:right="567"/>
        <w:contextualSpacing/>
        <w:jc w:val="both"/>
        <w:rPr>
          <w:rFonts w:ascii="Palatino Linotype" w:eastAsiaTheme="minorEastAsia" w:hAnsi="Palatino Linotype"/>
          <w:i/>
          <w:iCs/>
        </w:rPr>
      </w:pPr>
    </w:p>
    <w:p w14:paraId="1BEF105E" w14:textId="77777777" w:rsidR="00756CB0" w:rsidRPr="0062467A" w:rsidRDefault="00756CB0" w:rsidP="00756CB0">
      <w:pPr>
        <w:tabs>
          <w:tab w:val="left" w:pos="426"/>
        </w:tabs>
        <w:spacing w:before="240" w:after="240" w:line="360" w:lineRule="auto"/>
        <w:ind w:left="567" w:right="567"/>
        <w:contextualSpacing/>
        <w:jc w:val="both"/>
        <w:rPr>
          <w:rFonts w:ascii="Palatino Linotype" w:eastAsiaTheme="minorEastAsia" w:hAnsi="Palatino Linotype"/>
          <w:i/>
          <w:iCs/>
        </w:rPr>
      </w:pPr>
      <w:r w:rsidRPr="0062467A">
        <w:rPr>
          <w:rFonts w:ascii="Palatino Linotype" w:eastAsiaTheme="minorEastAsia" w:hAnsi="Palatino Linotype"/>
          <w:b/>
          <w:bCs/>
          <w:i/>
          <w:iCs/>
        </w:rPr>
        <w:lastRenderedPageBreak/>
        <w:t>I.</w:t>
      </w:r>
      <w:r w:rsidRPr="0062467A">
        <w:rPr>
          <w:rFonts w:ascii="Palatino Linotype" w:eastAsiaTheme="minorEastAsia" w:hAnsi="Palatino Linotype"/>
          <w:i/>
          <w:iCs/>
        </w:rPr>
        <w:t xml:space="preserve"> Se trate de violaciones graves de derechos humanos, calificada así por autoridad competente; </w:t>
      </w:r>
    </w:p>
    <w:p w14:paraId="3D53AA69" w14:textId="77777777" w:rsidR="00756CB0" w:rsidRPr="0062467A" w:rsidRDefault="00756CB0" w:rsidP="00756CB0">
      <w:pPr>
        <w:tabs>
          <w:tab w:val="left" w:pos="426"/>
        </w:tabs>
        <w:spacing w:before="240" w:after="240" w:line="360" w:lineRule="auto"/>
        <w:ind w:left="567" w:right="567"/>
        <w:contextualSpacing/>
        <w:jc w:val="both"/>
        <w:rPr>
          <w:rFonts w:ascii="Palatino Linotype" w:eastAsiaTheme="minorEastAsia" w:hAnsi="Palatino Linotype"/>
          <w:b/>
          <w:bCs/>
          <w:i/>
          <w:iCs/>
        </w:rPr>
      </w:pPr>
      <w:r w:rsidRPr="0062467A">
        <w:rPr>
          <w:rFonts w:ascii="Palatino Linotype" w:eastAsiaTheme="minorEastAsia" w:hAnsi="Palatino Linotype"/>
          <w:b/>
          <w:bCs/>
          <w:i/>
          <w:iCs/>
        </w:rPr>
        <w:t xml:space="preserve">II. Se trate de la investigación de posibles violaciones graves de derechos humanos aun cuando no exista pronunciamiento previo de autoridad competente, cuando se determine, a partir de criterios cuantitativos y cualitativos la trascendencia social de las violaciones; </w:t>
      </w:r>
    </w:p>
    <w:p w14:paraId="4DBD43D4" w14:textId="77777777" w:rsidR="00756CB0" w:rsidRPr="0062467A" w:rsidRDefault="00756CB0" w:rsidP="00756CB0">
      <w:pPr>
        <w:tabs>
          <w:tab w:val="left" w:pos="426"/>
        </w:tabs>
        <w:spacing w:before="240" w:after="240" w:line="360" w:lineRule="auto"/>
        <w:ind w:left="567" w:right="567"/>
        <w:contextualSpacing/>
        <w:jc w:val="both"/>
        <w:rPr>
          <w:rFonts w:ascii="Palatino Linotype" w:eastAsiaTheme="minorEastAsia" w:hAnsi="Palatino Linotype"/>
          <w:i/>
          <w:iCs/>
        </w:rPr>
      </w:pPr>
      <w:r w:rsidRPr="0062467A">
        <w:rPr>
          <w:rFonts w:ascii="Palatino Linotype" w:eastAsiaTheme="minorEastAsia" w:hAnsi="Palatino Linotype"/>
          <w:b/>
          <w:bCs/>
          <w:i/>
          <w:iCs/>
        </w:rPr>
        <w:t>III.</w:t>
      </w:r>
      <w:r w:rsidRPr="0062467A">
        <w:rPr>
          <w:rFonts w:ascii="Palatino Linotype" w:eastAsiaTheme="minorEastAsia" w:hAnsi="Palatino Linotype"/>
          <w:i/>
          <w:iCs/>
        </w:rPr>
        <w:t xml:space="preserve"> 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14:paraId="70DFF301" w14:textId="77777777" w:rsidR="00756CB0" w:rsidRPr="0062467A" w:rsidRDefault="00756CB0" w:rsidP="00756CB0">
      <w:pPr>
        <w:tabs>
          <w:tab w:val="left" w:pos="426"/>
        </w:tabs>
        <w:spacing w:before="240" w:after="240" w:line="360" w:lineRule="auto"/>
        <w:ind w:left="567" w:right="567"/>
        <w:contextualSpacing/>
        <w:jc w:val="both"/>
        <w:rPr>
          <w:rFonts w:ascii="Palatino Linotype" w:eastAsiaTheme="minorEastAsia" w:hAnsi="Palatino Linotype"/>
          <w:i/>
          <w:iCs/>
        </w:rPr>
      </w:pPr>
      <w:r w:rsidRPr="0062467A">
        <w:rPr>
          <w:rFonts w:ascii="Palatino Linotype" w:eastAsiaTheme="minorEastAsia" w:hAnsi="Palatino Linotype"/>
          <w:b/>
          <w:bCs/>
          <w:i/>
          <w:iCs/>
        </w:rPr>
        <w:t>IV.</w:t>
      </w:r>
      <w:r w:rsidRPr="0062467A">
        <w:rPr>
          <w:rFonts w:ascii="Palatino Linotype" w:eastAsiaTheme="minorEastAsia" w:hAnsi="Palatino Linotype"/>
          <w:i/>
          <w:iCs/>
        </w:rPr>
        <w:t xml:space="preserve"> Se trate de información relacionada con actos de corrupción de conformidad con las disposiciones jurídicas aplicables.”</w:t>
      </w:r>
    </w:p>
    <w:p w14:paraId="5A7A6925" w14:textId="77777777" w:rsidR="00756CB0" w:rsidRDefault="00756CB0" w:rsidP="00756CB0">
      <w:pPr>
        <w:tabs>
          <w:tab w:val="left" w:pos="426"/>
        </w:tabs>
        <w:spacing w:before="240" w:after="240" w:line="360" w:lineRule="auto"/>
        <w:ind w:left="567" w:right="567"/>
        <w:contextualSpacing/>
        <w:jc w:val="both"/>
        <w:rPr>
          <w:rFonts w:ascii="Palatino Linotype" w:eastAsiaTheme="minorEastAsia" w:hAnsi="Palatino Linotype"/>
        </w:rPr>
      </w:pPr>
      <w:r w:rsidRPr="0062467A">
        <w:rPr>
          <w:rFonts w:ascii="Palatino Linotype" w:eastAsiaTheme="minorEastAsia" w:hAnsi="Palatino Linotype"/>
        </w:rPr>
        <w:t>(Énfasis añadido)</w:t>
      </w:r>
    </w:p>
    <w:p w14:paraId="4DCA82AD" w14:textId="77777777" w:rsidR="003B0954" w:rsidRPr="0062467A" w:rsidRDefault="003B0954" w:rsidP="00756CB0">
      <w:pPr>
        <w:tabs>
          <w:tab w:val="left" w:pos="426"/>
        </w:tabs>
        <w:spacing w:before="240" w:after="240" w:line="360" w:lineRule="auto"/>
        <w:ind w:left="567" w:right="567"/>
        <w:contextualSpacing/>
        <w:jc w:val="both"/>
        <w:rPr>
          <w:rFonts w:ascii="Palatino Linotype" w:eastAsiaTheme="minorEastAsia" w:hAnsi="Palatino Linotype"/>
          <w:color w:val="000000" w:themeColor="text1"/>
        </w:rPr>
      </w:pPr>
    </w:p>
    <w:p w14:paraId="683301E5" w14:textId="3B871AFD" w:rsidR="00756CB0" w:rsidRPr="00442AA9" w:rsidRDefault="00B0630B" w:rsidP="00442AA9">
      <w:pPr>
        <w:pStyle w:val="Prrafodelista"/>
        <w:numPr>
          <w:ilvl w:val="0"/>
          <w:numId w:val="41"/>
        </w:numPr>
        <w:tabs>
          <w:tab w:val="left" w:pos="426"/>
        </w:tabs>
        <w:spacing w:before="240" w:after="240" w:line="360" w:lineRule="auto"/>
        <w:ind w:right="51"/>
        <w:jc w:val="both"/>
        <w:rPr>
          <w:rFonts w:ascii="Palatino Linotype" w:eastAsiaTheme="minorEastAsia" w:hAnsi="Palatino Linotype"/>
          <w:b/>
          <w:color w:val="000000" w:themeColor="text1"/>
          <w:sz w:val="24"/>
        </w:rPr>
      </w:pPr>
      <w:r w:rsidRPr="00442AA9">
        <w:rPr>
          <w:rFonts w:ascii="Palatino Linotype" w:eastAsiaTheme="minorEastAsia" w:hAnsi="Palatino Linotype"/>
          <w:b/>
          <w:color w:val="000000" w:themeColor="text1"/>
          <w:sz w:val="24"/>
        </w:rPr>
        <w:t>D</w:t>
      </w:r>
      <w:r w:rsidR="003B0954" w:rsidRPr="00442AA9">
        <w:rPr>
          <w:rFonts w:ascii="Palatino Linotype" w:eastAsiaTheme="minorEastAsia" w:hAnsi="Palatino Linotype"/>
          <w:b/>
          <w:color w:val="000000" w:themeColor="text1"/>
          <w:sz w:val="24"/>
        </w:rPr>
        <w:t>el derecho a un medio ambiente sano</w:t>
      </w:r>
    </w:p>
    <w:p w14:paraId="7D7366A4" w14:textId="77777777" w:rsidR="003B0954" w:rsidRDefault="003B0954" w:rsidP="00756CB0">
      <w:pPr>
        <w:pStyle w:val="Prrafodelista"/>
        <w:tabs>
          <w:tab w:val="left" w:pos="426"/>
        </w:tabs>
        <w:spacing w:before="240" w:after="240" w:line="360" w:lineRule="auto"/>
        <w:ind w:left="0" w:right="51"/>
        <w:jc w:val="both"/>
        <w:rPr>
          <w:rFonts w:ascii="Palatino Linotype" w:eastAsiaTheme="minorEastAsia" w:hAnsi="Palatino Linotype"/>
          <w:color w:val="000000" w:themeColor="text1"/>
          <w:sz w:val="24"/>
        </w:rPr>
      </w:pPr>
    </w:p>
    <w:p w14:paraId="19064A90" w14:textId="57EFE77E" w:rsidR="00AF7025" w:rsidRPr="00AF7025" w:rsidRDefault="003B0954" w:rsidP="00AF7025">
      <w:pPr>
        <w:pStyle w:val="Prrafodelista"/>
        <w:numPr>
          <w:ilvl w:val="0"/>
          <w:numId w:val="9"/>
        </w:numPr>
        <w:tabs>
          <w:tab w:val="left" w:pos="426"/>
        </w:tabs>
        <w:spacing w:before="240" w:after="240" w:line="360" w:lineRule="auto"/>
        <w:ind w:left="0" w:right="51" w:firstLine="0"/>
        <w:jc w:val="both"/>
        <w:rPr>
          <w:rFonts w:ascii="Palatino Linotype" w:eastAsiaTheme="minorEastAsia" w:hAnsi="Palatino Linotype"/>
          <w:color w:val="000000" w:themeColor="text1"/>
          <w:sz w:val="24"/>
        </w:rPr>
      </w:pPr>
      <w:r>
        <w:rPr>
          <w:rFonts w:ascii="Palatino Linotype" w:eastAsiaTheme="minorEastAsia" w:hAnsi="Palatino Linotype"/>
          <w:color w:val="000000" w:themeColor="text1"/>
          <w:sz w:val="24"/>
        </w:rPr>
        <w:t xml:space="preserve">Cabe señalar que no hay una definición </w:t>
      </w:r>
      <w:r w:rsidR="00617133">
        <w:rPr>
          <w:rFonts w:ascii="Palatino Linotype" w:eastAsiaTheme="minorEastAsia" w:hAnsi="Palatino Linotype"/>
          <w:color w:val="000000" w:themeColor="text1"/>
          <w:sz w:val="24"/>
        </w:rPr>
        <w:t>general</w:t>
      </w:r>
      <w:r>
        <w:rPr>
          <w:rFonts w:ascii="Palatino Linotype" w:eastAsiaTheme="minorEastAsia" w:hAnsi="Palatino Linotype"/>
          <w:color w:val="000000" w:themeColor="text1"/>
          <w:sz w:val="24"/>
        </w:rPr>
        <w:t xml:space="preserve"> de lo que se entiende por derecho a un medio ambiente sano; </w:t>
      </w:r>
      <w:r w:rsidR="00617133">
        <w:rPr>
          <w:rFonts w:ascii="Palatino Linotype" w:eastAsiaTheme="minorEastAsia" w:hAnsi="Palatino Linotype"/>
          <w:color w:val="000000" w:themeColor="text1"/>
          <w:sz w:val="24"/>
        </w:rPr>
        <w:t xml:space="preserve">sin embargo, enunciaremos </w:t>
      </w:r>
      <w:r w:rsidR="000B62AC">
        <w:rPr>
          <w:rFonts w:ascii="Palatino Linotype" w:eastAsiaTheme="minorEastAsia" w:hAnsi="Palatino Linotype"/>
          <w:color w:val="000000" w:themeColor="text1"/>
          <w:sz w:val="24"/>
        </w:rPr>
        <w:t xml:space="preserve">dos de </w:t>
      </w:r>
      <w:r w:rsidR="00760A8B">
        <w:rPr>
          <w:rFonts w:ascii="Palatino Linotype" w:eastAsiaTheme="minorEastAsia" w:hAnsi="Palatino Linotype"/>
          <w:color w:val="000000" w:themeColor="text1"/>
          <w:sz w:val="24"/>
        </w:rPr>
        <w:t xml:space="preserve">las establecidas en el </w:t>
      </w:r>
      <w:r w:rsidR="00617133" w:rsidRPr="00760A8B">
        <w:rPr>
          <w:rFonts w:ascii="Palatino Linotype" w:eastAsiaTheme="minorEastAsia" w:hAnsi="Palatino Linotype"/>
          <w:color w:val="000000" w:themeColor="text1"/>
          <w:sz w:val="24"/>
        </w:rPr>
        <w:t>Catálogo para la calificación de violaciones a derechos humanos, emitido por la Comisión de Derechos Humanos del Estado de México</w:t>
      </w:r>
      <w:r w:rsidR="00AF7025">
        <w:rPr>
          <w:rFonts w:ascii="Palatino Linotype" w:eastAsiaTheme="minorEastAsia" w:hAnsi="Palatino Linotype"/>
          <w:color w:val="000000" w:themeColor="text1"/>
          <w:sz w:val="24"/>
        </w:rPr>
        <w:t>:</w:t>
      </w:r>
    </w:p>
    <w:p w14:paraId="33A38CE2" w14:textId="77777777" w:rsidR="001F18DA" w:rsidRDefault="001F18DA" w:rsidP="001F18DA">
      <w:pPr>
        <w:pStyle w:val="Prrafodelista"/>
        <w:tabs>
          <w:tab w:val="left" w:pos="426"/>
        </w:tabs>
        <w:spacing w:before="240" w:after="240" w:line="360" w:lineRule="auto"/>
        <w:ind w:left="0" w:right="51"/>
        <w:jc w:val="both"/>
        <w:rPr>
          <w:rFonts w:ascii="Palatino Linotype" w:eastAsiaTheme="minorEastAsia" w:hAnsi="Palatino Linotype"/>
          <w:color w:val="000000" w:themeColor="text1"/>
          <w:sz w:val="24"/>
        </w:rPr>
      </w:pPr>
    </w:p>
    <w:p w14:paraId="1C25D585" w14:textId="5803B829" w:rsidR="00B0630B" w:rsidRPr="004F2CF5" w:rsidRDefault="001F18DA" w:rsidP="004F2CF5">
      <w:pPr>
        <w:pStyle w:val="Prrafodelista"/>
        <w:numPr>
          <w:ilvl w:val="0"/>
          <w:numId w:val="40"/>
        </w:numPr>
        <w:tabs>
          <w:tab w:val="left" w:pos="426"/>
        </w:tabs>
        <w:spacing w:before="240" w:after="240" w:line="360" w:lineRule="auto"/>
        <w:ind w:right="616"/>
        <w:jc w:val="both"/>
        <w:rPr>
          <w:rFonts w:ascii="Palatino Linotype" w:hAnsi="Palatino Linotype"/>
          <w:b/>
          <w:i/>
        </w:rPr>
      </w:pPr>
      <w:r w:rsidRPr="001F18DA">
        <w:rPr>
          <w:rFonts w:ascii="Palatino Linotype" w:hAnsi="Palatino Linotype"/>
          <w:b/>
          <w:i/>
        </w:rPr>
        <w:t xml:space="preserve">Derecho a la protección, preservación y </w:t>
      </w:r>
      <w:r w:rsidR="00B0630B">
        <w:rPr>
          <w:rFonts w:ascii="Palatino Linotype" w:hAnsi="Palatino Linotype"/>
          <w:b/>
          <w:i/>
        </w:rPr>
        <w:t xml:space="preserve">mejoramiento del medio ambiente: </w:t>
      </w:r>
      <w:r w:rsidRPr="00B0630B">
        <w:rPr>
          <w:rFonts w:ascii="Palatino Linotype" w:hAnsi="Palatino Linotype"/>
          <w:i/>
        </w:rPr>
        <w:t xml:space="preserve">derecho de todo ser humano a que se le garanticen las medidas y </w:t>
      </w:r>
      <w:r w:rsidRPr="00B0630B">
        <w:rPr>
          <w:rFonts w:ascii="Palatino Linotype" w:hAnsi="Palatino Linotype"/>
          <w:i/>
        </w:rPr>
        <w:lastRenderedPageBreak/>
        <w:t xml:space="preserve">programas necesarios para el cuidado del medio ambiente, que le permitan disponer de un patrimonio natural adecuado. </w:t>
      </w:r>
      <w:r w:rsidR="00617133" w:rsidRPr="00B0630B">
        <w:rPr>
          <w:rFonts w:ascii="Palatino Linotype" w:hAnsi="Palatino Linotype"/>
          <w:i/>
        </w:rPr>
        <w:t xml:space="preserve"> </w:t>
      </w:r>
    </w:p>
    <w:p w14:paraId="69FA00B1" w14:textId="77777777" w:rsidR="004F2CF5" w:rsidRPr="00B0630B" w:rsidRDefault="004F2CF5" w:rsidP="004F2CF5">
      <w:pPr>
        <w:pStyle w:val="Prrafodelista"/>
        <w:tabs>
          <w:tab w:val="left" w:pos="426"/>
        </w:tabs>
        <w:spacing w:before="240" w:after="240" w:line="360" w:lineRule="auto"/>
        <w:ind w:left="1571" w:right="616"/>
        <w:jc w:val="both"/>
        <w:rPr>
          <w:rFonts w:ascii="Palatino Linotype" w:hAnsi="Palatino Linotype"/>
          <w:b/>
          <w:i/>
        </w:rPr>
      </w:pPr>
    </w:p>
    <w:p w14:paraId="64E965F3" w14:textId="4651FE16" w:rsidR="00760A8B" w:rsidRPr="00442AA9" w:rsidRDefault="001F18DA" w:rsidP="004F2CF5">
      <w:pPr>
        <w:pStyle w:val="Prrafodelista"/>
        <w:numPr>
          <w:ilvl w:val="0"/>
          <w:numId w:val="40"/>
        </w:numPr>
        <w:tabs>
          <w:tab w:val="left" w:pos="426"/>
        </w:tabs>
        <w:spacing w:before="240" w:after="240" w:line="360" w:lineRule="auto"/>
        <w:ind w:right="616"/>
        <w:jc w:val="both"/>
        <w:rPr>
          <w:rFonts w:ascii="Palatino Linotype" w:hAnsi="Palatino Linotype"/>
          <w:b/>
          <w:i/>
        </w:rPr>
      </w:pPr>
      <w:r w:rsidRPr="00B0630B">
        <w:rPr>
          <w:rFonts w:ascii="Palatino Linotype" w:hAnsi="Palatino Linotype"/>
          <w:b/>
          <w:i/>
        </w:rPr>
        <w:t>Derecho al disfrute de un medio ambiente sa</w:t>
      </w:r>
      <w:r w:rsidR="00B0630B">
        <w:rPr>
          <w:rFonts w:ascii="Palatino Linotype" w:hAnsi="Palatino Linotype"/>
          <w:b/>
          <w:i/>
        </w:rPr>
        <w:t xml:space="preserve">no y ecológicamente equilibrado: </w:t>
      </w:r>
      <w:r w:rsidRPr="00B0630B">
        <w:rPr>
          <w:rFonts w:ascii="Palatino Linotype" w:hAnsi="Palatino Linotype"/>
          <w:i/>
        </w:rPr>
        <w:t xml:space="preserve">derecho de todo ser humano a que se le respete, proteja, promueva y garantice un medio ambiente libre de contaminación, que fomente su sano desarrollo y bienestar, así como la preservación y restauración del equilibrio ecológico. </w:t>
      </w:r>
      <w:r w:rsidR="00617133" w:rsidRPr="00B0630B">
        <w:rPr>
          <w:rFonts w:ascii="Palatino Linotype" w:hAnsi="Palatino Linotype"/>
          <w:i/>
        </w:rPr>
        <w:t xml:space="preserve"> </w:t>
      </w:r>
    </w:p>
    <w:p w14:paraId="528D66CF" w14:textId="77777777" w:rsidR="00442AA9" w:rsidRPr="00442AA9" w:rsidRDefault="00442AA9" w:rsidP="00442AA9">
      <w:pPr>
        <w:pStyle w:val="Prrafodelista"/>
        <w:tabs>
          <w:tab w:val="left" w:pos="426"/>
        </w:tabs>
        <w:spacing w:before="240" w:after="240" w:line="360" w:lineRule="auto"/>
        <w:ind w:left="1571" w:right="616"/>
        <w:jc w:val="both"/>
        <w:rPr>
          <w:rFonts w:ascii="Palatino Linotype" w:hAnsi="Palatino Linotype"/>
          <w:b/>
          <w:i/>
        </w:rPr>
      </w:pPr>
    </w:p>
    <w:p w14:paraId="2AC70C32" w14:textId="2DD8E0C2" w:rsidR="00617133" w:rsidRDefault="00442AA9" w:rsidP="00756CB0">
      <w:pPr>
        <w:pStyle w:val="Prrafodelista"/>
        <w:numPr>
          <w:ilvl w:val="0"/>
          <w:numId w:val="9"/>
        </w:numPr>
        <w:tabs>
          <w:tab w:val="left" w:pos="426"/>
        </w:tabs>
        <w:spacing w:before="240" w:after="240" w:line="360" w:lineRule="auto"/>
        <w:ind w:left="0" w:right="51" w:firstLine="0"/>
        <w:jc w:val="both"/>
        <w:rPr>
          <w:rFonts w:ascii="Palatino Linotype" w:eastAsiaTheme="minorEastAsia" w:hAnsi="Palatino Linotype"/>
          <w:color w:val="000000" w:themeColor="text1"/>
          <w:sz w:val="24"/>
        </w:rPr>
      </w:pPr>
      <w:r>
        <w:rPr>
          <w:rFonts w:ascii="Palatino Linotype" w:eastAsiaTheme="minorEastAsia" w:hAnsi="Palatino Linotype"/>
          <w:color w:val="000000" w:themeColor="text1"/>
          <w:sz w:val="24"/>
        </w:rPr>
        <w:t xml:space="preserve">Asimismo, los diferentes instrumentos jurídicos tanto internacionales como nacionales, establecen sobre el derecho humano a un medio ambiente sano, </w:t>
      </w:r>
      <w:r w:rsidR="000B62AC">
        <w:rPr>
          <w:rFonts w:ascii="Palatino Linotype" w:eastAsiaTheme="minorEastAsia" w:hAnsi="Palatino Linotype"/>
          <w:color w:val="000000" w:themeColor="text1"/>
          <w:sz w:val="24"/>
        </w:rPr>
        <w:t>lo siguiente</w:t>
      </w:r>
      <w:r>
        <w:rPr>
          <w:rFonts w:ascii="Palatino Linotype" w:eastAsiaTheme="minorEastAsia" w:hAnsi="Palatino Linotype"/>
          <w:color w:val="000000" w:themeColor="text1"/>
          <w:sz w:val="24"/>
        </w:rPr>
        <w:t>:</w:t>
      </w:r>
    </w:p>
    <w:p w14:paraId="7D0768C9" w14:textId="77777777" w:rsidR="00442AA9" w:rsidRDefault="00442AA9" w:rsidP="00442AA9">
      <w:pPr>
        <w:pStyle w:val="Prrafodelista"/>
        <w:tabs>
          <w:tab w:val="left" w:pos="426"/>
        </w:tabs>
        <w:spacing w:before="240" w:after="240" w:line="360" w:lineRule="auto"/>
        <w:ind w:left="0" w:right="51"/>
        <w:jc w:val="both"/>
        <w:rPr>
          <w:rFonts w:ascii="Palatino Linotype" w:eastAsiaTheme="minorEastAsia" w:hAnsi="Palatino Linotype"/>
          <w:color w:val="000000" w:themeColor="text1"/>
          <w:sz w:val="24"/>
        </w:rPr>
      </w:pPr>
    </w:p>
    <w:p w14:paraId="32335B3A" w14:textId="77777777" w:rsidR="00442AA9" w:rsidRPr="000B62AC" w:rsidRDefault="00442AA9" w:rsidP="00442AA9">
      <w:pPr>
        <w:pStyle w:val="Prrafodelista"/>
        <w:numPr>
          <w:ilvl w:val="0"/>
          <w:numId w:val="40"/>
        </w:numPr>
        <w:tabs>
          <w:tab w:val="left" w:pos="426"/>
        </w:tabs>
        <w:spacing w:before="240" w:after="240" w:line="360" w:lineRule="auto"/>
        <w:ind w:right="616"/>
        <w:jc w:val="both"/>
        <w:rPr>
          <w:rFonts w:ascii="Palatino Linotype" w:hAnsi="Palatino Linotype"/>
          <w:b/>
          <w:i/>
        </w:rPr>
      </w:pPr>
      <w:r w:rsidRPr="00B0630B">
        <w:rPr>
          <w:rFonts w:ascii="Palatino Linotype" w:hAnsi="Palatino Linotype" w:cs="Tahoma"/>
          <w:i/>
          <w:color w:val="000000"/>
        </w:rPr>
        <w:t>Toda persona tiene derecho a vivir en un medio ambiente sano y a contar con servicios públicos básicos.</w:t>
      </w:r>
      <w:r w:rsidRPr="00B0630B">
        <w:rPr>
          <w:rFonts w:ascii="Palatino Linotype" w:hAnsi="Palatino Linotype" w:cs="Tahoma"/>
          <w:color w:val="000000"/>
        </w:rPr>
        <w:t xml:space="preserve"> </w:t>
      </w:r>
      <w:r w:rsidRPr="00B0630B">
        <w:rPr>
          <w:rFonts w:ascii="Palatino Linotype" w:hAnsi="Palatino Linotype"/>
        </w:rPr>
        <w:t>(Artículo 11, Protocolo Adicional a la Convención Americana de Derechos Humanos en materia de Derechos Económicos, Sociales y Culturales)</w:t>
      </w:r>
    </w:p>
    <w:p w14:paraId="52DD0EE3" w14:textId="77777777" w:rsidR="000B62AC" w:rsidRPr="00B0630B" w:rsidRDefault="000B62AC" w:rsidP="000B62AC">
      <w:pPr>
        <w:pStyle w:val="Prrafodelista"/>
        <w:tabs>
          <w:tab w:val="left" w:pos="426"/>
        </w:tabs>
        <w:spacing w:before="240" w:after="240" w:line="360" w:lineRule="auto"/>
        <w:ind w:left="1571" w:right="616"/>
        <w:jc w:val="both"/>
        <w:rPr>
          <w:rFonts w:ascii="Palatino Linotype" w:hAnsi="Palatino Linotype"/>
          <w:b/>
          <w:i/>
        </w:rPr>
      </w:pPr>
    </w:p>
    <w:p w14:paraId="773F93FD" w14:textId="77777777" w:rsidR="00442AA9" w:rsidRPr="000B62AC" w:rsidRDefault="00442AA9" w:rsidP="00442AA9">
      <w:pPr>
        <w:pStyle w:val="Prrafodelista"/>
        <w:numPr>
          <w:ilvl w:val="0"/>
          <w:numId w:val="40"/>
        </w:numPr>
        <w:tabs>
          <w:tab w:val="left" w:pos="426"/>
        </w:tabs>
        <w:spacing w:before="240" w:after="240" w:line="360" w:lineRule="auto"/>
        <w:ind w:right="616"/>
        <w:jc w:val="both"/>
        <w:rPr>
          <w:rFonts w:ascii="Palatino Linotype" w:hAnsi="Palatino Linotype"/>
          <w:b/>
        </w:rPr>
      </w:pPr>
      <w:r w:rsidRPr="00B0630B">
        <w:rPr>
          <w:rFonts w:ascii="Palatino Linotype" w:hAnsi="Palatino Linotype"/>
          <w:i/>
        </w:rPr>
        <w:t xml:space="preserve">El mejor modo de tratar las cuestiones ambientales es con la participación de todos los ciudadanos interesados, en el nivel que corresponda. En el plano nacional, toda persona deberá tener acceso adecuado a la información sobre el medio ambiente de que dispongan las autoridades públicas, incluida la información sobre los materiales y las actividades que encierran peligro en sus comunidades, así como la oportunidad de participar en los procesos de adopción de decisiones. Los Estados deberán facilitar y fomentar la </w:t>
      </w:r>
      <w:r w:rsidRPr="00B0630B">
        <w:rPr>
          <w:rFonts w:ascii="Palatino Linotype" w:hAnsi="Palatino Linotype"/>
          <w:i/>
        </w:rPr>
        <w:lastRenderedPageBreak/>
        <w:t xml:space="preserve">sensibilización y la participación de la población poniendo la información a disposición de todos. Deberá proporcionarse acceso efectivo a los procedimientos judiciales y administrativos, entre éstos el resarcimiento de daños y los recursos pertinentes. </w:t>
      </w:r>
      <w:r>
        <w:rPr>
          <w:rFonts w:ascii="Palatino Linotype" w:hAnsi="Palatino Linotype"/>
        </w:rPr>
        <w:t>(P</w:t>
      </w:r>
      <w:r w:rsidRPr="00B0630B">
        <w:rPr>
          <w:rFonts w:ascii="Palatino Linotype" w:hAnsi="Palatino Linotype"/>
        </w:rPr>
        <w:t>rincipio 10, Declaración de Río sobre el Medio Ambiente y el Desarrollo).</w:t>
      </w:r>
    </w:p>
    <w:p w14:paraId="1862153B" w14:textId="77777777" w:rsidR="000B62AC" w:rsidRPr="000B62AC" w:rsidRDefault="000B62AC" w:rsidP="000B62AC">
      <w:pPr>
        <w:pStyle w:val="Prrafodelista"/>
        <w:tabs>
          <w:tab w:val="left" w:pos="426"/>
        </w:tabs>
        <w:spacing w:before="240" w:after="240" w:line="360" w:lineRule="auto"/>
        <w:ind w:left="1571" w:right="616"/>
        <w:jc w:val="both"/>
        <w:rPr>
          <w:rFonts w:ascii="Palatino Linotype" w:hAnsi="Palatino Linotype"/>
          <w:b/>
        </w:rPr>
      </w:pPr>
    </w:p>
    <w:p w14:paraId="30975541" w14:textId="0DF558F3" w:rsidR="000B62AC" w:rsidRPr="000B62AC" w:rsidRDefault="000B62AC" w:rsidP="000B62AC">
      <w:pPr>
        <w:pStyle w:val="Prrafodelista"/>
        <w:numPr>
          <w:ilvl w:val="0"/>
          <w:numId w:val="40"/>
        </w:numPr>
        <w:tabs>
          <w:tab w:val="left" w:pos="426"/>
        </w:tabs>
        <w:spacing w:before="240" w:after="240" w:line="360" w:lineRule="auto"/>
        <w:ind w:right="616"/>
        <w:jc w:val="both"/>
        <w:rPr>
          <w:rFonts w:ascii="Palatino Linotype" w:hAnsi="Palatino Linotype"/>
          <w:b/>
        </w:rPr>
      </w:pPr>
      <w:r w:rsidRPr="000B62AC">
        <w:rPr>
          <w:rFonts w:ascii="Palatino Linotype" w:hAnsi="Palatino Linotype" w:cs="Arial"/>
          <w:i/>
          <w:shd w:val="clear" w:color="auto" w:fill="FFFFFF"/>
        </w:rPr>
        <w:t>Los seres humanos constituyen el centro de las preocupaciones relacionadas con el desarrollo sostenible. Tienen derecho a una vida saludable y productiva en armonia con la naturaleza.</w:t>
      </w:r>
      <w:r w:rsidRPr="000B62AC">
        <w:rPr>
          <w:rFonts w:ascii="Palatino Linotype" w:hAnsi="Palatino Linotype" w:cs="Arial"/>
          <w:shd w:val="clear" w:color="auto" w:fill="FFFFFF"/>
        </w:rPr>
        <w:t xml:space="preserve"> (</w:t>
      </w:r>
      <w:r w:rsidRPr="000B62AC">
        <w:rPr>
          <w:rFonts w:ascii="Palatino Linotype" w:hAnsi="Palatino Linotype"/>
        </w:rPr>
        <w:t>Declaración de Río sobre el Medio Ambiente y el Desarrollo Principio 1)</w:t>
      </w:r>
    </w:p>
    <w:p w14:paraId="5D1D3B88" w14:textId="77777777" w:rsidR="00442AA9" w:rsidRPr="00B0630B" w:rsidRDefault="00442AA9" w:rsidP="00442AA9">
      <w:pPr>
        <w:pStyle w:val="Prrafodelista"/>
        <w:tabs>
          <w:tab w:val="left" w:pos="426"/>
        </w:tabs>
        <w:spacing w:before="240" w:after="240" w:line="360" w:lineRule="auto"/>
        <w:ind w:left="1571" w:right="616"/>
        <w:jc w:val="both"/>
        <w:rPr>
          <w:rFonts w:ascii="Palatino Linotype" w:hAnsi="Palatino Linotype"/>
          <w:b/>
        </w:rPr>
      </w:pPr>
    </w:p>
    <w:p w14:paraId="4581BC87" w14:textId="77777777" w:rsidR="00442AA9" w:rsidRPr="000B62AC" w:rsidRDefault="00442AA9" w:rsidP="00442AA9">
      <w:pPr>
        <w:pStyle w:val="Prrafodelista"/>
        <w:numPr>
          <w:ilvl w:val="0"/>
          <w:numId w:val="40"/>
        </w:numPr>
        <w:tabs>
          <w:tab w:val="left" w:pos="426"/>
        </w:tabs>
        <w:spacing w:before="240" w:after="240" w:line="360" w:lineRule="auto"/>
        <w:ind w:right="616"/>
        <w:jc w:val="both"/>
        <w:rPr>
          <w:rFonts w:ascii="Palatino Linotype" w:hAnsi="Palatino Linotype"/>
          <w:b/>
        </w:rPr>
      </w:pPr>
      <w:r w:rsidRPr="00B0630B">
        <w:rPr>
          <w:rFonts w:ascii="Palatino Linotype" w:hAnsi="Palatino Linotype"/>
          <w:i/>
        </w:rPr>
        <w:t>Toda persona tiene derecho a un medio ambiente sano para su desarrollo y bienestar. El Estado garantizará el respeto a este derecho. El daño y deterioro ambiental generará responsabilidad para quien lo provoque en términos de lo dispuesto por la ley.</w:t>
      </w:r>
      <w:r>
        <w:t xml:space="preserve"> </w:t>
      </w:r>
      <w:r w:rsidRPr="00B0630B">
        <w:rPr>
          <w:rFonts w:ascii="Palatino Linotype" w:hAnsi="Palatino Linotype"/>
        </w:rPr>
        <w:t>(artículo 4º, Constitución Política de los Estados Unidos Mexicanos)</w:t>
      </w:r>
    </w:p>
    <w:p w14:paraId="60F9392C" w14:textId="77777777" w:rsidR="000B62AC" w:rsidRPr="000B62AC" w:rsidRDefault="000B62AC" w:rsidP="000B62AC">
      <w:pPr>
        <w:pStyle w:val="Prrafodelista"/>
        <w:rPr>
          <w:rFonts w:ascii="Palatino Linotype" w:hAnsi="Palatino Linotype"/>
          <w:b/>
        </w:rPr>
      </w:pPr>
    </w:p>
    <w:p w14:paraId="312BA10C" w14:textId="53FF0E20" w:rsidR="00617133" w:rsidRPr="00390F94" w:rsidRDefault="000B62AC" w:rsidP="000B62AC">
      <w:pPr>
        <w:pStyle w:val="Prrafodelista"/>
        <w:numPr>
          <w:ilvl w:val="0"/>
          <w:numId w:val="40"/>
        </w:numPr>
        <w:tabs>
          <w:tab w:val="left" w:pos="426"/>
        </w:tabs>
        <w:spacing w:before="240" w:after="240" w:line="360" w:lineRule="auto"/>
        <w:ind w:right="616"/>
        <w:jc w:val="both"/>
        <w:rPr>
          <w:rFonts w:ascii="Palatino Linotype" w:hAnsi="Palatino Linotype"/>
          <w:b/>
        </w:rPr>
      </w:pPr>
      <w:r w:rsidRPr="000B62AC">
        <w:rPr>
          <w:rFonts w:ascii="Palatino Linotype" w:hAnsi="Palatino Linotype"/>
          <w:i/>
        </w:rPr>
        <w:t>Garantizar el derecho de toda persona a vivir en un medio ambiente sano para su desarrollo, salud y bienestar</w:t>
      </w:r>
      <w:r>
        <w:rPr>
          <w:rFonts w:ascii="Palatino Linotype" w:hAnsi="Palatino Linotype"/>
        </w:rPr>
        <w:t>.</w:t>
      </w:r>
      <w:r w:rsidRPr="000B62AC">
        <w:rPr>
          <w:rFonts w:ascii="Palatino Linotype" w:hAnsi="Palatino Linotype"/>
        </w:rPr>
        <w:t xml:space="preserve"> (Ley General del Equilibrio Ecológico y la Protección al Ambiente)</w:t>
      </w:r>
    </w:p>
    <w:p w14:paraId="59372963" w14:textId="77777777" w:rsidR="00390F94" w:rsidRPr="00390F94" w:rsidRDefault="00390F94" w:rsidP="00390F94">
      <w:pPr>
        <w:pStyle w:val="Prrafodelista"/>
        <w:rPr>
          <w:rFonts w:ascii="Palatino Linotype" w:hAnsi="Palatino Linotype"/>
          <w:b/>
        </w:rPr>
      </w:pPr>
    </w:p>
    <w:p w14:paraId="585BEA44" w14:textId="753F4524" w:rsidR="00390F94" w:rsidRPr="00390F94" w:rsidRDefault="00390F94" w:rsidP="000B62AC">
      <w:pPr>
        <w:pStyle w:val="Prrafodelista"/>
        <w:numPr>
          <w:ilvl w:val="0"/>
          <w:numId w:val="40"/>
        </w:numPr>
        <w:tabs>
          <w:tab w:val="left" w:pos="426"/>
        </w:tabs>
        <w:spacing w:before="240" w:after="240" w:line="360" w:lineRule="auto"/>
        <w:ind w:right="616"/>
        <w:jc w:val="both"/>
        <w:rPr>
          <w:rFonts w:ascii="Palatino Linotype" w:hAnsi="Palatino Linotype"/>
          <w:b/>
          <w:i/>
        </w:rPr>
      </w:pPr>
      <w:r w:rsidRPr="00390F94">
        <w:rPr>
          <w:rFonts w:ascii="Palatino Linotype" w:hAnsi="Palatino Linotype"/>
          <w:i/>
        </w:rPr>
        <w:t xml:space="preserve">Corresponde al Estado procurar el desarrollo integral de los pueblos y personas, basado en el aprovechamiento sustentable de los recursos naturales, cuidando la integridad de los ecosistemas, fomentando un justo equilibrio de los factores sociales y económicos, de manera que no se comprometa la satisfacción de las necesidades de las generaciones futuras. </w:t>
      </w:r>
      <w:r w:rsidRPr="00390F94">
        <w:rPr>
          <w:rFonts w:ascii="Palatino Linotype" w:hAnsi="Palatino Linotype"/>
          <w:i/>
        </w:rPr>
        <w:lastRenderedPageBreak/>
        <w:t>Las autoridades ejecutarán programas para conservar, proteger y mejorar los recursos naturales del Estado y evitar su deterioro y extinción, así como para prevenir y combatir la contaminación ambiental. La legislación y las normas que al efecto se expidan harán énfasis en el fomento a una cultura de protección a la naturaleza, al mejoramiento del ambiente, al aprovechamiento racional de los recursos naturales y a la propagación de la flora y de la fauna existentes en el Estado. Toda persona tiene derecho a un medio ambiente adecuado para su desarrollo y bienestar. (</w:t>
      </w:r>
      <w:r w:rsidRPr="00390F94">
        <w:rPr>
          <w:rFonts w:ascii="Palatino Linotype" w:hAnsi="Palatino Linotype"/>
        </w:rPr>
        <w:t>Constitución Política del Estado Libre y Soberano de México artículos 18).</w:t>
      </w:r>
    </w:p>
    <w:p w14:paraId="4138FA6E" w14:textId="77777777" w:rsidR="000B62AC" w:rsidRPr="000B62AC" w:rsidRDefault="000B62AC" w:rsidP="000B62AC">
      <w:pPr>
        <w:pStyle w:val="Prrafodelista"/>
        <w:rPr>
          <w:rFonts w:ascii="Palatino Linotype" w:hAnsi="Palatino Linotype"/>
          <w:b/>
        </w:rPr>
      </w:pPr>
    </w:p>
    <w:p w14:paraId="46E3E37E" w14:textId="05E3919E" w:rsidR="00390F94" w:rsidRPr="00B40903" w:rsidRDefault="00390F94" w:rsidP="00756CB0">
      <w:pPr>
        <w:pStyle w:val="Prrafodelista"/>
        <w:numPr>
          <w:ilvl w:val="0"/>
          <w:numId w:val="9"/>
        </w:numPr>
        <w:tabs>
          <w:tab w:val="left" w:pos="426"/>
        </w:tabs>
        <w:spacing w:before="240" w:after="240" w:line="360" w:lineRule="auto"/>
        <w:ind w:left="0" w:right="51" w:firstLine="0"/>
        <w:jc w:val="both"/>
        <w:rPr>
          <w:rFonts w:ascii="Palatino Linotype" w:eastAsiaTheme="minorEastAsia" w:hAnsi="Palatino Linotype"/>
          <w:color w:val="000000" w:themeColor="text1"/>
          <w:sz w:val="24"/>
          <w:szCs w:val="24"/>
        </w:rPr>
      </w:pPr>
      <w:r w:rsidRPr="00B40903">
        <w:rPr>
          <w:rFonts w:ascii="Palatino Linotype" w:eastAsiaTheme="minorEastAsia" w:hAnsi="Palatino Linotype"/>
          <w:color w:val="000000" w:themeColor="text1"/>
          <w:sz w:val="24"/>
          <w:szCs w:val="24"/>
        </w:rPr>
        <w:t xml:space="preserve">De igual forma resulta trascendente la </w:t>
      </w:r>
      <w:r w:rsidR="00B40903" w:rsidRPr="00B40903">
        <w:rPr>
          <w:rFonts w:ascii="Palatino Linotype" w:eastAsiaTheme="minorEastAsia" w:hAnsi="Palatino Linotype"/>
          <w:color w:val="000000" w:themeColor="text1"/>
          <w:sz w:val="24"/>
          <w:szCs w:val="24"/>
        </w:rPr>
        <w:t xml:space="preserve">Tesis </w:t>
      </w:r>
      <w:r w:rsidR="00B40903" w:rsidRPr="00B40903">
        <w:rPr>
          <w:rFonts w:ascii="Palatino Linotype" w:eastAsiaTheme="minorEastAsia" w:hAnsi="Palatino Linotype"/>
          <w:sz w:val="24"/>
          <w:szCs w:val="24"/>
        </w:rPr>
        <w:t xml:space="preserve">Aislada </w:t>
      </w:r>
      <w:r w:rsidR="00B40903" w:rsidRPr="00B40903">
        <w:rPr>
          <w:rFonts w:ascii="Palatino Linotype" w:hAnsi="Palatino Linotype" w:cs="Arial"/>
          <w:sz w:val="24"/>
          <w:szCs w:val="24"/>
          <w:shd w:val="clear" w:color="auto" w:fill="FFFFFF"/>
        </w:rPr>
        <w:t>I.4o.A.569 A</w:t>
      </w:r>
      <w:r w:rsidR="00B40903" w:rsidRPr="00B40903">
        <w:rPr>
          <w:rFonts w:ascii="Palatino Linotype" w:eastAsiaTheme="minorEastAsia" w:hAnsi="Palatino Linotype"/>
          <w:sz w:val="24"/>
          <w:szCs w:val="24"/>
        </w:rPr>
        <w:t xml:space="preserve">, </w:t>
      </w:r>
      <w:r w:rsidR="00B40903">
        <w:rPr>
          <w:rFonts w:ascii="Palatino Linotype" w:eastAsiaTheme="minorEastAsia" w:hAnsi="Palatino Linotype"/>
          <w:sz w:val="24"/>
          <w:szCs w:val="24"/>
        </w:rPr>
        <w:t xml:space="preserve">en relación al tema de Derecho a un </w:t>
      </w:r>
      <w:r w:rsidR="00B40903" w:rsidRPr="00B40903">
        <w:rPr>
          <w:rFonts w:ascii="Palatino Linotype" w:hAnsi="Palatino Linotype"/>
          <w:sz w:val="24"/>
          <w:szCs w:val="24"/>
        </w:rPr>
        <w:t>Medio ambiente adecuado para el desarrollo y bienestar</w:t>
      </w:r>
      <w:r w:rsidR="00B40903">
        <w:rPr>
          <w:rFonts w:ascii="Palatino Linotype" w:hAnsi="Palatino Linotype"/>
          <w:sz w:val="24"/>
          <w:szCs w:val="24"/>
        </w:rPr>
        <w:t>:</w:t>
      </w:r>
    </w:p>
    <w:p w14:paraId="71FD15D4" w14:textId="5B8863F8" w:rsidR="00B40903" w:rsidRDefault="00B40903" w:rsidP="004F2CF5">
      <w:pPr>
        <w:shd w:val="clear" w:color="auto" w:fill="FFFFFF"/>
        <w:spacing w:after="100" w:afterAutospacing="1" w:line="360" w:lineRule="auto"/>
        <w:ind w:left="851" w:right="616"/>
        <w:jc w:val="both"/>
        <w:rPr>
          <w:rFonts w:ascii="Palatino Linotype" w:eastAsia="Times New Roman" w:hAnsi="Palatino Linotype" w:cs="Arial"/>
          <w:i/>
          <w:szCs w:val="21"/>
          <w:lang w:val="es-ES" w:eastAsia="es-ES"/>
        </w:rPr>
      </w:pPr>
      <w:r w:rsidRPr="00B40903">
        <w:rPr>
          <w:rFonts w:ascii="Palatino Linotype" w:eastAsia="Times New Roman" w:hAnsi="Palatino Linotype" w:cs="Arial"/>
          <w:b/>
          <w:i/>
          <w:szCs w:val="21"/>
          <w:lang w:eastAsia="es-ES"/>
        </w:rPr>
        <w:t>DERECHO A UN MEDIO AMBIENTE ADECUADO PARA EL DESARROLLO Y BIENESTAR</w:t>
      </w:r>
      <w:r>
        <w:rPr>
          <w:rFonts w:ascii="Palatino Linotype" w:eastAsia="Times New Roman" w:hAnsi="Palatino Linotype" w:cs="Arial"/>
          <w:i/>
          <w:szCs w:val="21"/>
          <w:lang w:val="es-ES" w:eastAsia="es-ES"/>
        </w:rPr>
        <w:t xml:space="preserve">. </w:t>
      </w:r>
      <w:r w:rsidRPr="00B40903">
        <w:rPr>
          <w:rFonts w:ascii="Palatino Linotype" w:eastAsia="Times New Roman" w:hAnsi="Palatino Linotype" w:cs="Arial"/>
          <w:i/>
          <w:szCs w:val="21"/>
          <w:lang w:val="es-ES" w:eastAsia="es-ES"/>
        </w:rPr>
        <w:t xml:space="preserve">El derecho a un medio ambiente adecuado para el desarrollo y bienestar de las personas, que como derecho fundamental y garantía individual consagra el artículo </w:t>
      </w:r>
      <w:r w:rsidRPr="00B40903">
        <w:rPr>
          <w:rFonts w:ascii="Palatino Linotype" w:eastAsia="Times New Roman" w:hAnsi="Palatino Linotype" w:cs="Arial"/>
          <w:b/>
          <w:bCs/>
          <w:i/>
          <w:szCs w:val="21"/>
          <w:u w:val="single"/>
          <w:lang w:val="es-ES" w:eastAsia="es-ES"/>
        </w:rPr>
        <w:t>4o., párrafo quinto, de la Constitución Política de los Estados Unidos Mexicanos</w:t>
      </w:r>
      <w:r w:rsidRPr="00B40903">
        <w:rPr>
          <w:rFonts w:ascii="Palatino Linotype" w:eastAsia="Times New Roman" w:hAnsi="Palatino Linotype" w:cs="Arial"/>
          <w:i/>
          <w:szCs w:val="21"/>
          <w:lang w:val="es-ES" w:eastAsia="es-ES"/>
        </w:rPr>
        <w:t xml:space="preserve">, se desarrolla en dos aspectos: a) en un poder de exigencia y un deber de respeto erga omnes a preservar la sustentabilidad del entorno ambiental, que implica la no afectación ni lesión a éste (eficacia horizontal de los derechos fundamentales); y b) en la obligación correlativa de las autoridades de vigilancia, conservación y garantía de que sean atendidas las regulaciones pertinentes (eficacia vertical). </w:t>
      </w:r>
    </w:p>
    <w:p w14:paraId="57D2A74B" w14:textId="153B6D44" w:rsidR="00B40903" w:rsidRPr="00B40903" w:rsidRDefault="00B40903" w:rsidP="004F2CF5">
      <w:pPr>
        <w:shd w:val="clear" w:color="auto" w:fill="FFFFFF"/>
        <w:spacing w:after="100" w:afterAutospacing="1" w:line="360" w:lineRule="auto"/>
        <w:ind w:left="851" w:right="616"/>
        <w:jc w:val="both"/>
        <w:rPr>
          <w:rFonts w:ascii="Palatino Linotype" w:eastAsia="Times New Roman" w:hAnsi="Palatino Linotype" w:cs="Arial"/>
          <w:i/>
          <w:szCs w:val="21"/>
          <w:lang w:val="es-ES" w:eastAsia="es-ES"/>
        </w:rPr>
      </w:pPr>
      <w:r w:rsidRPr="00B40903">
        <w:rPr>
          <w:rFonts w:ascii="Palatino Linotype" w:eastAsia="Times New Roman" w:hAnsi="Palatino Linotype" w:cs="Arial"/>
          <w:i/>
          <w:szCs w:val="21"/>
          <w:lang w:val="es-ES" w:eastAsia="es-ES"/>
        </w:rPr>
        <w:t>CUARTO TRIBUNAL COLEGIADO EN MATERIA ADMINISTRATIVA DEL PRIMER CIRCUITO.</w:t>
      </w:r>
    </w:p>
    <w:p w14:paraId="4768D352" w14:textId="77777777" w:rsidR="00B40903" w:rsidRPr="00B40903" w:rsidRDefault="00B40903" w:rsidP="004F2CF5">
      <w:pPr>
        <w:shd w:val="clear" w:color="auto" w:fill="FFFFFF"/>
        <w:spacing w:before="150" w:after="150" w:line="360" w:lineRule="auto"/>
        <w:ind w:left="851" w:right="616"/>
        <w:jc w:val="both"/>
        <w:rPr>
          <w:rFonts w:ascii="Palatino Linotype" w:eastAsia="Times New Roman" w:hAnsi="Palatino Linotype" w:cs="Arial"/>
          <w:i/>
          <w:szCs w:val="21"/>
          <w:lang w:val="es-ES" w:eastAsia="es-ES"/>
        </w:rPr>
      </w:pPr>
      <w:r w:rsidRPr="00B40903">
        <w:rPr>
          <w:rFonts w:ascii="Palatino Linotype" w:eastAsia="Times New Roman" w:hAnsi="Palatino Linotype" w:cs="Arial"/>
          <w:b/>
          <w:bCs/>
          <w:i/>
          <w:iCs/>
          <w:szCs w:val="21"/>
          <w:lang w:val="es-ES" w:eastAsia="es-ES"/>
        </w:rPr>
        <w:lastRenderedPageBreak/>
        <w:t>Amparo en revisión 496/2006.</w:t>
      </w:r>
      <w:r w:rsidRPr="00B40903">
        <w:rPr>
          <w:rFonts w:ascii="Palatino Linotype" w:eastAsia="Times New Roman" w:hAnsi="Palatino Linotype" w:cs="Arial"/>
          <w:i/>
          <w:szCs w:val="21"/>
          <w:lang w:val="es-ES" w:eastAsia="es-ES"/>
        </w:rPr>
        <w:t xml:space="preserve"> Ticic Asociación de Nativos y Colonos de San Pedro Tláhuac, A.C. 17 de enero de 2007. Unanimidad de votos. Ponente: Jean Claude Tron Petit. Secretaria: Sandra Ibarra Valdez.</w:t>
      </w:r>
    </w:p>
    <w:p w14:paraId="1B7FB9EC" w14:textId="77777777" w:rsidR="00B40903" w:rsidRPr="00B40903" w:rsidRDefault="00B40903" w:rsidP="004F2CF5">
      <w:pPr>
        <w:shd w:val="clear" w:color="auto" w:fill="FFFFFF"/>
        <w:spacing w:before="150" w:after="150" w:line="360" w:lineRule="auto"/>
        <w:ind w:left="851" w:right="616"/>
        <w:jc w:val="both"/>
        <w:rPr>
          <w:rFonts w:ascii="Palatino Linotype" w:eastAsia="Times New Roman" w:hAnsi="Palatino Linotype" w:cs="Arial"/>
          <w:i/>
          <w:szCs w:val="21"/>
          <w:lang w:val="es-ES" w:eastAsia="es-ES"/>
        </w:rPr>
      </w:pPr>
      <w:r w:rsidRPr="00B40903">
        <w:rPr>
          <w:rFonts w:ascii="Palatino Linotype" w:eastAsia="Times New Roman" w:hAnsi="Palatino Linotype" w:cs="Arial"/>
          <w:b/>
          <w:bCs/>
          <w:i/>
          <w:iCs/>
          <w:szCs w:val="21"/>
          <w:lang w:val="es-ES" w:eastAsia="es-ES"/>
        </w:rPr>
        <w:t>Amparo en revisión (improcedencia) 486/2008.</w:t>
      </w:r>
      <w:r w:rsidRPr="00B40903">
        <w:rPr>
          <w:rFonts w:ascii="Palatino Linotype" w:eastAsia="Times New Roman" w:hAnsi="Palatino Linotype" w:cs="Arial"/>
          <w:i/>
          <w:szCs w:val="21"/>
          <w:lang w:val="es-ES" w:eastAsia="es-ES"/>
        </w:rPr>
        <w:t xml:space="preserve"> Asociación de Residentes de Paseos de Las Lomas, A.C. 28 de enero de 2009. Unanimidad de votos. Ponente: Jean Claude Tron Petit. Secretaria: Claudia Patricia Peraza Espinoza.</w:t>
      </w:r>
    </w:p>
    <w:p w14:paraId="0E0C5101" w14:textId="77777777" w:rsidR="00B40903" w:rsidRPr="00B40903" w:rsidRDefault="00B40903" w:rsidP="004F2CF5">
      <w:pPr>
        <w:shd w:val="clear" w:color="auto" w:fill="FFFFFF"/>
        <w:spacing w:before="150" w:after="150" w:line="360" w:lineRule="auto"/>
        <w:ind w:left="851" w:right="616"/>
        <w:jc w:val="both"/>
        <w:rPr>
          <w:rFonts w:ascii="Palatino Linotype" w:eastAsia="Times New Roman" w:hAnsi="Palatino Linotype" w:cs="Arial"/>
          <w:i/>
          <w:szCs w:val="21"/>
          <w:lang w:val="es-ES" w:eastAsia="es-ES"/>
        </w:rPr>
      </w:pPr>
      <w:r w:rsidRPr="00B40903">
        <w:rPr>
          <w:rFonts w:ascii="Palatino Linotype" w:eastAsia="Times New Roman" w:hAnsi="Palatino Linotype" w:cs="Arial"/>
          <w:b/>
          <w:bCs/>
          <w:i/>
          <w:iCs/>
          <w:szCs w:val="21"/>
          <w:lang w:val="es-ES" w:eastAsia="es-ES"/>
        </w:rPr>
        <w:t>Amparo en revisión (improcedencia) 230/2009.</w:t>
      </w:r>
      <w:r w:rsidRPr="00B40903">
        <w:rPr>
          <w:rFonts w:ascii="Palatino Linotype" w:eastAsia="Times New Roman" w:hAnsi="Palatino Linotype" w:cs="Arial"/>
          <w:i/>
          <w:szCs w:val="21"/>
          <w:lang w:val="es-ES" w:eastAsia="es-ES"/>
        </w:rPr>
        <w:t xml:space="preserve"> Carla Alejandra Chávez V. 24 de junio de 2009. Unanimidad de votos. Ponente: Patricio González-Loyola Pérez. Secretario: Miguel Ángel Betancourt Vázquez.</w:t>
      </w:r>
    </w:p>
    <w:p w14:paraId="098C44AB" w14:textId="77777777" w:rsidR="00B40903" w:rsidRPr="00B40903" w:rsidRDefault="00B40903" w:rsidP="004F2CF5">
      <w:pPr>
        <w:shd w:val="clear" w:color="auto" w:fill="FFFFFF"/>
        <w:spacing w:before="150" w:after="150" w:line="360" w:lineRule="auto"/>
        <w:ind w:left="851" w:right="616"/>
        <w:jc w:val="both"/>
        <w:rPr>
          <w:rFonts w:ascii="Palatino Linotype" w:eastAsia="Times New Roman" w:hAnsi="Palatino Linotype" w:cs="Arial"/>
          <w:i/>
          <w:szCs w:val="21"/>
          <w:lang w:val="es-ES" w:eastAsia="es-ES"/>
        </w:rPr>
      </w:pPr>
      <w:r w:rsidRPr="00B40903">
        <w:rPr>
          <w:rFonts w:ascii="Palatino Linotype" w:eastAsia="Times New Roman" w:hAnsi="Palatino Linotype" w:cs="Arial"/>
          <w:b/>
          <w:bCs/>
          <w:i/>
          <w:iCs/>
          <w:szCs w:val="21"/>
          <w:lang w:val="es-ES" w:eastAsia="es-ES"/>
        </w:rPr>
        <w:t>Amparo en revisión 267/2010.</w:t>
      </w:r>
      <w:r w:rsidRPr="00B40903">
        <w:rPr>
          <w:rFonts w:ascii="Palatino Linotype" w:eastAsia="Times New Roman" w:hAnsi="Palatino Linotype" w:cs="Arial"/>
          <w:i/>
          <w:szCs w:val="21"/>
          <w:lang w:val="es-ES" w:eastAsia="es-ES"/>
        </w:rPr>
        <w:t xml:space="preserve"> Margarita Ornelas Teijo. 18 de noviembre de 2010. Unanimidad de votos. Ponente: Jean Claude Tron Petit. Secretaria: Claudia Patricia Peraza Espinoza.</w:t>
      </w:r>
    </w:p>
    <w:p w14:paraId="65331B87" w14:textId="77777777" w:rsidR="00B40903" w:rsidRDefault="00B40903" w:rsidP="004F2CF5">
      <w:pPr>
        <w:shd w:val="clear" w:color="auto" w:fill="FFFFFF"/>
        <w:spacing w:before="150" w:after="150" w:line="360" w:lineRule="auto"/>
        <w:ind w:left="851" w:right="616"/>
        <w:jc w:val="both"/>
        <w:rPr>
          <w:rFonts w:ascii="Palatino Linotype" w:eastAsia="Times New Roman" w:hAnsi="Palatino Linotype" w:cs="Arial"/>
          <w:i/>
          <w:szCs w:val="21"/>
          <w:lang w:val="es-ES" w:eastAsia="es-ES"/>
        </w:rPr>
      </w:pPr>
      <w:r w:rsidRPr="00B40903">
        <w:rPr>
          <w:rFonts w:ascii="Palatino Linotype" w:eastAsia="Times New Roman" w:hAnsi="Palatino Linotype" w:cs="Arial"/>
          <w:b/>
          <w:bCs/>
          <w:i/>
          <w:iCs/>
          <w:szCs w:val="21"/>
          <w:lang w:val="es-ES" w:eastAsia="es-ES"/>
        </w:rPr>
        <w:t>Queja 35/2013.</w:t>
      </w:r>
      <w:r w:rsidRPr="00B40903">
        <w:rPr>
          <w:rFonts w:ascii="Palatino Linotype" w:eastAsia="Times New Roman" w:hAnsi="Palatino Linotype" w:cs="Arial"/>
          <w:i/>
          <w:szCs w:val="21"/>
          <w:lang w:val="es-ES" w:eastAsia="es-ES"/>
        </w:rPr>
        <w:t xml:space="preserve"> Integradora de Empresas Avícolas de La Laguna Durango Coahuila, S.A. de C.V. 6 de junio de 2013. Unanimidad de votos. Ponente: Patricio González-Loyola Pérez. Secretario: José Pablo Sáyago Vargas.</w:t>
      </w:r>
    </w:p>
    <w:p w14:paraId="1A70141C" w14:textId="77777777" w:rsidR="00B40903" w:rsidRPr="00B40903" w:rsidRDefault="00B40903" w:rsidP="00B40903">
      <w:pPr>
        <w:shd w:val="clear" w:color="auto" w:fill="FFFFFF"/>
        <w:spacing w:before="150" w:after="150" w:line="240" w:lineRule="auto"/>
        <w:ind w:left="851" w:right="616"/>
        <w:jc w:val="both"/>
        <w:rPr>
          <w:rFonts w:ascii="Palatino Linotype" w:eastAsia="Times New Roman" w:hAnsi="Palatino Linotype" w:cs="Arial"/>
          <w:i/>
          <w:szCs w:val="21"/>
          <w:lang w:val="es-ES" w:eastAsia="es-ES"/>
        </w:rPr>
      </w:pPr>
    </w:p>
    <w:p w14:paraId="7861525C" w14:textId="4245EC4C" w:rsidR="00B40903" w:rsidRDefault="00B40903" w:rsidP="00FD52E0">
      <w:pPr>
        <w:pStyle w:val="Prrafodelista"/>
        <w:numPr>
          <w:ilvl w:val="0"/>
          <w:numId w:val="9"/>
        </w:numPr>
        <w:tabs>
          <w:tab w:val="left" w:pos="426"/>
        </w:tabs>
        <w:spacing w:before="240" w:after="240" w:line="360" w:lineRule="auto"/>
        <w:ind w:left="0" w:right="51" w:firstLine="0"/>
        <w:jc w:val="both"/>
        <w:rPr>
          <w:rFonts w:ascii="Palatino Linotype" w:eastAsiaTheme="minorEastAsia" w:hAnsi="Palatino Linotype"/>
          <w:color w:val="000000" w:themeColor="text1"/>
          <w:sz w:val="24"/>
        </w:rPr>
      </w:pPr>
      <w:r>
        <w:rPr>
          <w:rFonts w:ascii="Palatino Linotype" w:eastAsiaTheme="minorEastAsia" w:hAnsi="Palatino Linotype"/>
          <w:color w:val="000000" w:themeColor="text1"/>
          <w:sz w:val="24"/>
        </w:rPr>
        <w:t xml:space="preserve">En el presente asunto, </w:t>
      </w:r>
      <w:r w:rsidR="00FD52E0">
        <w:rPr>
          <w:rFonts w:ascii="Palatino Linotype" w:eastAsiaTheme="minorEastAsia" w:hAnsi="Palatino Linotype"/>
          <w:color w:val="000000" w:themeColor="text1"/>
          <w:sz w:val="24"/>
        </w:rPr>
        <w:t xml:space="preserve">el Sujeto Obligado manifestó que los sellos de clausura los impone </w:t>
      </w:r>
      <w:r w:rsidR="00FD52E0" w:rsidRPr="00FD52E0">
        <w:rPr>
          <w:rFonts w:ascii="Palatino Linotype" w:eastAsiaTheme="minorEastAsia" w:hAnsi="Palatino Linotype"/>
          <w:color w:val="000000" w:themeColor="text1"/>
          <w:sz w:val="24"/>
        </w:rPr>
        <w:t>cuando existen daños graves a la preservación, restauración y protección del medio ambiente, alterando significativamente el ambiente original ocasionado por la actividad del ser humano, dañando considerablemente los recursos naturales con repercusiones peligrosas para los ecosistemas que indudablemente afectan a las personas y a los ecosistemas, quienes tienen derecho a gozar de un ambiente sano y adecuado para su desarrollo y bienestar</w:t>
      </w:r>
      <w:r w:rsidR="00FD52E0">
        <w:rPr>
          <w:rFonts w:ascii="Palatino Linotype" w:eastAsiaTheme="minorEastAsia" w:hAnsi="Palatino Linotype"/>
          <w:color w:val="000000" w:themeColor="text1"/>
          <w:sz w:val="24"/>
        </w:rPr>
        <w:t>; asimismo, manifestó que lo</w:t>
      </w:r>
      <w:r w:rsidR="004F2CF5">
        <w:rPr>
          <w:rFonts w:ascii="Palatino Linotype" w:eastAsiaTheme="minorEastAsia" w:hAnsi="Palatino Linotype"/>
          <w:color w:val="000000" w:themeColor="text1"/>
          <w:sz w:val="24"/>
        </w:rPr>
        <w:t>s</w:t>
      </w:r>
      <w:r w:rsidR="00FD52E0">
        <w:rPr>
          <w:rFonts w:ascii="Palatino Linotype" w:eastAsiaTheme="minorEastAsia" w:hAnsi="Palatino Linotype"/>
          <w:color w:val="000000" w:themeColor="text1"/>
          <w:sz w:val="24"/>
        </w:rPr>
        <w:t xml:space="preserve"> sellos fueron </w:t>
      </w:r>
      <w:r w:rsidR="00FD52E0">
        <w:rPr>
          <w:rFonts w:ascii="Palatino Linotype" w:eastAsiaTheme="minorEastAsia" w:hAnsi="Palatino Linotype"/>
          <w:color w:val="000000" w:themeColor="text1"/>
          <w:sz w:val="24"/>
        </w:rPr>
        <w:lastRenderedPageBreak/>
        <w:t xml:space="preserve">impuestos porque personal de la Procuraduría </w:t>
      </w:r>
      <w:r w:rsidR="00FD52E0" w:rsidRPr="00FD52E0">
        <w:rPr>
          <w:rFonts w:ascii="Palatino Linotype" w:eastAsiaTheme="minorEastAsia" w:hAnsi="Palatino Linotype"/>
          <w:color w:val="000000" w:themeColor="text1"/>
          <w:sz w:val="24"/>
        </w:rPr>
        <w:t xml:space="preserve">observó que se realizaban actividades que podían causar daños o deterioro graves a los recursos naturales, con repercusiones peligrosas para los ecosistemas y sus componentes. </w:t>
      </w:r>
    </w:p>
    <w:p w14:paraId="3041292E" w14:textId="77777777" w:rsidR="00FD52E0" w:rsidRPr="00FD52E0" w:rsidRDefault="00FD52E0" w:rsidP="00FD52E0">
      <w:pPr>
        <w:pStyle w:val="Prrafodelista"/>
        <w:tabs>
          <w:tab w:val="left" w:pos="426"/>
        </w:tabs>
        <w:spacing w:before="240" w:after="240" w:line="360" w:lineRule="auto"/>
        <w:ind w:left="0" w:right="51"/>
        <w:jc w:val="both"/>
        <w:rPr>
          <w:rFonts w:ascii="Palatino Linotype" w:eastAsiaTheme="minorEastAsia" w:hAnsi="Palatino Linotype"/>
          <w:color w:val="000000" w:themeColor="text1"/>
          <w:sz w:val="24"/>
        </w:rPr>
      </w:pPr>
    </w:p>
    <w:p w14:paraId="3ED431AE" w14:textId="77777777" w:rsidR="00F23A13" w:rsidRDefault="00631B6E" w:rsidP="00F23A13">
      <w:pPr>
        <w:pStyle w:val="Prrafodelista"/>
        <w:numPr>
          <w:ilvl w:val="0"/>
          <w:numId w:val="9"/>
        </w:numPr>
        <w:tabs>
          <w:tab w:val="left" w:pos="426"/>
        </w:tabs>
        <w:spacing w:before="240" w:after="240" w:line="360" w:lineRule="auto"/>
        <w:ind w:left="0" w:right="51" w:firstLine="0"/>
        <w:jc w:val="both"/>
        <w:rPr>
          <w:rFonts w:ascii="Palatino Linotype" w:eastAsiaTheme="minorEastAsia" w:hAnsi="Palatino Linotype"/>
          <w:color w:val="000000" w:themeColor="text1"/>
          <w:sz w:val="24"/>
        </w:rPr>
      </w:pPr>
      <w:r>
        <w:rPr>
          <w:rFonts w:ascii="Palatino Linotype" w:eastAsiaTheme="minorEastAsia" w:hAnsi="Palatino Linotype"/>
          <w:color w:val="000000" w:themeColor="text1"/>
          <w:sz w:val="24"/>
        </w:rPr>
        <w:t xml:space="preserve">En ese contexto, se estima </w:t>
      </w:r>
      <w:r w:rsidR="004F2CF5">
        <w:rPr>
          <w:rFonts w:ascii="Palatino Linotype" w:eastAsiaTheme="minorEastAsia" w:hAnsi="Palatino Linotype"/>
          <w:color w:val="000000" w:themeColor="text1"/>
          <w:sz w:val="24"/>
        </w:rPr>
        <w:t xml:space="preserve">que </w:t>
      </w:r>
      <w:r>
        <w:rPr>
          <w:rFonts w:ascii="Palatino Linotype" w:eastAsiaTheme="minorEastAsia" w:hAnsi="Palatino Linotype"/>
          <w:color w:val="000000" w:themeColor="text1"/>
          <w:sz w:val="24"/>
        </w:rPr>
        <w:t xml:space="preserve"> </w:t>
      </w:r>
      <w:r w:rsidR="004F2CF5">
        <w:rPr>
          <w:rFonts w:ascii="Palatino Linotype" w:eastAsiaTheme="minorEastAsia" w:hAnsi="Palatino Linotype"/>
          <w:color w:val="000000" w:themeColor="text1"/>
          <w:sz w:val="24"/>
        </w:rPr>
        <w:t xml:space="preserve">la información solicitada, actualiza una excepción a la reserva de la información, pues se </w:t>
      </w:r>
      <w:r w:rsidRPr="004F2CF5">
        <w:rPr>
          <w:rFonts w:ascii="Palatino Linotype" w:eastAsiaTheme="minorEastAsia" w:hAnsi="Palatino Linotype"/>
          <w:color w:val="000000" w:themeColor="text1"/>
          <w:sz w:val="24"/>
        </w:rPr>
        <w:t xml:space="preserve">está transgrediendo el derecho  </w:t>
      </w:r>
      <w:r w:rsidR="004F2CF5">
        <w:rPr>
          <w:rFonts w:ascii="Palatino Linotype" w:eastAsiaTheme="minorEastAsia" w:hAnsi="Palatino Linotype"/>
          <w:color w:val="000000" w:themeColor="text1"/>
          <w:sz w:val="24"/>
        </w:rPr>
        <w:t xml:space="preserve">a </w:t>
      </w:r>
      <w:r w:rsidRPr="004F2CF5">
        <w:rPr>
          <w:rFonts w:ascii="Palatino Linotype" w:eastAsiaTheme="minorEastAsia" w:hAnsi="Palatino Linotype"/>
          <w:color w:val="000000" w:themeColor="text1"/>
          <w:sz w:val="24"/>
        </w:rPr>
        <w:t>un medio ambiente sano, derecho consagrado tanto en la Constitución co</w:t>
      </w:r>
      <w:r w:rsidR="004F2CF5">
        <w:rPr>
          <w:rFonts w:ascii="Palatino Linotype" w:eastAsiaTheme="minorEastAsia" w:hAnsi="Palatino Linotype"/>
          <w:color w:val="000000" w:themeColor="text1"/>
          <w:sz w:val="24"/>
        </w:rPr>
        <w:t xml:space="preserve">mo en Tratados Internacionales, por ende, resulta de interés conocer la información, atendiendo a la gravedad y a las repercusiones que implica en el orden jurídico.  </w:t>
      </w:r>
    </w:p>
    <w:p w14:paraId="4B8CF1DE" w14:textId="77777777" w:rsidR="00F23A13" w:rsidRDefault="00F23A13" w:rsidP="00F23A13">
      <w:pPr>
        <w:pStyle w:val="Prrafodelista"/>
        <w:tabs>
          <w:tab w:val="left" w:pos="426"/>
        </w:tabs>
        <w:spacing w:before="240" w:after="240" w:line="360" w:lineRule="auto"/>
        <w:ind w:left="0" w:right="51"/>
        <w:jc w:val="both"/>
        <w:rPr>
          <w:rFonts w:ascii="Palatino Linotype" w:eastAsiaTheme="minorEastAsia" w:hAnsi="Palatino Linotype"/>
          <w:color w:val="000000" w:themeColor="text1"/>
          <w:sz w:val="24"/>
        </w:rPr>
      </w:pPr>
    </w:p>
    <w:p w14:paraId="6D799E28" w14:textId="6D82BCAC" w:rsidR="00F23A13" w:rsidRPr="00F23A13" w:rsidRDefault="00F23A13" w:rsidP="00F23A13">
      <w:pPr>
        <w:pStyle w:val="Prrafodelista"/>
        <w:numPr>
          <w:ilvl w:val="0"/>
          <w:numId w:val="9"/>
        </w:numPr>
        <w:tabs>
          <w:tab w:val="left" w:pos="426"/>
        </w:tabs>
        <w:spacing w:before="240" w:after="240" w:line="360" w:lineRule="auto"/>
        <w:ind w:left="0" w:right="51" w:firstLine="0"/>
        <w:jc w:val="both"/>
        <w:rPr>
          <w:rFonts w:ascii="Palatino Linotype" w:eastAsiaTheme="minorEastAsia" w:hAnsi="Palatino Linotype"/>
          <w:color w:val="000000" w:themeColor="text1"/>
          <w:sz w:val="24"/>
        </w:rPr>
      </w:pPr>
      <w:r w:rsidRPr="00F23A13">
        <w:rPr>
          <w:rFonts w:ascii="Palatino Linotype" w:eastAsiaTheme="minorEastAsia" w:hAnsi="Palatino Linotype"/>
          <w:color w:val="000000" w:themeColor="text1"/>
          <w:sz w:val="24"/>
        </w:rPr>
        <w:t>Sirve de sustento lo establecido por la Suprema Corte de Justicia de la Nación, la cual, a través de la siguiente tesis aislada nos indica que:</w:t>
      </w:r>
    </w:p>
    <w:p w14:paraId="6DB566D4" w14:textId="77777777" w:rsidR="00F23A13" w:rsidRDefault="00F23A13" w:rsidP="00BA1CF8">
      <w:pPr>
        <w:pStyle w:val="Prrafodelista"/>
        <w:ind w:left="851" w:right="616"/>
        <w:rPr>
          <w:rFonts w:ascii="Palatino Linotype" w:eastAsiaTheme="minorEastAsia" w:hAnsi="Palatino Linotype"/>
          <w:color w:val="000000" w:themeColor="text1"/>
        </w:rPr>
      </w:pPr>
    </w:p>
    <w:p w14:paraId="6336CE6C" w14:textId="77777777" w:rsidR="00F23A13" w:rsidRPr="00502CAF" w:rsidRDefault="00F23A13" w:rsidP="00BA1CF8">
      <w:pPr>
        <w:pStyle w:val="Prrafodelista"/>
        <w:pBdr>
          <w:top w:val="nil"/>
          <w:left w:val="nil"/>
          <w:bottom w:val="nil"/>
          <w:right w:val="nil"/>
          <w:between w:val="nil"/>
          <w:bar w:val="nil"/>
        </w:pBdr>
        <w:spacing w:line="360" w:lineRule="auto"/>
        <w:ind w:left="851" w:right="616"/>
        <w:jc w:val="both"/>
        <w:rPr>
          <w:rFonts w:ascii="Palatino Linotype" w:eastAsia="Calibri" w:hAnsi="Palatino Linotype" w:cs="Arial"/>
          <w:i/>
          <w:iCs/>
        </w:rPr>
      </w:pPr>
      <w:r w:rsidRPr="008A4B0D">
        <w:rPr>
          <w:rFonts w:ascii="Palatino Linotype" w:eastAsia="Calibri" w:hAnsi="Palatino Linotype" w:cs="Arial"/>
          <w:b/>
          <w:bCs/>
          <w:i/>
          <w:iCs/>
        </w:rPr>
        <w:t>DERECHOS FUNDAMENTALES. SUS LÍMITES INTERNOS Y EXTERNOS</w:t>
      </w:r>
      <w:r w:rsidRPr="00502CAF">
        <w:rPr>
          <w:rFonts w:ascii="Palatino Linotype" w:eastAsia="Calibri" w:hAnsi="Palatino Linotype" w:cs="Arial"/>
          <w:i/>
          <w:iCs/>
        </w:rPr>
        <w:t xml:space="preserve">. La teoría del contenido esencial de los derechos fundamentales establece que contienen un núcleo fijo e inmutable, de manera que cualquier afectación a éste resulta ilícita, y sólo en su periferia pueden establecerse las limitaciones y restricciones necesarias y justificadas, así como expandirse las condiciones de su ejercicio, partiendo de la base de que estos derechos no son absolutos y su ejercicio está sujeto a límites, más allá de los cuales, éste resulta ilegítimo. En estas condiciones, la delimitación de ese núcleo intangible debe ser a partir de la subsistencia del derecho a la libertad y la posibilidad de ejercerlo; esto es, de un efectivo disfrute, de forma tal que los límites internos son aquellos que emergen al momento de definir los alcances del objeto concretamente protegido por cada </w:t>
      </w:r>
      <w:r w:rsidRPr="00502CAF">
        <w:rPr>
          <w:rFonts w:ascii="Palatino Linotype" w:eastAsia="Calibri" w:hAnsi="Palatino Linotype" w:cs="Arial"/>
          <w:i/>
          <w:iCs/>
        </w:rPr>
        <w:lastRenderedPageBreak/>
        <w:t>derecho fundamental, es decir, sirven para definir el contenido del derecho, intrínseco a la propia definición y alcance del bien y fin tutelado, por lo cual cualquier supuesto que desborde esas fronteras es otra realidad carente de protección. Por otro lado, es posible delimitar el campo de acción a partir de las restricciones externas, al existir otros derechos, fines o bienes constitucionales que también merecen tutela y eficacia; única razón susceptible de generar la limitación, que alude a la diferencia normal y esperada entre el contenido prima facie de los derechos fundamentales y la protección real que ofrecen en los casos concretos, una vez contrapesados y armonizados con otros derechos e intereses, que pueden apuntar en direcciones distintas e, incluso, opuestas a las que derivan de su contenido normativo.</w:t>
      </w:r>
    </w:p>
    <w:p w14:paraId="530122B6" w14:textId="77777777" w:rsidR="00F23A13" w:rsidRDefault="00F23A13" w:rsidP="00BA1CF8">
      <w:pPr>
        <w:pBdr>
          <w:top w:val="nil"/>
          <w:left w:val="nil"/>
          <w:bottom w:val="nil"/>
          <w:right w:val="nil"/>
          <w:between w:val="nil"/>
          <w:bar w:val="nil"/>
        </w:pBdr>
        <w:spacing w:line="360" w:lineRule="auto"/>
        <w:ind w:left="851" w:right="616"/>
        <w:jc w:val="both"/>
        <w:rPr>
          <w:rFonts w:ascii="Palatino Linotype" w:eastAsia="Calibri" w:hAnsi="Palatino Linotype" w:cs="Arial"/>
          <w:i/>
          <w:iCs/>
        </w:rPr>
      </w:pPr>
      <w:r w:rsidRPr="00502CAF">
        <w:rPr>
          <w:rFonts w:ascii="Palatino Linotype" w:eastAsia="Calibri" w:hAnsi="Palatino Linotype" w:cs="Arial"/>
          <w:i/>
          <w:iCs/>
        </w:rPr>
        <w:t>CUARTO TRIBUNAL COLEGIADO EN MATERIA ADMINISTRATIVA DEL PRIMER CIRCUITO. Amparo en revisión 257/2012. Ruth Corona Muñoz. 6 de diciembre de 2012. Unanimidad de votos. Ponente: Jean Claude Tron Petit. Secretaria: Mayra Susana Martínez López.</w:t>
      </w:r>
    </w:p>
    <w:p w14:paraId="693CA3CC" w14:textId="033DDCD3" w:rsidR="00FD52E0" w:rsidRDefault="00FD52E0" w:rsidP="00F23A13">
      <w:pPr>
        <w:pBdr>
          <w:top w:val="nil"/>
          <w:left w:val="nil"/>
          <w:bottom w:val="nil"/>
          <w:right w:val="nil"/>
          <w:between w:val="nil"/>
          <w:bar w:val="nil"/>
        </w:pBdr>
        <w:spacing w:after="0" w:line="360" w:lineRule="auto"/>
        <w:jc w:val="both"/>
        <w:rPr>
          <w:rFonts w:ascii="Palatino Linotype" w:eastAsiaTheme="minorEastAsia" w:hAnsi="Palatino Linotype"/>
          <w:color w:val="000000" w:themeColor="text1"/>
          <w:sz w:val="24"/>
        </w:rPr>
      </w:pPr>
    </w:p>
    <w:p w14:paraId="6052B162" w14:textId="5B249958" w:rsidR="00F23A13" w:rsidRPr="00F23A13" w:rsidRDefault="00F23A13" w:rsidP="00F23A13">
      <w:pPr>
        <w:pStyle w:val="Prrafodelista"/>
        <w:numPr>
          <w:ilvl w:val="0"/>
          <w:numId w:val="9"/>
        </w:numPr>
        <w:tabs>
          <w:tab w:val="left" w:pos="426"/>
        </w:tabs>
        <w:spacing w:before="240" w:after="240" w:line="360" w:lineRule="auto"/>
        <w:ind w:left="0" w:right="51" w:firstLine="0"/>
        <w:jc w:val="both"/>
        <w:rPr>
          <w:rFonts w:ascii="Palatino Linotype" w:eastAsiaTheme="minorEastAsia" w:hAnsi="Palatino Linotype"/>
          <w:color w:val="000000" w:themeColor="text1"/>
          <w:sz w:val="24"/>
        </w:rPr>
      </w:pPr>
      <w:r w:rsidRPr="00F23A13">
        <w:rPr>
          <w:rFonts w:ascii="Palatino Linotype" w:eastAsiaTheme="minorEastAsia" w:hAnsi="Palatino Linotype"/>
          <w:color w:val="000000" w:themeColor="text1"/>
          <w:sz w:val="24"/>
        </w:rPr>
        <w:t>La Corte Interamericana ha sostenido que la sociedad como un todo debe ser informada de todo lo sucedido con en relación a las violaciones graves a derechos humanos</w:t>
      </w:r>
      <w:r>
        <w:rPr>
          <w:rFonts w:ascii="Palatino Linotype" w:eastAsiaTheme="minorEastAsia" w:hAnsi="Palatino Linotype"/>
          <w:color w:val="000000" w:themeColor="text1"/>
          <w:sz w:val="24"/>
        </w:rPr>
        <w:t xml:space="preserve">. Asimismo, </w:t>
      </w:r>
      <w:r w:rsidRPr="00F23A13">
        <w:rPr>
          <w:rFonts w:ascii="Palatino Linotype" w:eastAsiaTheme="minorEastAsia" w:hAnsi="Palatino Linotype"/>
          <w:color w:val="000000" w:themeColor="text1"/>
          <w:sz w:val="24"/>
        </w:rPr>
        <w:t xml:space="preserve">existen diversas sentencias en materia de Amparo en las que los Jueces han reconocido que </w:t>
      </w:r>
      <w:r w:rsidRPr="00F23A13">
        <w:rPr>
          <w:rFonts w:ascii="Palatino Linotype" w:eastAsiaTheme="minorEastAsia" w:hAnsi="Palatino Linotype"/>
          <w:b/>
          <w:bCs/>
          <w:color w:val="000000" w:themeColor="text1"/>
          <w:sz w:val="24"/>
        </w:rPr>
        <w:t>no es necesario un pronunciamiento previo de autoridad competente que determine la existencia de violaciones graves a los derechos humanos o delitos de lesa humanidad</w:t>
      </w:r>
      <w:r w:rsidRPr="00F23A13">
        <w:rPr>
          <w:rFonts w:ascii="Palatino Linotype" w:eastAsiaTheme="minorEastAsia" w:hAnsi="Palatino Linotype"/>
          <w:color w:val="000000" w:themeColor="text1"/>
          <w:sz w:val="24"/>
        </w:rPr>
        <w:t>, pues el órgano garante cuenta con las facultades para pronunciarse al respecto:</w:t>
      </w:r>
    </w:p>
    <w:p w14:paraId="5F6BDF95" w14:textId="77777777" w:rsidR="00F23A13" w:rsidRDefault="00F23A13" w:rsidP="00F23A13">
      <w:pPr>
        <w:pStyle w:val="Prrafodelista"/>
        <w:rPr>
          <w:rFonts w:ascii="Palatino Linotype" w:eastAsiaTheme="minorEastAsia" w:hAnsi="Palatino Linotype"/>
          <w:color w:val="000000" w:themeColor="text1"/>
        </w:rPr>
      </w:pPr>
    </w:p>
    <w:p w14:paraId="486D2EF2" w14:textId="77777777" w:rsidR="00F23A13" w:rsidRPr="000F1716" w:rsidRDefault="00F23A13" w:rsidP="00F23A13">
      <w:pPr>
        <w:pStyle w:val="Prrafodelista"/>
        <w:numPr>
          <w:ilvl w:val="0"/>
          <w:numId w:val="31"/>
        </w:numPr>
        <w:tabs>
          <w:tab w:val="left" w:pos="426"/>
        </w:tabs>
        <w:spacing w:before="240" w:after="240" w:line="360" w:lineRule="auto"/>
        <w:ind w:left="720" w:right="909" w:firstLine="0"/>
        <w:jc w:val="both"/>
        <w:rPr>
          <w:rFonts w:ascii="Palatino Linotype" w:eastAsiaTheme="minorEastAsia" w:hAnsi="Palatino Linotype"/>
          <w:color w:val="000000" w:themeColor="text1"/>
        </w:rPr>
      </w:pPr>
      <w:r w:rsidRPr="000F1716">
        <w:rPr>
          <w:rFonts w:ascii="Palatino Linotype" w:eastAsiaTheme="minorEastAsia" w:hAnsi="Palatino Linotype"/>
          <w:color w:val="000000" w:themeColor="text1"/>
        </w:rPr>
        <w:lastRenderedPageBreak/>
        <w:t>Juicio de Amparo 1371/2013, resuelto por el Juzgado Octavo de Distrito en Materia Administrativa en el entonces Distrito Federal, en cuya sentencia se señala:</w:t>
      </w:r>
      <w:r w:rsidRPr="000F1716">
        <w:rPr>
          <w:rFonts w:ascii="Palatino Linotype" w:eastAsiaTheme="minorEastAsia" w:hAnsi="Palatino Linotype"/>
          <w:i/>
          <w:color w:val="000000" w:themeColor="text1"/>
        </w:rPr>
        <w:t xml:space="preserve"> “Contrario a lo asentado por el IFAI, dicho Instituto sí cuenta con facultades para pronunciarse prima facie sobre las violaciones graves de derechos humanos únicamente para efectos de asumir y ejercer sus propias competencias en materia de acceso a la información de las averiguaciones previas”</w:t>
      </w:r>
      <w:r w:rsidRPr="000F1716">
        <w:rPr>
          <w:rFonts w:ascii="Palatino Linotype" w:eastAsiaTheme="minorEastAsia" w:hAnsi="Palatino Linotype"/>
          <w:iCs/>
          <w:vertAlign w:val="superscript"/>
        </w:rPr>
        <w:footnoteReference w:id="1"/>
      </w:r>
    </w:p>
    <w:p w14:paraId="1FAECF42" w14:textId="77777777" w:rsidR="00F23A13" w:rsidRPr="000F1716" w:rsidRDefault="00F23A13" w:rsidP="00F23A13">
      <w:pPr>
        <w:pStyle w:val="Prrafodelista"/>
        <w:tabs>
          <w:tab w:val="left" w:pos="426"/>
        </w:tabs>
        <w:spacing w:before="240" w:after="240" w:line="360" w:lineRule="auto"/>
        <w:ind w:right="909"/>
        <w:jc w:val="both"/>
        <w:rPr>
          <w:rFonts w:ascii="Palatino Linotype" w:eastAsiaTheme="minorEastAsia" w:hAnsi="Palatino Linotype"/>
          <w:color w:val="000000" w:themeColor="text1"/>
        </w:rPr>
      </w:pPr>
    </w:p>
    <w:p w14:paraId="1051EC8C" w14:textId="77777777" w:rsidR="00F23A13" w:rsidRPr="000F1716" w:rsidRDefault="00F23A13" w:rsidP="00F23A13">
      <w:pPr>
        <w:pStyle w:val="Prrafodelista"/>
        <w:numPr>
          <w:ilvl w:val="0"/>
          <w:numId w:val="31"/>
        </w:numPr>
        <w:tabs>
          <w:tab w:val="left" w:pos="426"/>
        </w:tabs>
        <w:spacing w:before="240" w:after="240" w:line="360" w:lineRule="auto"/>
        <w:ind w:left="720" w:right="909" w:firstLine="0"/>
        <w:jc w:val="both"/>
        <w:rPr>
          <w:rFonts w:ascii="Palatino Linotype" w:eastAsiaTheme="minorEastAsia" w:hAnsi="Palatino Linotype"/>
          <w:color w:val="000000" w:themeColor="text1"/>
        </w:rPr>
      </w:pPr>
      <w:r w:rsidRPr="000F1716">
        <w:rPr>
          <w:rFonts w:ascii="Palatino Linotype" w:eastAsiaTheme="minorEastAsia" w:hAnsi="Palatino Linotype"/>
          <w:iCs/>
          <w:color w:val="000000" w:themeColor="text1"/>
        </w:rPr>
        <w:t>Juicio de Amparo 1189/2013 resuelto por el Juzgado Sexto de Distrito en Materia Administrativa en el entonces Distrito Federal:</w:t>
      </w:r>
      <w:r w:rsidRPr="000F1716">
        <w:rPr>
          <w:rFonts w:ascii="Palatino Linotype" w:eastAsiaTheme="minorEastAsia" w:hAnsi="Palatino Linotype"/>
          <w:i/>
          <w:iCs/>
          <w:color w:val="000000" w:themeColor="text1"/>
        </w:rPr>
        <w:t xml:space="preserve"> “En este contexto, de los razonamientos anteriores, se concluye que el Instituto Federal de Acceso a la Información, en términos del artículo 37 de la Ley Federal de Transparencia y Acceso a la Información Pública Gubernamental, sí cuenta con facultades para interpretar si en el caso específico, opera la excepción de reserva prevista en el artículo 14, último párrafo, respecto de la averiguación previa (…)”</w:t>
      </w:r>
      <w:r w:rsidRPr="000F1716">
        <w:rPr>
          <w:rFonts w:ascii="Palatino Linotype" w:eastAsiaTheme="minorEastAsia" w:hAnsi="Palatino Linotype"/>
          <w:vertAlign w:val="superscript"/>
        </w:rPr>
        <w:footnoteReference w:id="2"/>
      </w:r>
      <w:r w:rsidRPr="000F1716">
        <w:rPr>
          <w:rFonts w:ascii="Palatino Linotype" w:eastAsiaTheme="minorEastAsia" w:hAnsi="Palatino Linotype"/>
          <w:color w:val="000000" w:themeColor="text1"/>
        </w:rPr>
        <w:t>.</w:t>
      </w:r>
    </w:p>
    <w:p w14:paraId="31EC7AF8" w14:textId="77777777" w:rsidR="00F23A13" w:rsidRPr="003271CF" w:rsidRDefault="00F23A13" w:rsidP="00F23A13">
      <w:pPr>
        <w:tabs>
          <w:tab w:val="left" w:pos="426"/>
        </w:tabs>
        <w:spacing w:before="240" w:after="240" w:line="360" w:lineRule="auto"/>
        <w:ind w:right="51"/>
        <w:contextualSpacing/>
        <w:jc w:val="both"/>
        <w:rPr>
          <w:rFonts w:ascii="Palatino Linotype" w:eastAsiaTheme="minorEastAsia" w:hAnsi="Palatino Linotype"/>
          <w:color w:val="000000" w:themeColor="text1"/>
        </w:rPr>
      </w:pPr>
    </w:p>
    <w:p w14:paraId="6F3C7AA9" w14:textId="77777777" w:rsidR="00153FFE" w:rsidRPr="00153FFE" w:rsidRDefault="00697BAB" w:rsidP="00153FFE">
      <w:pPr>
        <w:pStyle w:val="Prrafodelista"/>
        <w:numPr>
          <w:ilvl w:val="0"/>
          <w:numId w:val="9"/>
        </w:numPr>
        <w:tabs>
          <w:tab w:val="left" w:pos="426"/>
        </w:tabs>
        <w:spacing w:before="240" w:after="240" w:line="360" w:lineRule="auto"/>
        <w:ind w:left="0" w:right="51" w:firstLine="0"/>
        <w:jc w:val="both"/>
        <w:rPr>
          <w:rFonts w:ascii="Palatino Linotype" w:eastAsiaTheme="minorEastAsia" w:hAnsi="Palatino Linotype"/>
          <w:color w:val="000000" w:themeColor="text1"/>
          <w:sz w:val="24"/>
        </w:rPr>
      </w:pPr>
      <w:r>
        <w:rPr>
          <w:rFonts w:ascii="Palatino Linotype" w:eastAsia="Calibri" w:hAnsi="Palatino Linotype" w:cs="Arial"/>
          <w:sz w:val="24"/>
          <w:szCs w:val="24"/>
          <w:lang w:eastAsia="es-ES"/>
        </w:rPr>
        <w:t xml:space="preserve">Así tenemos que, el derecho a un medio ambiente sano tiene una importancia decisiva tanto para las personas como para el conjunto de la sociedad. Cabe señalar que cuando se degrada el medio ambiente, no solo se produce un desequilibrio ecológico, sino que además, se vulneran otros derechos humanos como el derecho </w:t>
      </w:r>
      <w:r w:rsidRPr="00697BAB">
        <w:rPr>
          <w:rFonts w:ascii="Palatino Linotype" w:eastAsia="Calibri" w:hAnsi="Palatino Linotype" w:cs="Arial"/>
          <w:sz w:val="24"/>
          <w:szCs w:val="24"/>
          <w:lang w:eastAsia="es-ES"/>
        </w:rPr>
        <w:t>a la vida, derecho a la salud</w:t>
      </w:r>
      <w:r>
        <w:rPr>
          <w:rFonts w:ascii="Palatino Linotype" w:eastAsia="Calibri" w:hAnsi="Palatino Linotype" w:cs="Arial"/>
          <w:sz w:val="24"/>
          <w:szCs w:val="24"/>
          <w:lang w:eastAsia="es-ES"/>
        </w:rPr>
        <w:t xml:space="preserve">, derecho al desarrollo, derecho a la información, a la propiedad y al trabajo, entre los que destacan el </w:t>
      </w:r>
      <w:r w:rsidRPr="00697BAB">
        <w:rPr>
          <w:rFonts w:ascii="Palatino Linotype" w:eastAsia="Calibri" w:hAnsi="Palatino Linotype" w:cs="Arial"/>
          <w:b/>
          <w:sz w:val="24"/>
          <w:szCs w:val="24"/>
          <w:lang w:eastAsia="es-ES"/>
        </w:rPr>
        <w:t>derecho a la vida y a la salud</w:t>
      </w:r>
      <w:r>
        <w:rPr>
          <w:rFonts w:ascii="Palatino Linotype" w:eastAsia="Calibri" w:hAnsi="Palatino Linotype" w:cs="Arial"/>
          <w:sz w:val="24"/>
          <w:szCs w:val="24"/>
          <w:lang w:eastAsia="es-ES"/>
        </w:rPr>
        <w:t>.</w:t>
      </w:r>
      <w:bookmarkEnd w:id="4"/>
    </w:p>
    <w:p w14:paraId="26666494" w14:textId="77777777" w:rsidR="00153FFE" w:rsidRDefault="00153FFE" w:rsidP="00153FFE">
      <w:pPr>
        <w:pStyle w:val="Prrafodelista"/>
        <w:tabs>
          <w:tab w:val="left" w:pos="426"/>
        </w:tabs>
        <w:spacing w:before="240" w:after="240" w:line="360" w:lineRule="auto"/>
        <w:ind w:left="0" w:right="51"/>
        <w:jc w:val="both"/>
        <w:rPr>
          <w:rFonts w:ascii="Palatino Linotype" w:eastAsiaTheme="minorEastAsia" w:hAnsi="Palatino Linotype"/>
          <w:color w:val="000000" w:themeColor="text1"/>
          <w:sz w:val="24"/>
        </w:rPr>
      </w:pPr>
    </w:p>
    <w:p w14:paraId="07154ACF" w14:textId="7E3A8753" w:rsidR="00153FFE" w:rsidRPr="00153FFE" w:rsidRDefault="00153FFE" w:rsidP="00153FFE">
      <w:pPr>
        <w:pStyle w:val="Prrafodelista"/>
        <w:numPr>
          <w:ilvl w:val="0"/>
          <w:numId w:val="9"/>
        </w:numPr>
        <w:tabs>
          <w:tab w:val="left" w:pos="426"/>
        </w:tabs>
        <w:spacing w:before="240" w:after="240" w:line="360" w:lineRule="auto"/>
        <w:ind w:left="0" w:right="51" w:firstLine="0"/>
        <w:jc w:val="both"/>
        <w:rPr>
          <w:rFonts w:ascii="Palatino Linotype" w:eastAsiaTheme="minorEastAsia" w:hAnsi="Palatino Linotype"/>
          <w:color w:val="000000" w:themeColor="text1"/>
          <w:sz w:val="24"/>
        </w:rPr>
      </w:pPr>
      <w:r w:rsidRPr="00153FFE">
        <w:rPr>
          <w:rFonts w:ascii="Palatino Linotype" w:eastAsia="Arial" w:hAnsi="Palatino Linotype" w:cs="Arial"/>
          <w:color w:val="000000" w:themeColor="text1"/>
          <w:sz w:val="24"/>
          <w:szCs w:val="24"/>
          <w:bdr w:val="nil"/>
          <w:lang w:eastAsia="es-MX"/>
        </w:rPr>
        <w:t>El derecho a la vida de todos los seres humanos es el derecho supremo Constituye en sí mismo el valor más preciado, en cuanto derecho inherente a todo ser humano, pero también es un derecho fundamental, cuya protección efectiva es requisito indispensable para el disfrute de todos los demás derechos humanos</w:t>
      </w:r>
      <w:r w:rsidRPr="00153FFE">
        <w:rPr>
          <w:rFonts w:ascii="Palatino Linotype" w:eastAsia="Arial" w:hAnsi="Palatino Linotype" w:cs="Arial"/>
          <w:color w:val="000000" w:themeColor="text1"/>
          <w:sz w:val="24"/>
          <w:szCs w:val="24"/>
          <w:bdr w:val="nil"/>
          <w:vertAlign w:val="superscript"/>
          <w:lang w:eastAsia="es-MX"/>
        </w:rPr>
        <w:t>.</w:t>
      </w:r>
      <w:r w:rsidRPr="00153FFE">
        <w:rPr>
          <w:rFonts w:ascii="Palatino Linotype" w:eastAsia="Arial" w:hAnsi="Palatino Linotype" w:cs="Arial"/>
          <w:color w:val="000000" w:themeColor="text1"/>
          <w:sz w:val="24"/>
          <w:szCs w:val="24"/>
          <w:bdr w:val="nil"/>
          <w:vertAlign w:val="superscript"/>
          <w:lang w:eastAsia="es-MX"/>
        </w:rPr>
        <w:footnoteReference w:id="3"/>
      </w:r>
    </w:p>
    <w:p w14:paraId="68B97709" w14:textId="77777777" w:rsidR="00153FFE" w:rsidRPr="00153FFE" w:rsidRDefault="00153FFE" w:rsidP="00153FFE">
      <w:pPr>
        <w:pStyle w:val="Prrafodelista"/>
        <w:tabs>
          <w:tab w:val="left" w:pos="426"/>
        </w:tabs>
        <w:spacing w:before="240" w:after="240" w:line="360" w:lineRule="auto"/>
        <w:ind w:left="0" w:right="51"/>
        <w:jc w:val="both"/>
        <w:rPr>
          <w:rFonts w:ascii="Palatino Linotype" w:eastAsiaTheme="minorEastAsia" w:hAnsi="Palatino Linotype"/>
          <w:color w:val="000000" w:themeColor="text1"/>
          <w:sz w:val="24"/>
        </w:rPr>
      </w:pPr>
    </w:p>
    <w:p w14:paraId="2E188184" w14:textId="77777777" w:rsidR="00153FFE" w:rsidRPr="00153FFE" w:rsidRDefault="00153FFE" w:rsidP="00153FFE">
      <w:pPr>
        <w:pStyle w:val="Prrafodelista"/>
        <w:numPr>
          <w:ilvl w:val="0"/>
          <w:numId w:val="9"/>
        </w:numPr>
        <w:tabs>
          <w:tab w:val="left" w:pos="426"/>
        </w:tabs>
        <w:spacing w:before="240" w:after="240" w:line="360" w:lineRule="auto"/>
        <w:ind w:left="0" w:right="51" w:firstLine="0"/>
        <w:jc w:val="both"/>
        <w:rPr>
          <w:rFonts w:ascii="Palatino Linotype" w:eastAsiaTheme="minorEastAsia" w:hAnsi="Palatino Linotype"/>
          <w:color w:val="000000" w:themeColor="text1"/>
          <w:sz w:val="24"/>
        </w:rPr>
      </w:pPr>
      <w:r w:rsidRPr="00153FFE">
        <w:rPr>
          <w:rFonts w:ascii="Palatino Linotype" w:eastAsia="Calibri" w:hAnsi="Palatino Linotype" w:cs="Arial"/>
          <w:sz w:val="24"/>
          <w:szCs w:val="24"/>
          <w:lang w:eastAsia="es-ES"/>
        </w:rPr>
        <w:t xml:space="preserve">Los artículos 3° de la Declaración Universal de Derechos Humanos; 1° de la Declaración Americana de Derechos y Deberes del Hombre; 6° del Pacto Internacional de Derechos Civiles y Políticos; y, 4° de la Convención Americana de Derechos Humanos, vinculantes para el Estado Mexicano, de manera general establecen tres elementos comunes: </w:t>
      </w:r>
    </w:p>
    <w:p w14:paraId="7D2D7858" w14:textId="77777777" w:rsidR="00153FFE" w:rsidRDefault="00153FFE" w:rsidP="00153FFE">
      <w:pPr>
        <w:pStyle w:val="Prrafodelista"/>
        <w:ind w:left="5039"/>
        <w:rPr>
          <w:rFonts w:ascii="Palatino Linotype" w:eastAsia="Calibri" w:hAnsi="Palatino Linotype" w:cs="Arial"/>
          <w:sz w:val="24"/>
          <w:szCs w:val="24"/>
          <w:lang w:eastAsia="es-ES"/>
        </w:rPr>
      </w:pPr>
    </w:p>
    <w:p w14:paraId="546ECE8A" w14:textId="77777777" w:rsidR="00153FFE" w:rsidRPr="00153FFE" w:rsidRDefault="00153FFE" w:rsidP="00153FFE">
      <w:pPr>
        <w:pStyle w:val="Prrafodelista"/>
        <w:tabs>
          <w:tab w:val="left" w:pos="426"/>
        </w:tabs>
        <w:spacing w:after="0" w:line="360" w:lineRule="auto"/>
        <w:ind w:left="851"/>
        <w:jc w:val="both"/>
        <w:rPr>
          <w:rFonts w:ascii="Palatino Linotype" w:eastAsia="Calibri" w:hAnsi="Palatino Linotype" w:cs="Arial"/>
          <w:sz w:val="24"/>
          <w:szCs w:val="24"/>
          <w:lang w:eastAsia="es-ES"/>
        </w:rPr>
      </w:pPr>
      <w:r w:rsidRPr="00153FFE">
        <w:rPr>
          <w:rFonts w:ascii="Palatino Linotype" w:eastAsia="Calibri" w:hAnsi="Palatino Linotype" w:cs="Arial"/>
          <w:sz w:val="24"/>
          <w:szCs w:val="24"/>
          <w:lang w:eastAsia="es-ES"/>
        </w:rPr>
        <w:t xml:space="preserve">• La universalidad del derecho a la vida. </w:t>
      </w:r>
    </w:p>
    <w:p w14:paraId="39F666AA" w14:textId="77777777" w:rsidR="00153FFE" w:rsidRPr="00153FFE" w:rsidRDefault="00153FFE" w:rsidP="00153FFE">
      <w:pPr>
        <w:pStyle w:val="Prrafodelista"/>
        <w:tabs>
          <w:tab w:val="left" w:pos="426"/>
        </w:tabs>
        <w:spacing w:after="0" w:line="360" w:lineRule="auto"/>
        <w:ind w:left="851"/>
        <w:jc w:val="both"/>
        <w:rPr>
          <w:rFonts w:ascii="Palatino Linotype" w:eastAsia="Calibri" w:hAnsi="Palatino Linotype" w:cs="Arial"/>
          <w:sz w:val="24"/>
          <w:szCs w:val="24"/>
          <w:lang w:eastAsia="es-ES"/>
        </w:rPr>
      </w:pPr>
      <w:r w:rsidRPr="00153FFE">
        <w:rPr>
          <w:rFonts w:ascii="Palatino Linotype" w:eastAsia="Calibri" w:hAnsi="Palatino Linotype" w:cs="Arial"/>
          <w:sz w:val="24"/>
          <w:szCs w:val="24"/>
          <w:lang w:eastAsia="es-ES"/>
        </w:rPr>
        <w:t xml:space="preserve">• La obligación de protección legal del derecho a la vida. </w:t>
      </w:r>
    </w:p>
    <w:p w14:paraId="3CCD5C21" w14:textId="77777777" w:rsidR="00153FFE" w:rsidRPr="00153FFE" w:rsidRDefault="00153FFE" w:rsidP="00153FFE">
      <w:pPr>
        <w:pStyle w:val="Prrafodelista"/>
        <w:tabs>
          <w:tab w:val="left" w:pos="426"/>
        </w:tabs>
        <w:spacing w:after="0" w:line="360" w:lineRule="auto"/>
        <w:ind w:left="851"/>
        <w:jc w:val="both"/>
        <w:rPr>
          <w:rFonts w:ascii="Palatino Linotype" w:eastAsia="Calibri" w:hAnsi="Palatino Linotype" w:cs="Arial"/>
          <w:sz w:val="24"/>
          <w:szCs w:val="24"/>
          <w:lang w:eastAsia="es-ES"/>
        </w:rPr>
      </w:pPr>
      <w:r w:rsidRPr="00153FFE">
        <w:rPr>
          <w:rFonts w:ascii="Palatino Linotype" w:eastAsia="Calibri" w:hAnsi="Palatino Linotype" w:cs="Arial"/>
          <w:sz w:val="24"/>
          <w:szCs w:val="24"/>
          <w:lang w:eastAsia="es-ES"/>
        </w:rPr>
        <w:t xml:space="preserve">• La prohibición de privación arbitraria del derecho a la vida.  </w:t>
      </w:r>
    </w:p>
    <w:p w14:paraId="0E393E97" w14:textId="77777777" w:rsidR="00153FFE" w:rsidRPr="00153FFE" w:rsidRDefault="00153FFE" w:rsidP="00153FFE">
      <w:pPr>
        <w:pStyle w:val="Prrafodelista"/>
        <w:tabs>
          <w:tab w:val="left" w:pos="426"/>
        </w:tabs>
        <w:spacing w:before="240" w:after="240" w:line="360" w:lineRule="auto"/>
        <w:ind w:left="851" w:right="51"/>
        <w:jc w:val="both"/>
        <w:rPr>
          <w:rFonts w:ascii="Palatino Linotype" w:eastAsiaTheme="minorEastAsia" w:hAnsi="Palatino Linotype"/>
          <w:color w:val="000000" w:themeColor="text1"/>
          <w:sz w:val="24"/>
        </w:rPr>
      </w:pPr>
    </w:p>
    <w:p w14:paraId="47A90716" w14:textId="7C00C03D" w:rsidR="00153FFE" w:rsidRDefault="00153FFE" w:rsidP="00153FFE">
      <w:pPr>
        <w:pStyle w:val="Prrafodelista"/>
        <w:numPr>
          <w:ilvl w:val="0"/>
          <w:numId w:val="9"/>
        </w:numPr>
        <w:tabs>
          <w:tab w:val="left" w:pos="426"/>
        </w:tabs>
        <w:spacing w:before="240" w:after="240" w:line="360" w:lineRule="auto"/>
        <w:ind w:left="0" w:right="51" w:firstLine="0"/>
        <w:jc w:val="both"/>
        <w:rPr>
          <w:rFonts w:ascii="Palatino Linotype" w:eastAsiaTheme="minorEastAsia" w:hAnsi="Palatino Linotype"/>
          <w:color w:val="000000" w:themeColor="text1"/>
          <w:sz w:val="24"/>
        </w:rPr>
      </w:pPr>
      <w:r>
        <w:rPr>
          <w:rFonts w:ascii="Palatino Linotype" w:eastAsiaTheme="minorEastAsia" w:hAnsi="Palatino Linotype"/>
          <w:color w:val="000000" w:themeColor="text1"/>
          <w:sz w:val="24"/>
        </w:rPr>
        <w:t xml:space="preserve">Por su parte, el derecho a la Salud, es aquel que tiene todo ser humano a que se le garanticen las condiciones necesarias para lograr su bienestar físico, metal y social, a  través de bienes y servicios de calidad que le aseguren el más alto nivel posible de salud. Consagrado en la </w:t>
      </w:r>
      <w:r w:rsidR="00A25541" w:rsidRPr="00A25541">
        <w:rPr>
          <w:rFonts w:ascii="Palatino Linotype" w:eastAsiaTheme="minorEastAsia" w:hAnsi="Palatino Linotype"/>
          <w:color w:val="000000" w:themeColor="text1"/>
          <w:sz w:val="24"/>
        </w:rPr>
        <w:t>Declaración Americana de los Derechos y Deberes del Hombre</w:t>
      </w:r>
      <w:r>
        <w:rPr>
          <w:rFonts w:ascii="Palatino Linotype" w:eastAsiaTheme="minorEastAsia" w:hAnsi="Palatino Linotype"/>
          <w:color w:val="000000" w:themeColor="text1"/>
          <w:sz w:val="24"/>
        </w:rPr>
        <w:t xml:space="preserve">, </w:t>
      </w:r>
      <w:r w:rsidR="00A25541">
        <w:rPr>
          <w:rFonts w:ascii="Palatino Linotype" w:eastAsiaTheme="minorEastAsia" w:hAnsi="Palatino Linotype"/>
          <w:color w:val="000000" w:themeColor="text1"/>
          <w:sz w:val="24"/>
        </w:rPr>
        <w:t xml:space="preserve">artículo XI, como el derecho de toda persona </w:t>
      </w:r>
      <w:r w:rsidR="00A25541" w:rsidRPr="00A25541">
        <w:rPr>
          <w:rFonts w:ascii="Palatino Linotype" w:eastAsiaTheme="minorEastAsia" w:hAnsi="Palatino Linotype"/>
          <w:color w:val="000000" w:themeColor="text1"/>
          <w:sz w:val="24"/>
        </w:rPr>
        <w:t xml:space="preserve">a que su salud sea preservada por medidas sanitarias y sociales, relativas a la alimentación, el </w:t>
      </w:r>
      <w:r w:rsidR="00A25541" w:rsidRPr="00A25541">
        <w:rPr>
          <w:rFonts w:ascii="Palatino Linotype" w:eastAsiaTheme="minorEastAsia" w:hAnsi="Palatino Linotype"/>
          <w:color w:val="000000" w:themeColor="text1"/>
          <w:sz w:val="24"/>
        </w:rPr>
        <w:lastRenderedPageBreak/>
        <w:t>vestido, la vivienda y la asistencia médica, correspondientes al nivel que permitan los recursos públicos y los de la comunidad.</w:t>
      </w:r>
    </w:p>
    <w:p w14:paraId="19584962" w14:textId="77777777" w:rsidR="00A25541" w:rsidRDefault="00A25541" w:rsidP="00A25541">
      <w:pPr>
        <w:pStyle w:val="Prrafodelista"/>
        <w:tabs>
          <w:tab w:val="left" w:pos="426"/>
        </w:tabs>
        <w:spacing w:before="240" w:after="240" w:line="360" w:lineRule="auto"/>
        <w:ind w:left="0" w:right="51"/>
        <w:jc w:val="both"/>
        <w:rPr>
          <w:rFonts w:ascii="Palatino Linotype" w:eastAsiaTheme="minorEastAsia" w:hAnsi="Palatino Linotype"/>
          <w:color w:val="000000" w:themeColor="text1"/>
          <w:sz w:val="24"/>
        </w:rPr>
      </w:pPr>
    </w:p>
    <w:p w14:paraId="0922CB81" w14:textId="77777777" w:rsidR="00A25541" w:rsidRPr="00A25541" w:rsidRDefault="00A25541" w:rsidP="00A25541">
      <w:pPr>
        <w:pStyle w:val="Prrafodelista"/>
        <w:numPr>
          <w:ilvl w:val="0"/>
          <w:numId w:val="9"/>
        </w:numPr>
        <w:tabs>
          <w:tab w:val="left" w:pos="426"/>
        </w:tabs>
        <w:spacing w:before="240" w:after="240" w:line="360" w:lineRule="auto"/>
        <w:ind w:left="0" w:right="51" w:firstLine="0"/>
        <w:jc w:val="both"/>
        <w:rPr>
          <w:rFonts w:ascii="Palatino Linotype" w:eastAsiaTheme="minorEastAsia" w:hAnsi="Palatino Linotype"/>
          <w:color w:val="000000" w:themeColor="text1"/>
          <w:sz w:val="24"/>
        </w:rPr>
      </w:pPr>
      <w:r w:rsidRPr="00A25541">
        <w:rPr>
          <w:rFonts w:ascii="Palatino Linotype" w:eastAsia="Calibri" w:hAnsi="Palatino Linotype" w:cs="Arial"/>
          <w:sz w:val="24"/>
          <w:szCs w:val="24"/>
          <w:lang w:eastAsia="es-ES"/>
        </w:rPr>
        <w:t xml:space="preserve">Siguiendo los lineamientos sentados por la Suprema Corte de Justicia de la Nación, la gravedad de las violaciones a derechos humanos se acreditará mediante dos operaciones distintas: (i) prueba de la existencia de violaciones a derechos fundamentales; y (ii) la calificación de esas violaciones como graves. </w:t>
      </w:r>
    </w:p>
    <w:p w14:paraId="094818D5" w14:textId="77777777" w:rsidR="00A25541" w:rsidRPr="00A25541" w:rsidRDefault="00A25541" w:rsidP="00A25541">
      <w:pPr>
        <w:pStyle w:val="Prrafodelista"/>
        <w:tabs>
          <w:tab w:val="left" w:pos="426"/>
        </w:tabs>
        <w:spacing w:before="240" w:after="240" w:line="360" w:lineRule="auto"/>
        <w:ind w:left="0" w:right="51"/>
        <w:jc w:val="both"/>
        <w:rPr>
          <w:rFonts w:ascii="Palatino Linotype" w:eastAsiaTheme="minorEastAsia" w:hAnsi="Palatino Linotype"/>
          <w:color w:val="000000" w:themeColor="text1"/>
          <w:sz w:val="24"/>
        </w:rPr>
      </w:pPr>
    </w:p>
    <w:p w14:paraId="4CF46399" w14:textId="77777777" w:rsidR="00A25541" w:rsidRPr="00A25541" w:rsidRDefault="00A25541" w:rsidP="00A25541">
      <w:pPr>
        <w:pStyle w:val="Prrafodelista"/>
        <w:numPr>
          <w:ilvl w:val="0"/>
          <w:numId w:val="9"/>
        </w:numPr>
        <w:tabs>
          <w:tab w:val="left" w:pos="426"/>
        </w:tabs>
        <w:spacing w:before="240" w:after="240" w:line="360" w:lineRule="auto"/>
        <w:ind w:left="0" w:right="51" w:firstLine="0"/>
        <w:jc w:val="both"/>
        <w:rPr>
          <w:rFonts w:ascii="Palatino Linotype" w:eastAsiaTheme="minorEastAsia" w:hAnsi="Palatino Linotype"/>
          <w:color w:val="000000" w:themeColor="text1"/>
          <w:sz w:val="24"/>
        </w:rPr>
      </w:pPr>
      <w:r w:rsidRPr="00A25541">
        <w:rPr>
          <w:rFonts w:ascii="Palatino Linotype" w:eastAsia="Calibri" w:hAnsi="Palatino Linotype" w:cs="Arial"/>
          <w:sz w:val="24"/>
          <w:szCs w:val="24"/>
          <w:lang w:eastAsia="es-ES"/>
        </w:rPr>
        <w:t>La prueba de la existencia de las violaciones no representa mayor problema, mientras que para demostrar que las violaciones a derechos fundamentales son “graves” se requiere de juicios de valor, reconducibles al terreno probatorio dotándolos de contenido descriptivo. Así pues, para acreditar este elemento la Suprema Corte ha exigido que se compruebe la trascendencia social de las violaciones, lo cual se podrá determinar con base en criterios cuantitativos o cualitativos.</w:t>
      </w:r>
    </w:p>
    <w:p w14:paraId="7E8D70A9" w14:textId="77777777" w:rsidR="00A25541" w:rsidRPr="00A25541" w:rsidRDefault="00A25541" w:rsidP="00A25541">
      <w:pPr>
        <w:pStyle w:val="Prrafodelista"/>
        <w:tabs>
          <w:tab w:val="left" w:pos="426"/>
        </w:tabs>
        <w:spacing w:before="240" w:after="240" w:line="360" w:lineRule="auto"/>
        <w:ind w:left="0" w:right="51"/>
        <w:jc w:val="both"/>
        <w:rPr>
          <w:rFonts w:ascii="Palatino Linotype" w:eastAsiaTheme="minorEastAsia" w:hAnsi="Palatino Linotype"/>
          <w:color w:val="000000" w:themeColor="text1"/>
          <w:sz w:val="24"/>
        </w:rPr>
      </w:pPr>
    </w:p>
    <w:p w14:paraId="4D217588" w14:textId="77777777" w:rsidR="00A25541" w:rsidRPr="00A25541" w:rsidRDefault="00A25541" w:rsidP="00A25541">
      <w:pPr>
        <w:pStyle w:val="Prrafodelista"/>
        <w:numPr>
          <w:ilvl w:val="0"/>
          <w:numId w:val="9"/>
        </w:numPr>
        <w:tabs>
          <w:tab w:val="left" w:pos="426"/>
        </w:tabs>
        <w:spacing w:before="240" w:after="240" w:line="360" w:lineRule="auto"/>
        <w:ind w:left="0" w:right="51" w:firstLine="0"/>
        <w:jc w:val="both"/>
        <w:rPr>
          <w:rFonts w:ascii="Palatino Linotype" w:eastAsiaTheme="minorEastAsia" w:hAnsi="Palatino Linotype"/>
          <w:color w:val="000000" w:themeColor="text1"/>
          <w:sz w:val="24"/>
        </w:rPr>
      </w:pPr>
      <w:r w:rsidRPr="00A25541">
        <w:rPr>
          <w:rFonts w:ascii="Palatino Linotype" w:eastAsia="Calibri" w:hAnsi="Palatino Linotype" w:cs="Arial"/>
          <w:sz w:val="24"/>
          <w:szCs w:val="24"/>
          <w:lang w:eastAsia="es-ES"/>
        </w:rPr>
        <w:t xml:space="preserve">El criterio cuantitativo determina la gravedad de las violaciones demostrando que tienen una trascendencia social en función de aspectos medibles o cuantificables, tales como el número, la intensidad, la amplitud, la generalidad, la frecuencia o su prolongación en el tiempo, así como, evidentemente, la combinación de varios de estos aspectos. Es lógico que el criterio anterior no haya  podido aplicarse a todos los casos, razón por la cual la Suprema Corte de Justicia de la Nación también ha entendido que en algunos supuestos la trascendencia social de </w:t>
      </w:r>
      <w:r w:rsidRPr="00A25541">
        <w:rPr>
          <w:rFonts w:ascii="Palatino Linotype" w:eastAsia="Calibri" w:hAnsi="Palatino Linotype" w:cs="Arial"/>
          <w:sz w:val="24"/>
          <w:szCs w:val="24"/>
          <w:lang w:eastAsia="es-ES"/>
        </w:rPr>
        <w:lastRenderedPageBreak/>
        <w:t>las violaciones se puede demostrar mediante un criterio cualitativo, determinando si éstas presentan alguna característica o cualidad que l</w:t>
      </w:r>
      <w:r>
        <w:rPr>
          <w:rFonts w:ascii="Palatino Linotype" w:eastAsia="Calibri" w:hAnsi="Palatino Linotype" w:cs="Arial"/>
          <w:sz w:val="24"/>
          <w:szCs w:val="24"/>
          <w:lang w:eastAsia="es-ES"/>
        </w:rPr>
        <w:t>es dé una dimensión específica.</w:t>
      </w:r>
    </w:p>
    <w:p w14:paraId="71EF95CC" w14:textId="77777777" w:rsidR="00A25541" w:rsidRPr="00A25541" w:rsidRDefault="00A25541" w:rsidP="00A25541">
      <w:pPr>
        <w:pStyle w:val="Prrafodelista"/>
        <w:tabs>
          <w:tab w:val="left" w:pos="426"/>
        </w:tabs>
        <w:spacing w:before="240" w:after="240" w:line="360" w:lineRule="auto"/>
        <w:ind w:left="0" w:right="51"/>
        <w:jc w:val="both"/>
        <w:rPr>
          <w:rFonts w:ascii="Palatino Linotype" w:eastAsiaTheme="minorEastAsia" w:hAnsi="Palatino Linotype"/>
          <w:color w:val="000000" w:themeColor="text1"/>
          <w:sz w:val="24"/>
        </w:rPr>
      </w:pPr>
    </w:p>
    <w:p w14:paraId="21183188" w14:textId="17A6B80D" w:rsidR="00A25541" w:rsidRPr="00A25541" w:rsidRDefault="00A25541" w:rsidP="00A25541">
      <w:pPr>
        <w:pStyle w:val="Prrafodelista"/>
        <w:numPr>
          <w:ilvl w:val="0"/>
          <w:numId w:val="9"/>
        </w:numPr>
        <w:tabs>
          <w:tab w:val="left" w:pos="426"/>
        </w:tabs>
        <w:spacing w:before="240" w:after="240" w:line="360" w:lineRule="auto"/>
        <w:ind w:left="0" w:right="51" w:firstLine="0"/>
        <w:jc w:val="both"/>
        <w:rPr>
          <w:rFonts w:ascii="Palatino Linotype" w:eastAsiaTheme="minorEastAsia" w:hAnsi="Palatino Linotype"/>
          <w:color w:val="000000" w:themeColor="text1"/>
          <w:sz w:val="24"/>
        </w:rPr>
      </w:pPr>
      <w:r w:rsidRPr="00A25541">
        <w:rPr>
          <w:rFonts w:ascii="Palatino Linotype" w:eastAsia="Calibri" w:hAnsi="Palatino Linotype" w:cs="Arial"/>
          <w:sz w:val="24"/>
          <w:szCs w:val="24"/>
          <w:lang w:eastAsia="es-ES"/>
        </w:rPr>
        <w:t xml:space="preserve">Respecto al criterio cualitativo, la Suprema Corte de Justicia de la Nación ha determinado en forma casuística algunos supuestos en los cuales se ha actualizado: </w:t>
      </w:r>
    </w:p>
    <w:p w14:paraId="3830F849" w14:textId="77777777" w:rsidR="00A25541" w:rsidRDefault="00A25541" w:rsidP="00A25541">
      <w:pPr>
        <w:pStyle w:val="Prrafodelista"/>
        <w:rPr>
          <w:rFonts w:ascii="Palatino Linotype" w:eastAsia="Calibri" w:hAnsi="Palatino Linotype" w:cs="Arial"/>
          <w:sz w:val="24"/>
          <w:szCs w:val="24"/>
          <w:lang w:eastAsia="es-ES"/>
        </w:rPr>
      </w:pPr>
    </w:p>
    <w:p w14:paraId="49B1E61B" w14:textId="02FB1EB8" w:rsidR="00A25541" w:rsidRDefault="00A25541" w:rsidP="00A25541">
      <w:pPr>
        <w:pStyle w:val="Prrafodelista"/>
        <w:tabs>
          <w:tab w:val="left" w:pos="0"/>
        </w:tabs>
        <w:spacing w:after="0" w:line="360" w:lineRule="auto"/>
        <w:ind w:left="851"/>
        <w:jc w:val="both"/>
        <w:rPr>
          <w:rFonts w:ascii="Palatino Linotype" w:eastAsia="Calibri" w:hAnsi="Palatino Linotype" w:cs="Arial"/>
          <w:sz w:val="24"/>
          <w:szCs w:val="24"/>
          <w:lang w:eastAsia="es-ES"/>
        </w:rPr>
      </w:pPr>
      <w:r>
        <w:rPr>
          <w:rFonts w:ascii="Palatino Linotype" w:eastAsia="Calibri" w:hAnsi="Palatino Linotype" w:cs="Arial"/>
          <w:sz w:val="24"/>
          <w:szCs w:val="24"/>
          <w:lang w:eastAsia="es-ES"/>
        </w:rPr>
        <w:t>(i) concierto de autoridades de dos o más poderes federales o locales para afectar deliberadamente los derechos de una persona, desconociendo el sistema de distribución de competencias establecido en la Constitución o el principio de división de poderes; y</w:t>
      </w:r>
    </w:p>
    <w:p w14:paraId="48D56EA1" w14:textId="30DD6D77" w:rsidR="00A25541" w:rsidRDefault="00A25541" w:rsidP="00A25541">
      <w:pPr>
        <w:pStyle w:val="Prrafodelista"/>
        <w:tabs>
          <w:tab w:val="left" w:pos="0"/>
        </w:tabs>
        <w:spacing w:after="0" w:line="360" w:lineRule="auto"/>
        <w:ind w:left="851"/>
        <w:jc w:val="both"/>
        <w:rPr>
          <w:rFonts w:ascii="Palatino Linotype" w:eastAsia="Calibri" w:hAnsi="Palatino Linotype" w:cs="Arial"/>
          <w:sz w:val="24"/>
          <w:szCs w:val="24"/>
          <w:lang w:eastAsia="es-ES"/>
        </w:rPr>
      </w:pPr>
      <w:r>
        <w:rPr>
          <w:rFonts w:ascii="Palatino Linotype" w:eastAsia="Calibri" w:hAnsi="Palatino Linotype" w:cs="Arial"/>
          <w:sz w:val="24"/>
          <w:szCs w:val="24"/>
          <w:lang w:eastAsia="es-ES"/>
        </w:rPr>
        <w:t>(ii) entrega a la comunidad de información manipulada, incompleta o el simple impedimento de conocer la verdad, afectando con ello la formación de la voluntad general y generando una cultura del engaño.</w:t>
      </w:r>
    </w:p>
    <w:p w14:paraId="692DBC00" w14:textId="77777777" w:rsidR="00B9713D" w:rsidRDefault="00B9713D" w:rsidP="00B9713D">
      <w:pPr>
        <w:pStyle w:val="Prrafodelista"/>
        <w:tabs>
          <w:tab w:val="left" w:pos="426"/>
        </w:tabs>
        <w:spacing w:before="240" w:after="240" w:line="360" w:lineRule="auto"/>
        <w:ind w:left="0" w:right="51"/>
        <w:jc w:val="both"/>
        <w:rPr>
          <w:rFonts w:ascii="Palatino Linotype" w:eastAsiaTheme="minorEastAsia" w:hAnsi="Palatino Linotype"/>
          <w:color w:val="000000" w:themeColor="text1"/>
          <w:sz w:val="24"/>
        </w:rPr>
      </w:pPr>
    </w:p>
    <w:p w14:paraId="4A4CDAA9" w14:textId="791C8EAB" w:rsidR="00F059E2" w:rsidRDefault="00A25541" w:rsidP="00F059E2">
      <w:pPr>
        <w:pStyle w:val="Prrafodelista"/>
        <w:numPr>
          <w:ilvl w:val="0"/>
          <w:numId w:val="9"/>
        </w:numPr>
        <w:tabs>
          <w:tab w:val="left" w:pos="426"/>
        </w:tabs>
        <w:spacing w:before="240" w:after="240" w:line="360" w:lineRule="auto"/>
        <w:ind w:left="0" w:right="51" w:firstLine="0"/>
        <w:jc w:val="both"/>
        <w:rPr>
          <w:rFonts w:ascii="Palatino Linotype" w:eastAsiaTheme="minorEastAsia" w:hAnsi="Palatino Linotype"/>
          <w:color w:val="000000" w:themeColor="text1"/>
          <w:sz w:val="24"/>
        </w:rPr>
      </w:pPr>
      <w:r>
        <w:rPr>
          <w:rFonts w:ascii="Palatino Linotype" w:eastAsiaTheme="minorEastAsia" w:hAnsi="Palatino Linotype"/>
          <w:color w:val="000000" w:themeColor="text1"/>
          <w:sz w:val="24"/>
        </w:rPr>
        <w:t xml:space="preserve">Sobre el presente asunto, tenemos que </w:t>
      </w:r>
      <w:r w:rsidR="00F059E2">
        <w:rPr>
          <w:rFonts w:ascii="Palatino Linotype" w:eastAsiaTheme="minorEastAsia" w:hAnsi="Palatino Linotype"/>
          <w:color w:val="000000" w:themeColor="text1"/>
          <w:sz w:val="24"/>
        </w:rPr>
        <w:t xml:space="preserve">el presunto infractor  es un Ayuntamiento y que los sellos fueron emitidos por presuntos daños y deterioros graves a los recursos naturales, con repercusiones peligrosas para los ecosistemas y sus componentes, luego entonces, </w:t>
      </w:r>
      <w:r w:rsidR="00F059E2" w:rsidRPr="00F059E2">
        <w:rPr>
          <w:rFonts w:ascii="Palatino Linotype" w:eastAsiaTheme="minorEastAsia" w:hAnsi="Palatino Linotype"/>
          <w:color w:val="000000" w:themeColor="text1"/>
          <w:sz w:val="24"/>
        </w:rPr>
        <w:t>es concluyente que en el presente asunto se actualiza el supuesto contenido en la</w:t>
      </w:r>
      <w:r w:rsidR="00F059E2">
        <w:rPr>
          <w:rFonts w:ascii="Palatino Linotype" w:eastAsiaTheme="minorEastAsia" w:hAnsi="Palatino Linotype"/>
          <w:color w:val="000000" w:themeColor="text1"/>
          <w:sz w:val="24"/>
        </w:rPr>
        <w:t xml:space="preserve"> fracción</w:t>
      </w:r>
      <w:r w:rsidR="00F059E2" w:rsidRPr="00F059E2">
        <w:rPr>
          <w:rFonts w:ascii="Palatino Linotype" w:eastAsiaTheme="minorEastAsia" w:hAnsi="Palatino Linotype"/>
          <w:color w:val="000000" w:themeColor="text1"/>
          <w:sz w:val="24"/>
        </w:rPr>
        <w:t xml:space="preserve"> II</w:t>
      </w:r>
      <w:r w:rsidR="00F059E2">
        <w:rPr>
          <w:rFonts w:ascii="Palatino Linotype" w:eastAsiaTheme="minorEastAsia" w:hAnsi="Palatino Linotype"/>
          <w:color w:val="000000" w:themeColor="text1"/>
          <w:sz w:val="24"/>
        </w:rPr>
        <w:t xml:space="preserve">, </w:t>
      </w:r>
      <w:r w:rsidR="00F059E2" w:rsidRPr="00F059E2">
        <w:rPr>
          <w:rFonts w:ascii="Palatino Linotype" w:eastAsiaTheme="minorEastAsia" w:hAnsi="Palatino Linotype"/>
          <w:color w:val="000000" w:themeColor="text1"/>
          <w:sz w:val="24"/>
        </w:rPr>
        <w:t>del artículo 142 de la Ley de Transparencia y Acceso a la Información Pública del Estado de México y Municipios</w:t>
      </w:r>
      <w:r w:rsidR="00F059E2">
        <w:rPr>
          <w:rFonts w:ascii="Palatino Linotype" w:eastAsiaTheme="minorEastAsia" w:hAnsi="Palatino Linotype"/>
          <w:color w:val="000000" w:themeColor="text1"/>
          <w:sz w:val="24"/>
        </w:rPr>
        <w:t xml:space="preserve">, al existir elementos para determinar que se están cometiendo violaciones graves a los derechos humanos (medio ambiente sano). </w:t>
      </w:r>
      <w:r w:rsidR="00F059E2" w:rsidRPr="00F059E2">
        <w:rPr>
          <w:rFonts w:ascii="Palatino Linotype" w:eastAsiaTheme="minorEastAsia" w:hAnsi="Palatino Linotype"/>
          <w:color w:val="000000" w:themeColor="text1"/>
          <w:sz w:val="24"/>
        </w:rPr>
        <w:t xml:space="preserve">Razón de lo </w:t>
      </w:r>
      <w:r w:rsidR="00F059E2" w:rsidRPr="00F059E2">
        <w:rPr>
          <w:rFonts w:ascii="Palatino Linotype" w:eastAsiaTheme="minorEastAsia" w:hAnsi="Palatino Linotype"/>
          <w:color w:val="000000" w:themeColor="text1"/>
          <w:sz w:val="24"/>
        </w:rPr>
        <w:lastRenderedPageBreak/>
        <w:t>anterior, se debe señalar que, en casos relacionados con violaciones a derechos humanos, el principio de máxima publicidad abarca un espectro mayor sobre información que pudiera actualizar el carácter de reserva o confidencialidad</w:t>
      </w:r>
      <w:r w:rsidR="00F059E2">
        <w:rPr>
          <w:rFonts w:ascii="Palatino Linotype" w:eastAsiaTheme="minorEastAsia" w:hAnsi="Palatino Linotype"/>
          <w:color w:val="000000" w:themeColor="text1"/>
          <w:sz w:val="24"/>
        </w:rPr>
        <w:t>.</w:t>
      </w:r>
    </w:p>
    <w:p w14:paraId="6B2AA8E3" w14:textId="77777777" w:rsidR="00F059E2" w:rsidRDefault="00F059E2" w:rsidP="00F059E2">
      <w:pPr>
        <w:pStyle w:val="Prrafodelista"/>
        <w:tabs>
          <w:tab w:val="left" w:pos="426"/>
        </w:tabs>
        <w:spacing w:before="240" w:after="240" w:line="360" w:lineRule="auto"/>
        <w:ind w:left="0" w:right="51"/>
        <w:jc w:val="both"/>
        <w:rPr>
          <w:rFonts w:ascii="Palatino Linotype" w:eastAsiaTheme="minorEastAsia" w:hAnsi="Palatino Linotype"/>
          <w:color w:val="000000" w:themeColor="text1"/>
          <w:sz w:val="24"/>
        </w:rPr>
      </w:pPr>
    </w:p>
    <w:p w14:paraId="40E0DA42" w14:textId="5E9DFD61" w:rsidR="00F059E2" w:rsidRPr="00F059E2" w:rsidRDefault="00F059E2" w:rsidP="00F059E2">
      <w:pPr>
        <w:pStyle w:val="Prrafodelista"/>
        <w:numPr>
          <w:ilvl w:val="0"/>
          <w:numId w:val="41"/>
        </w:numPr>
        <w:tabs>
          <w:tab w:val="left" w:pos="426"/>
        </w:tabs>
        <w:spacing w:before="240" w:after="240" w:line="360" w:lineRule="auto"/>
        <w:ind w:right="51"/>
        <w:jc w:val="both"/>
        <w:rPr>
          <w:rFonts w:ascii="Palatino Linotype" w:eastAsiaTheme="minorEastAsia" w:hAnsi="Palatino Linotype"/>
          <w:color w:val="000000" w:themeColor="text1"/>
          <w:sz w:val="24"/>
        </w:rPr>
      </w:pPr>
      <w:r>
        <w:rPr>
          <w:rFonts w:ascii="Palatino Linotype" w:eastAsiaTheme="majorEastAsia" w:hAnsi="Palatino Linotype" w:cstheme="majorBidi"/>
          <w:b/>
          <w:sz w:val="24"/>
          <w:szCs w:val="24"/>
          <w:bdr w:val="nil"/>
        </w:rPr>
        <w:t>Conclusión.</w:t>
      </w:r>
    </w:p>
    <w:p w14:paraId="6B90939D" w14:textId="77777777" w:rsidR="00F059E2" w:rsidRPr="00F059E2" w:rsidRDefault="00F059E2" w:rsidP="00F059E2">
      <w:pPr>
        <w:pStyle w:val="Prrafodelista"/>
        <w:tabs>
          <w:tab w:val="left" w:pos="426"/>
        </w:tabs>
        <w:spacing w:before="240" w:after="240" w:line="360" w:lineRule="auto"/>
        <w:ind w:right="51"/>
        <w:jc w:val="both"/>
        <w:rPr>
          <w:rFonts w:ascii="Palatino Linotype" w:eastAsiaTheme="minorEastAsia" w:hAnsi="Palatino Linotype"/>
          <w:color w:val="000000" w:themeColor="text1"/>
          <w:sz w:val="24"/>
        </w:rPr>
      </w:pPr>
    </w:p>
    <w:p w14:paraId="12F7CF71" w14:textId="02158F70" w:rsidR="0027224D" w:rsidRPr="00BA1CF8" w:rsidRDefault="00BA1CF8" w:rsidP="00BA1CF8">
      <w:pPr>
        <w:pStyle w:val="Prrafodelista"/>
        <w:numPr>
          <w:ilvl w:val="0"/>
          <w:numId w:val="9"/>
        </w:numPr>
        <w:tabs>
          <w:tab w:val="left" w:pos="426"/>
        </w:tabs>
        <w:spacing w:before="240" w:after="240" w:line="360" w:lineRule="auto"/>
        <w:ind w:left="0" w:right="51" w:firstLine="0"/>
        <w:jc w:val="both"/>
        <w:rPr>
          <w:rFonts w:ascii="Palatino Linotype" w:eastAsiaTheme="minorEastAsia" w:hAnsi="Palatino Linotype"/>
          <w:color w:val="000000" w:themeColor="text1"/>
          <w:sz w:val="32"/>
        </w:rPr>
      </w:pPr>
      <w:r w:rsidRPr="00BA1CF8">
        <w:rPr>
          <w:rFonts w:ascii="Palatino Linotype" w:hAnsi="Palatino Linotype"/>
          <w:color w:val="000000"/>
          <w:sz w:val="24"/>
          <w:szCs w:val="20"/>
        </w:rPr>
        <w:t xml:space="preserve">Esta Ponencia, </w:t>
      </w:r>
      <w:r>
        <w:rPr>
          <w:rFonts w:ascii="Palatino Linotype" w:hAnsi="Palatino Linotype"/>
          <w:color w:val="000000"/>
          <w:sz w:val="24"/>
          <w:szCs w:val="20"/>
        </w:rPr>
        <w:t>considera</w:t>
      </w:r>
      <w:r w:rsidRPr="00BA1CF8">
        <w:rPr>
          <w:rFonts w:ascii="Palatino Linotype" w:hAnsi="Palatino Linotype"/>
          <w:color w:val="000000"/>
          <w:sz w:val="24"/>
          <w:szCs w:val="20"/>
        </w:rPr>
        <w:t xml:space="preserve"> improcedente la reserva de la información solicitada,  toda vez que en la visita de inspección que dio origen al procedimiento administrativo, el personal adscrito a dicho sujeto obligado se constató que se realizaban actividades que podrían  causar daños o deterioro graves a los recursos naturales, con repercusiones peligrosas para los ecosistemas, por lo que se trata de una cuestión de interés público, al encontrarse implicado un ayuntamiento en carácter de presunto infractor, por tanto si se actualiza una excepción  a la reserva; en virtud de que el derecho a un medio ambiente sano tiene implicaciones transversales con prácticamente todos los derechos consagrados en la Constitución General y en los tratados internacionales y, por lo tanto, se trata de un bien público cuyo disfrute o daños no sólo afectan a una persona, sino a la comunidad en general.</w:t>
      </w:r>
    </w:p>
    <w:p w14:paraId="102C6773" w14:textId="77777777" w:rsidR="00BA1CF8" w:rsidRDefault="00BA1CF8" w:rsidP="00BA1CF8">
      <w:pPr>
        <w:pStyle w:val="Prrafodelista"/>
        <w:tabs>
          <w:tab w:val="left" w:pos="426"/>
        </w:tabs>
        <w:spacing w:before="240" w:after="240" w:line="360" w:lineRule="auto"/>
        <w:ind w:left="0" w:right="51"/>
        <w:jc w:val="both"/>
        <w:rPr>
          <w:rFonts w:ascii="Palatino Linotype" w:eastAsiaTheme="minorEastAsia" w:hAnsi="Palatino Linotype"/>
          <w:color w:val="000000" w:themeColor="text1"/>
          <w:sz w:val="32"/>
        </w:rPr>
      </w:pPr>
    </w:p>
    <w:p w14:paraId="10DB3730" w14:textId="77777777" w:rsidR="00B9713D" w:rsidRPr="00BA1CF8" w:rsidRDefault="00B9713D" w:rsidP="00BA1CF8">
      <w:pPr>
        <w:pStyle w:val="Prrafodelista"/>
        <w:tabs>
          <w:tab w:val="left" w:pos="426"/>
        </w:tabs>
        <w:spacing w:before="240" w:after="240" w:line="360" w:lineRule="auto"/>
        <w:ind w:left="0" w:right="51"/>
        <w:jc w:val="both"/>
        <w:rPr>
          <w:rFonts w:ascii="Palatino Linotype" w:eastAsiaTheme="minorEastAsia" w:hAnsi="Palatino Linotype"/>
          <w:color w:val="000000" w:themeColor="text1"/>
          <w:sz w:val="32"/>
        </w:rPr>
      </w:pPr>
    </w:p>
    <w:p w14:paraId="6DEE69F6" w14:textId="77777777" w:rsidR="00BA1CF8" w:rsidRDefault="00BA1CF8" w:rsidP="00BA1CF8">
      <w:pPr>
        <w:pBdr>
          <w:top w:val="nil"/>
          <w:left w:val="nil"/>
          <w:bottom w:val="nil"/>
          <w:right w:val="nil"/>
          <w:between w:val="nil"/>
          <w:bar w:val="nil"/>
        </w:pBdr>
        <w:spacing w:after="0" w:line="360" w:lineRule="auto"/>
        <w:jc w:val="center"/>
        <w:rPr>
          <w:rFonts w:ascii="Palatino Linotype" w:eastAsia="Arial" w:hAnsi="Palatino Linotype" w:cs="Arial"/>
          <w:b/>
          <w:color w:val="000000" w:themeColor="text1"/>
          <w:sz w:val="24"/>
          <w:szCs w:val="24"/>
          <w:bdr w:val="nil"/>
          <w:lang w:eastAsia="es-MX"/>
        </w:rPr>
      </w:pPr>
      <w:r w:rsidRPr="00BA1CF8">
        <w:rPr>
          <w:rFonts w:ascii="Palatino Linotype" w:eastAsia="Arial" w:hAnsi="Palatino Linotype" w:cs="Arial"/>
          <w:b/>
          <w:color w:val="000000" w:themeColor="text1"/>
          <w:sz w:val="24"/>
          <w:szCs w:val="24"/>
          <w:bdr w:val="nil"/>
          <w:lang w:eastAsia="es-MX"/>
        </w:rPr>
        <w:t>MARÍA DEL ROSARIO MEJÍA AYALA</w:t>
      </w:r>
    </w:p>
    <w:p w14:paraId="5236EB0C" w14:textId="525B1DE9" w:rsidR="00BA1CF8" w:rsidRDefault="00BA1CF8" w:rsidP="00BA1CF8">
      <w:pPr>
        <w:pBdr>
          <w:top w:val="nil"/>
          <w:left w:val="nil"/>
          <w:bottom w:val="nil"/>
          <w:right w:val="nil"/>
          <w:between w:val="nil"/>
          <w:bar w:val="nil"/>
        </w:pBdr>
        <w:spacing w:after="0" w:line="360" w:lineRule="auto"/>
        <w:jc w:val="center"/>
        <w:rPr>
          <w:rFonts w:ascii="Palatino Linotype" w:eastAsia="Arial" w:hAnsi="Palatino Linotype" w:cs="Arial"/>
          <w:b/>
          <w:color w:val="000000" w:themeColor="text1"/>
          <w:sz w:val="24"/>
          <w:szCs w:val="24"/>
          <w:bdr w:val="nil"/>
          <w:lang w:eastAsia="es-MX"/>
        </w:rPr>
      </w:pPr>
      <w:r>
        <w:rPr>
          <w:rFonts w:ascii="Palatino Linotype" w:eastAsia="Arial" w:hAnsi="Palatino Linotype" w:cs="Arial"/>
          <w:b/>
          <w:color w:val="000000" w:themeColor="text1"/>
          <w:sz w:val="24"/>
          <w:szCs w:val="24"/>
          <w:bdr w:val="nil"/>
          <w:lang w:eastAsia="es-MX"/>
        </w:rPr>
        <w:t>COMISIONADA</w:t>
      </w:r>
    </w:p>
    <w:p w14:paraId="44E0F784" w14:textId="77777777" w:rsidR="00B9713D" w:rsidRDefault="00B9713D" w:rsidP="00BA1CF8">
      <w:pPr>
        <w:pBdr>
          <w:top w:val="nil"/>
          <w:left w:val="nil"/>
          <w:bottom w:val="nil"/>
          <w:right w:val="nil"/>
          <w:between w:val="nil"/>
          <w:bar w:val="nil"/>
        </w:pBdr>
        <w:spacing w:after="0" w:line="360" w:lineRule="auto"/>
        <w:jc w:val="center"/>
        <w:rPr>
          <w:rFonts w:ascii="Palatino Linotype" w:eastAsia="Arial" w:hAnsi="Palatino Linotype" w:cs="Arial"/>
          <w:b/>
          <w:color w:val="000000" w:themeColor="text1"/>
          <w:sz w:val="24"/>
          <w:szCs w:val="24"/>
          <w:bdr w:val="nil"/>
          <w:lang w:eastAsia="es-MX"/>
        </w:rPr>
      </w:pPr>
    </w:p>
    <w:p w14:paraId="05845CF2" w14:textId="77777777" w:rsidR="00B9713D" w:rsidRPr="00BA1CF8" w:rsidRDefault="00B9713D" w:rsidP="00BA1CF8">
      <w:pPr>
        <w:pBdr>
          <w:top w:val="nil"/>
          <w:left w:val="nil"/>
          <w:bottom w:val="nil"/>
          <w:right w:val="nil"/>
          <w:between w:val="nil"/>
          <w:bar w:val="nil"/>
        </w:pBdr>
        <w:spacing w:after="0" w:line="360" w:lineRule="auto"/>
        <w:jc w:val="center"/>
        <w:rPr>
          <w:rFonts w:ascii="Palatino Linotype" w:eastAsia="Arial" w:hAnsi="Palatino Linotype" w:cs="Arial"/>
          <w:b/>
          <w:color w:val="000000" w:themeColor="text1"/>
          <w:sz w:val="24"/>
          <w:szCs w:val="24"/>
          <w:bdr w:val="nil"/>
          <w:lang w:eastAsia="es-MX"/>
        </w:rPr>
      </w:pPr>
    </w:p>
    <w:p w14:paraId="26D950BF" w14:textId="25406AD6" w:rsidR="0027224D" w:rsidRPr="008A4B0D" w:rsidRDefault="0027224D" w:rsidP="0027224D">
      <w:pPr>
        <w:pBdr>
          <w:top w:val="nil"/>
          <w:left w:val="nil"/>
          <w:bottom w:val="nil"/>
          <w:right w:val="nil"/>
          <w:between w:val="nil"/>
          <w:bar w:val="nil"/>
        </w:pBdr>
        <w:spacing w:after="0" w:line="360" w:lineRule="auto"/>
        <w:rPr>
          <w:rFonts w:ascii="Palatino Linotype" w:eastAsia="Arial" w:hAnsi="Palatino Linotype" w:cs="Arial"/>
          <w:b/>
          <w:color w:val="000000" w:themeColor="text1"/>
          <w:sz w:val="24"/>
          <w:szCs w:val="24"/>
          <w:bdr w:val="nil"/>
          <w:lang w:eastAsia="es-MX"/>
        </w:rPr>
      </w:pPr>
    </w:p>
    <w:sectPr w:rsidR="0027224D" w:rsidRPr="008A4B0D" w:rsidSect="002A43BC">
      <w:headerReference w:type="even" r:id="rId9"/>
      <w:headerReference w:type="default" r:id="rId10"/>
      <w:footerReference w:type="default" r:id="rId11"/>
      <w:headerReference w:type="first" r:id="rId12"/>
      <w:pgSz w:w="12240" w:h="15840" w:code="1"/>
      <w:pgMar w:top="2268" w:right="1701" w:bottom="226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DCEE4" w14:textId="77777777" w:rsidR="006B56CB" w:rsidRDefault="006B56CB" w:rsidP="002C0425">
      <w:pPr>
        <w:spacing w:after="0" w:line="240" w:lineRule="auto"/>
      </w:pPr>
      <w:r>
        <w:separator/>
      </w:r>
    </w:p>
  </w:endnote>
  <w:endnote w:type="continuationSeparator" w:id="0">
    <w:p w14:paraId="082E3F37" w14:textId="77777777" w:rsidR="006B56CB" w:rsidRDefault="006B56CB" w:rsidP="002C0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3585527"/>
      <w:docPartObj>
        <w:docPartGallery w:val="Page Numbers (Bottom of Page)"/>
        <w:docPartUnique/>
      </w:docPartObj>
    </w:sdtPr>
    <w:sdtContent>
      <w:sdt>
        <w:sdtPr>
          <w:id w:val="-1769616900"/>
          <w:docPartObj>
            <w:docPartGallery w:val="Page Numbers (Top of Page)"/>
            <w:docPartUnique/>
          </w:docPartObj>
        </w:sdtPr>
        <w:sdtContent>
          <w:p w14:paraId="545B0F92" w14:textId="77777777" w:rsidR="0032435A" w:rsidRDefault="0032435A">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762ABB">
              <w:rPr>
                <w:rFonts w:ascii="Palatino Linotype" w:hAnsi="Palatino Linotype"/>
                <w:b/>
                <w:bCs/>
                <w:noProof/>
                <w:sz w:val="20"/>
                <w:szCs w:val="20"/>
              </w:rPr>
              <w:t>27</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762ABB">
              <w:rPr>
                <w:rFonts w:ascii="Palatino Linotype" w:hAnsi="Palatino Linotype"/>
                <w:b/>
                <w:bCs/>
                <w:noProof/>
                <w:sz w:val="20"/>
                <w:szCs w:val="20"/>
              </w:rPr>
              <w:t>27</w:t>
            </w:r>
            <w:r w:rsidRPr="0052203D">
              <w:rPr>
                <w:rFonts w:ascii="Palatino Linotype" w:hAnsi="Palatino Linotype"/>
                <w:b/>
                <w:bCs/>
                <w:sz w:val="20"/>
                <w:szCs w:val="20"/>
              </w:rPr>
              <w:fldChar w:fldCharType="end"/>
            </w:r>
          </w:p>
        </w:sdtContent>
      </w:sdt>
    </w:sdtContent>
  </w:sdt>
  <w:p w14:paraId="447141E2" w14:textId="77777777" w:rsidR="0032435A" w:rsidRDefault="003243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55A47" w14:textId="77777777" w:rsidR="006B56CB" w:rsidRDefault="006B56CB" w:rsidP="002C0425">
      <w:pPr>
        <w:spacing w:after="0" w:line="240" w:lineRule="auto"/>
      </w:pPr>
      <w:r>
        <w:separator/>
      </w:r>
    </w:p>
  </w:footnote>
  <w:footnote w:type="continuationSeparator" w:id="0">
    <w:p w14:paraId="2D3249A4" w14:textId="77777777" w:rsidR="006B56CB" w:rsidRDefault="006B56CB" w:rsidP="002C0425">
      <w:pPr>
        <w:spacing w:after="0" w:line="240" w:lineRule="auto"/>
      </w:pPr>
      <w:r>
        <w:continuationSeparator/>
      </w:r>
    </w:p>
  </w:footnote>
  <w:footnote w:id="1">
    <w:p w14:paraId="58365A34" w14:textId="77777777" w:rsidR="00F23A13" w:rsidRPr="006E0BD9" w:rsidRDefault="00F23A13" w:rsidP="00F23A13">
      <w:pPr>
        <w:pStyle w:val="Textonotapie"/>
        <w:jc w:val="both"/>
        <w:rPr>
          <w:lang w:val="es-ES"/>
        </w:rPr>
      </w:pPr>
      <w:r>
        <w:rPr>
          <w:rStyle w:val="Refdenotaalpie"/>
        </w:rPr>
        <w:footnoteRef/>
      </w:r>
      <w:r>
        <w:t xml:space="preserve"> </w:t>
      </w:r>
      <w:r>
        <w:rPr>
          <w:lang w:val="es-ES"/>
        </w:rPr>
        <w:t>Juzgado Octavo de Distrito en Materia Administrativa en el D.F. Sentencia de 11 de abril de 2014. Pág. 46</w:t>
      </w:r>
    </w:p>
  </w:footnote>
  <w:footnote w:id="2">
    <w:p w14:paraId="382F5C20" w14:textId="77777777" w:rsidR="00F23A13" w:rsidRPr="006E0BD9" w:rsidRDefault="00F23A13" w:rsidP="00F23A13">
      <w:pPr>
        <w:pStyle w:val="Textonotapie"/>
        <w:rPr>
          <w:lang w:val="es-ES"/>
        </w:rPr>
      </w:pPr>
      <w:r>
        <w:rPr>
          <w:rStyle w:val="Refdenotaalpie"/>
        </w:rPr>
        <w:footnoteRef/>
      </w:r>
      <w:r>
        <w:t xml:space="preserve"> </w:t>
      </w:r>
      <w:r>
        <w:rPr>
          <w:lang w:val="es-ES"/>
        </w:rPr>
        <w:t xml:space="preserve">Oficio No. IFAI-0A/XPM/081/2015 disponible en </w:t>
      </w:r>
      <w:r w:rsidRPr="00961B36">
        <w:t>http://www.senado.gob.mx/comisiones/anticorrupcion/docs/transparencia/IFAI1.pdf</w:t>
      </w:r>
      <w:r>
        <w:t xml:space="preserve"> , por no encontrarse disponible la versión pública de la sentencia según página del Consejo de la Judicatura Federal.</w:t>
      </w:r>
    </w:p>
  </w:footnote>
  <w:footnote w:id="3">
    <w:p w14:paraId="56E388C4" w14:textId="77777777" w:rsidR="00153FFE" w:rsidRDefault="00153FFE" w:rsidP="00153FFE">
      <w:pPr>
        <w:pStyle w:val="Textonotapie"/>
        <w:jc w:val="both"/>
      </w:pPr>
      <w:r>
        <w:rPr>
          <w:rStyle w:val="Refdenotaalpie"/>
        </w:rPr>
        <w:footnoteRef/>
      </w:r>
      <w:r>
        <w:t xml:space="preserve"> Observación General N° 36 sobre el artículo 6 del Pacto Internacional de Derechos Civiles y Políticos, relativos al derecho a la vida, párrafo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ACF4" w14:textId="77777777" w:rsidR="0032435A" w:rsidRDefault="00000000">
    <w:pPr>
      <w:pStyle w:val="Encabezado"/>
    </w:pPr>
    <w:r>
      <w:rPr>
        <w:noProof/>
        <w:lang w:val="en-US"/>
      </w:rPr>
      <w:pict w14:anchorId="273AB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4" o:spid="_x0000_s1026" type="#_x0000_t136" style="position:absolute;margin-left:0;margin-top:0;width:538.05pt;height:84.95pt;rotation:315;z-index:-251656192;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67C83" w14:textId="76C4384C" w:rsidR="0032435A" w:rsidRDefault="0027224D">
    <w:pPr>
      <w:pStyle w:val="Encabezado"/>
    </w:pPr>
    <w:r>
      <w:rPr>
        <w:noProof/>
        <w:lang w:eastAsia="es-MX"/>
      </w:rPr>
      <w:drawing>
        <wp:anchor distT="0" distB="0" distL="114300" distR="114300" simplePos="0" relativeHeight="251662336" behindDoc="1" locked="0" layoutInCell="1" allowOverlap="1" wp14:anchorId="1FE8B2BA" wp14:editId="67544DAF">
          <wp:simplePos x="0" y="0"/>
          <wp:positionH relativeFrom="column">
            <wp:posOffset>-557473</wp:posOffset>
          </wp:positionH>
          <wp:positionV relativeFrom="paragraph">
            <wp:posOffset>-81981</wp:posOffset>
          </wp:positionV>
          <wp:extent cx="1591293" cy="935647"/>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7970" t="33724" r="60240" b="53952"/>
                  <a:stretch/>
                </pic:blipFill>
                <pic:spPr bwMode="auto">
                  <a:xfrm>
                    <a:off x="0" y="0"/>
                    <a:ext cx="1591293" cy="9356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rPr>
        <w:noProof/>
        <w:lang w:val="en-US"/>
      </w:rPr>
      <w:pict w14:anchorId="130B22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5" o:spid="_x0000_s1027" type="#_x0000_t136" style="position:absolute;margin-left:0;margin-top:0;width:538.05pt;height:84.9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4CD3675C" w14:textId="77777777" w:rsidR="0032435A" w:rsidRDefault="0032435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02057" w14:textId="77777777" w:rsidR="0032435A" w:rsidRDefault="00000000">
    <w:pPr>
      <w:pStyle w:val="Encabezado"/>
    </w:pPr>
    <w:r>
      <w:rPr>
        <w:noProof/>
        <w:lang w:val="en-US"/>
      </w:rPr>
      <w:pict w14:anchorId="2D489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3" o:spid="_x0000_s1025" type="#_x0000_t136" style="position:absolute;margin-left:0;margin-top:0;width:538.05pt;height:84.95pt;rotation:315;z-index:-251657216;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DFB"/>
    <w:multiLevelType w:val="hybridMultilevel"/>
    <w:tmpl w:val="5C2EE6B6"/>
    <w:lvl w:ilvl="0" w:tplc="679EA47A">
      <w:start w:val="1"/>
      <w:numFmt w:val="lowerLetter"/>
      <w:lvlText w:val="%1)"/>
      <w:lvlJc w:val="left"/>
      <w:pPr>
        <w:ind w:left="927" w:hanging="360"/>
      </w:pPr>
      <w:rPr>
        <w:rFonts w:cs="Times New Roman"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1956DB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4B1A73"/>
    <w:multiLevelType w:val="hybridMultilevel"/>
    <w:tmpl w:val="6E80842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85D08D2"/>
    <w:multiLevelType w:val="hybridMultilevel"/>
    <w:tmpl w:val="6EF2AE00"/>
    <w:lvl w:ilvl="0" w:tplc="6616D4C6">
      <w:start w:val="1"/>
      <w:numFmt w:val="lowerLetter"/>
      <w:lvlText w:val="%1)"/>
      <w:lvlJc w:val="left"/>
      <w:pPr>
        <w:ind w:left="720" w:hanging="360"/>
      </w:pPr>
      <w:rPr>
        <w:rFonts w:eastAsia="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9006A9"/>
    <w:multiLevelType w:val="multilevel"/>
    <w:tmpl w:val="9F064572"/>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C81620"/>
    <w:multiLevelType w:val="hybridMultilevel"/>
    <w:tmpl w:val="62F6F100"/>
    <w:lvl w:ilvl="0" w:tplc="257C80E4">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C722D3"/>
    <w:multiLevelType w:val="hybridMultilevel"/>
    <w:tmpl w:val="785A8D0E"/>
    <w:lvl w:ilvl="0" w:tplc="F8E4E530">
      <w:start w:val="1"/>
      <w:numFmt w:val="upperRoman"/>
      <w:lvlText w:val="%1."/>
      <w:lvlJc w:val="left"/>
      <w:pPr>
        <w:ind w:left="1080" w:hanging="720"/>
      </w:pPr>
      <w:rPr>
        <w:rFonts w:ascii="Palatino Linotype" w:hAnsi="Palatino Linotype" w:hint="default"/>
        <w:b/>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084F3C"/>
    <w:multiLevelType w:val="hybridMultilevel"/>
    <w:tmpl w:val="B7E2DC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9E19F6"/>
    <w:multiLevelType w:val="hybridMultilevel"/>
    <w:tmpl w:val="FB7A435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7D0697"/>
    <w:multiLevelType w:val="hybridMultilevel"/>
    <w:tmpl w:val="ABB48A1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5E2F0D"/>
    <w:multiLevelType w:val="hybridMultilevel"/>
    <w:tmpl w:val="F214B2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C640A2"/>
    <w:multiLevelType w:val="hybridMultilevel"/>
    <w:tmpl w:val="A42007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927D1D"/>
    <w:multiLevelType w:val="hybridMultilevel"/>
    <w:tmpl w:val="1624CFD4"/>
    <w:lvl w:ilvl="0" w:tplc="7C0A19C8">
      <w:start w:val="10"/>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394FD6"/>
    <w:multiLevelType w:val="hybridMultilevel"/>
    <w:tmpl w:val="2466A44E"/>
    <w:lvl w:ilvl="0" w:tplc="0C0A000B">
      <w:start w:val="1"/>
      <w:numFmt w:val="bullet"/>
      <w:lvlText w:val=""/>
      <w:lvlJc w:val="left"/>
      <w:pPr>
        <w:ind w:left="1571" w:hanging="360"/>
      </w:pPr>
      <w:rPr>
        <w:rFonts w:ascii="Wingdings" w:hAnsi="Wingdings"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4" w15:restartNumberingAfterBreak="0">
    <w:nsid w:val="34317490"/>
    <w:multiLevelType w:val="hybridMultilevel"/>
    <w:tmpl w:val="345634BA"/>
    <w:lvl w:ilvl="0" w:tplc="50A2BCFA">
      <w:start w:val="1"/>
      <w:numFmt w:val="decimal"/>
      <w:lvlText w:val="%1."/>
      <w:lvlJc w:val="left"/>
      <w:pPr>
        <w:ind w:left="5039"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3DC64492">
      <w:start w:val="5"/>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866BDB"/>
    <w:multiLevelType w:val="hybridMultilevel"/>
    <w:tmpl w:val="EE84DF4E"/>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6" w15:restartNumberingAfterBreak="0">
    <w:nsid w:val="382533DB"/>
    <w:multiLevelType w:val="hybridMultilevel"/>
    <w:tmpl w:val="345648DA"/>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1066BC"/>
    <w:multiLevelType w:val="hybridMultilevel"/>
    <w:tmpl w:val="0B2881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4D01F0"/>
    <w:multiLevelType w:val="hybridMultilevel"/>
    <w:tmpl w:val="20A010AE"/>
    <w:lvl w:ilvl="0" w:tplc="47F8579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9" w15:restartNumberingAfterBreak="0">
    <w:nsid w:val="461E2469"/>
    <w:multiLevelType w:val="hybridMultilevel"/>
    <w:tmpl w:val="DC1A73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8C61492"/>
    <w:multiLevelType w:val="hybridMultilevel"/>
    <w:tmpl w:val="CAD01DB2"/>
    <w:lvl w:ilvl="0" w:tplc="B726CFFE">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85231C"/>
    <w:multiLevelType w:val="hybridMultilevel"/>
    <w:tmpl w:val="2AA8E968"/>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3" w15:restartNumberingAfterBreak="0">
    <w:nsid w:val="4BCC06D5"/>
    <w:multiLevelType w:val="hybridMultilevel"/>
    <w:tmpl w:val="908CB0D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F217121"/>
    <w:multiLevelType w:val="hybridMultilevel"/>
    <w:tmpl w:val="92C63A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F345604"/>
    <w:multiLevelType w:val="hybridMultilevel"/>
    <w:tmpl w:val="4C665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1D35B30"/>
    <w:multiLevelType w:val="hybridMultilevel"/>
    <w:tmpl w:val="7646CFA6"/>
    <w:lvl w:ilvl="0" w:tplc="8DDCC7AA">
      <w:start w:val="43"/>
      <w:numFmt w:val="decimal"/>
      <w:lvlText w:val="%1."/>
      <w:lvlJc w:val="left"/>
      <w:pPr>
        <w:ind w:left="720" w:hanging="360"/>
      </w:pPr>
      <w:rPr>
        <w:rFonts w:hint="default"/>
        <w:b/>
      </w:rPr>
    </w:lvl>
    <w:lvl w:ilvl="1" w:tplc="04090019">
      <w:start w:val="1"/>
      <w:numFmt w:val="lowerLetter"/>
      <w:lvlText w:val="%2."/>
      <w:lvlJc w:val="left"/>
      <w:pPr>
        <w:ind w:left="2487"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44432D"/>
    <w:multiLevelType w:val="hybridMultilevel"/>
    <w:tmpl w:val="8EC6E7A6"/>
    <w:lvl w:ilvl="0" w:tplc="50A2BCFA">
      <w:start w:val="1"/>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7202FA"/>
    <w:multiLevelType w:val="hybridMultilevel"/>
    <w:tmpl w:val="5DF84F14"/>
    <w:lvl w:ilvl="0" w:tplc="314C95F2">
      <w:start w:val="1"/>
      <w:numFmt w:val="decimal"/>
      <w:lvlText w:val="%1."/>
      <w:lvlJc w:val="left"/>
      <w:pPr>
        <w:ind w:left="36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ECF6A33"/>
    <w:multiLevelType w:val="multilevel"/>
    <w:tmpl w:val="EAA44480"/>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F4779B8"/>
    <w:multiLevelType w:val="hybridMultilevel"/>
    <w:tmpl w:val="D3CE14A0"/>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626D3CD1"/>
    <w:multiLevelType w:val="hybridMultilevel"/>
    <w:tmpl w:val="9BCA3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3102028"/>
    <w:multiLevelType w:val="hybridMultilevel"/>
    <w:tmpl w:val="F41680FE"/>
    <w:lvl w:ilvl="0" w:tplc="25CEB2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40A1793"/>
    <w:multiLevelType w:val="hybridMultilevel"/>
    <w:tmpl w:val="9920C8D2"/>
    <w:lvl w:ilvl="0" w:tplc="C666EAAC">
      <w:start w:val="4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FD5512"/>
    <w:multiLevelType w:val="hybridMultilevel"/>
    <w:tmpl w:val="51C43D86"/>
    <w:lvl w:ilvl="0" w:tplc="E9585996">
      <w:start w:val="1"/>
      <w:numFmt w:val="low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678D4FB1"/>
    <w:multiLevelType w:val="hybridMultilevel"/>
    <w:tmpl w:val="0A0CCE9C"/>
    <w:lvl w:ilvl="0" w:tplc="50A2BCFA">
      <w:start w:val="1"/>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7B25E4A"/>
    <w:multiLevelType w:val="hybridMultilevel"/>
    <w:tmpl w:val="AC220B64"/>
    <w:lvl w:ilvl="0" w:tplc="6256DBB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CE2514"/>
    <w:multiLevelType w:val="hybridMultilevel"/>
    <w:tmpl w:val="44886E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CEF5123"/>
    <w:multiLevelType w:val="hybridMultilevel"/>
    <w:tmpl w:val="C2FCD63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62E249B"/>
    <w:multiLevelType w:val="hybridMultilevel"/>
    <w:tmpl w:val="B7E2DC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8E82A9B"/>
    <w:multiLevelType w:val="hybridMultilevel"/>
    <w:tmpl w:val="D53637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5200344">
    <w:abstractNumId w:val="28"/>
  </w:num>
  <w:num w:numId="2" w16cid:durableId="1761368022">
    <w:abstractNumId w:val="40"/>
  </w:num>
  <w:num w:numId="3" w16cid:durableId="1226529171">
    <w:abstractNumId w:val="0"/>
  </w:num>
  <w:num w:numId="4" w16cid:durableId="271136087">
    <w:abstractNumId w:val="10"/>
  </w:num>
  <w:num w:numId="5" w16cid:durableId="1495998498">
    <w:abstractNumId w:val="29"/>
  </w:num>
  <w:num w:numId="6" w16cid:durableId="1351760043">
    <w:abstractNumId w:val="22"/>
  </w:num>
  <w:num w:numId="7" w16cid:durableId="915894060">
    <w:abstractNumId w:val="18"/>
  </w:num>
  <w:num w:numId="8" w16cid:durableId="1316295103">
    <w:abstractNumId w:val="1"/>
  </w:num>
  <w:num w:numId="9" w16cid:durableId="495149492">
    <w:abstractNumId w:val="14"/>
  </w:num>
  <w:num w:numId="10" w16cid:durableId="841434155">
    <w:abstractNumId w:val="8"/>
  </w:num>
  <w:num w:numId="11" w16cid:durableId="35668161">
    <w:abstractNumId w:val="31"/>
  </w:num>
  <w:num w:numId="12" w16cid:durableId="597714477">
    <w:abstractNumId w:val="5"/>
  </w:num>
  <w:num w:numId="13" w16cid:durableId="864950854">
    <w:abstractNumId w:val="20"/>
  </w:num>
  <w:num w:numId="14" w16cid:durableId="36584802">
    <w:abstractNumId w:val="15"/>
  </w:num>
  <w:num w:numId="15" w16cid:durableId="1634941875">
    <w:abstractNumId w:val="41"/>
  </w:num>
  <w:num w:numId="16" w16cid:durableId="1282372052">
    <w:abstractNumId w:val="7"/>
  </w:num>
  <w:num w:numId="17" w16cid:durableId="1623152505">
    <w:abstractNumId w:val="9"/>
  </w:num>
  <w:num w:numId="18" w16cid:durableId="1489832616">
    <w:abstractNumId w:val="42"/>
  </w:num>
  <w:num w:numId="19" w16cid:durableId="1669359307">
    <w:abstractNumId w:val="37"/>
  </w:num>
  <w:num w:numId="20" w16cid:durableId="596016347">
    <w:abstractNumId w:val="33"/>
  </w:num>
  <w:num w:numId="21" w16cid:durableId="671226529">
    <w:abstractNumId w:val="11"/>
  </w:num>
  <w:num w:numId="22" w16cid:durableId="1024592906">
    <w:abstractNumId w:val="16"/>
  </w:num>
  <w:num w:numId="23" w16cid:durableId="1363744908">
    <w:abstractNumId w:val="30"/>
  </w:num>
  <w:num w:numId="24" w16cid:durableId="1244026061">
    <w:abstractNumId w:val="21"/>
  </w:num>
  <w:num w:numId="25" w16cid:durableId="834298674">
    <w:abstractNumId w:val="36"/>
  </w:num>
  <w:num w:numId="26" w16cid:durableId="789931234">
    <w:abstractNumId w:val="27"/>
  </w:num>
  <w:num w:numId="27" w16cid:durableId="43911650">
    <w:abstractNumId w:val="3"/>
  </w:num>
  <w:num w:numId="28" w16cid:durableId="1900749849">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4692389">
    <w:abstractNumId w:val="12"/>
  </w:num>
  <w:num w:numId="30" w16cid:durableId="103617800">
    <w:abstractNumId w:val="6"/>
  </w:num>
  <w:num w:numId="31" w16cid:durableId="890267280">
    <w:abstractNumId w:val="2"/>
  </w:num>
  <w:num w:numId="32" w16cid:durableId="1985894422">
    <w:abstractNumId w:val="39"/>
  </w:num>
  <w:num w:numId="33" w16cid:durableId="1311640083">
    <w:abstractNumId w:val="34"/>
  </w:num>
  <w:num w:numId="34" w16cid:durableId="667708541">
    <w:abstractNumId w:val="26"/>
  </w:num>
  <w:num w:numId="35" w16cid:durableId="1883862753">
    <w:abstractNumId w:val="17"/>
  </w:num>
  <w:num w:numId="36" w16cid:durableId="1610090630">
    <w:abstractNumId w:val="23"/>
  </w:num>
  <w:num w:numId="37" w16cid:durableId="20781649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41865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99510662">
    <w:abstractNumId w:val="25"/>
  </w:num>
  <w:num w:numId="40" w16cid:durableId="300699978">
    <w:abstractNumId w:val="13"/>
  </w:num>
  <w:num w:numId="41" w16cid:durableId="1727291989">
    <w:abstractNumId w:val="19"/>
  </w:num>
  <w:num w:numId="42" w16cid:durableId="1331101835">
    <w:abstractNumId w:val="38"/>
  </w:num>
  <w:num w:numId="43" w16cid:durableId="1599212507">
    <w:abstractNumId w:val="24"/>
  </w:num>
  <w:num w:numId="44" w16cid:durableId="3370771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425"/>
    <w:rsid w:val="000150BA"/>
    <w:rsid w:val="00032496"/>
    <w:rsid w:val="00036132"/>
    <w:rsid w:val="0007183B"/>
    <w:rsid w:val="00083BF4"/>
    <w:rsid w:val="00091FA7"/>
    <w:rsid w:val="000A29FD"/>
    <w:rsid w:val="000B2316"/>
    <w:rsid w:val="000B62AC"/>
    <w:rsid w:val="000C3F66"/>
    <w:rsid w:val="000D2CB7"/>
    <w:rsid w:val="000D3249"/>
    <w:rsid w:val="000F1716"/>
    <w:rsid w:val="00100221"/>
    <w:rsid w:val="001132CB"/>
    <w:rsid w:val="00117A12"/>
    <w:rsid w:val="00122EB1"/>
    <w:rsid w:val="00141B6E"/>
    <w:rsid w:val="00147149"/>
    <w:rsid w:val="00152DB2"/>
    <w:rsid w:val="00153FFE"/>
    <w:rsid w:val="001701E1"/>
    <w:rsid w:val="00180BFE"/>
    <w:rsid w:val="00196054"/>
    <w:rsid w:val="001A1ECB"/>
    <w:rsid w:val="001B2FE3"/>
    <w:rsid w:val="001B6D73"/>
    <w:rsid w:val="001C4337"/>
    <w:rsid w:val="001E1ABF"/>
    <w:rsid w:val="001F18DA"/>
    <w:rsid w:val="00207CD1"/>
    <w:rsid w:val="00213603"/>
    <w:rsid w:val="00215DCF"/>
    <w:rsid w:val="00230453"/>
    <w:rsid w:val="002307C0"/>
    <w:rsid w:val="0023130B"/>
    <w:rsid w:val="0023170E"/>
    <w:rsid w:val="00235B62"/>
    <w:rsid w:val="00240D99"/>
    <w:rsid w:val="00245795"/>
    <w:rsid w:val="00250780"/>
    <w:rsid w:val="002529B2"/>
    <w:rsid w:val="00253D8C"/>
    <w:rsid w:val="00262FC1"/>
    <w:rsid w:val="0026420F"/>
    <w:rsid w:val="00265603"/>
    <w:rsid w:val="00265760"/>
    <w:rsid w:val="0027224D"/>
    <w:rsid w:val="0027773D"/>
    <w:rsid w:val="00277FA3"/>
    <w:rsid w:val="0029152A"/>
    <w:rsid w:val="002A30A3"/>
    <w:rsid w:val="002A43BC"/>
    <w:rsid w:val="002B000F"/>
    <w:rsid w:val="002B2DB8"/>
    <w:rsid w:val="002C0425"/>
    <w:rsid w:val="002E2EBD"/>
    <w:rsid w:val="00311B32"/>
    <w:rsid w:val="0032435A"/>
    <w:rsid w:val="00325F46"/>
    <w:rsid w:val="00337AD2"/>
    <w:rsid w:val="003442F0"/>
    <w:rsid w:val="0034598D"/>
    <w:rsid w:val="003603BF"/>
    <w:rsid w:val="00390F94"/>
    <w:rsid w:val="0039183C"/>
    <w:rsid w:val="00392B10"/>
    <w:rsid w:val="0039495E"/>
    <w:rsid w:val="003B0954"/>
    <w:rsid w:val="003B34A8"/>
    <w:rsid w:val="003C2BF0"/>
    <w:rsid w:val="003C37C1"/>
    <w:rsid w:val="003C6C75"/>
    <w:rsid w:val="003F100C"/>
    <w:rsid w:val="003F5F80"/>
    <w:rsid w:val="00401D61"/>
    <w:rsid w:val="00406B19"/>
    <w:rsid w:val="00422657"/>
    <w:rsid w:val="004240AA"/>
    <w:rsid w:val="0042787B"/>
    <w:rsid w:val="0043259F"/>
    <w:rsid w:val="0044193D"/>
    <w:rsid w:val="00442AA9"/>
    <w:rsid w:val="00465268"/>
    <w:rsid w:val="00466E0E"/>
    <w:rsid w:val="00490E5C"/>
    <w:rsid w:val="00494A1F"/>
    <w:rsid w:val="004971E6"/>
    <w:rsid w:val="004B4437"/>
    <w:rsid w:val="004B46C5"/>
    <w:rsid w:val="004E6086"/>
    <w:rsid w:val="004E63BF"/>
    <w:rsid w:val="004F2CF5"/>
    <w:rsid w:val="004F39B9"/>
    <w:rsid w:val="004F7A40"/>
    <w:rsid w:val="005001CF"/>
    <w:rsid w:val="005002AA"/>
    <w:rsid w:val="00502CAF"/>
    <w:rsid w:val="00511AA1"/>
    <w:rsid w:val="00512D09"/>
    <w:rsid w:val="005224AF"/>
    <w:rsid w:val="00551216"/>
    <w:rsid w:val="005644FF"/>
    <w:rsid w:val="00587D1C"/>
    <w:rsid w:val="00593CC1"/>
    <w:rsid w:val="00597F9A"/>
    <w:rsid w:val="005B0502"/>
    <w:rsid w:val="005C6624"/>
    <w:rsid w:val="005C7AE6"/>
    <w:rsid w:val="005E61A6"/>
    <w:rsid w:val="005F796F"/>
    <w:rsid w:val="0060449E"/>
    <w:rsid w:val="0061369A"/>
    <w:rsid w:val="00617133"/>
    <w:rsid w:val="00621A70"/>
    <w:rsid w:val="00623067"/>
    <w:rsid w:val="00623C8D"/>
    <w:rsid w:val="00624117"/>
    <w:rsid w:val="00631B6E"/>
    <w:rsid w:val="00697BAB"/>
    <w:rsid w:val="006A4123"/>
    <w:rsid w:val="006A5D29"/>
    <w:rsid w:val="006B4F3E"/>
    <w:rsid w:val="006B56CB"/>
    <w:rsid w:val="006C7FD3"/>
    <w:rsid w:val="006E10FC"/>
    <w:rsid w:val="006E6998"/>
    <w:rsid w:val="006F47DC"/>
    <w:rsid w:val="00703237"/>
    <w:rsid w:val="00731C1B"/>
    <w:rsid w:val="007357CE"/>
    <w:rsid w:val="0074075A"/>
    <w:rsid w:val="00742484"/>
    <w:rsid w:val="00756CB0"/>
    <w:rsid w:val="00760A8B"/>
    <w:rsid w:val="00760EFD"/>
    <w:rsid w:val="00762ABB"/>
    <w:rsid w:val="00773410"/>
    <w:rsid w:val="007813AE"/>
    <w:rsid w:val="00781609"/>
    <w:rsid w:val="0078362A"/>
    <w:rsid w:val="007846D2"/>
    <w:rsid w:val="00792890"/>
    <w:rsid w:val="007B5DDB"/>
    <w:rsid w:val="007B7418"/>
    <w:rsid w:val="007F2468"/>
    <w:rsid w:val="007F4F75"/>
    <w:rsid w:val="007F7136"/>
    <w:rsid w:val="00802AAE"/>
    <w:rsid w:val="0082021B"/>
    <w:rsid w:val="008317DA"/>
    <w:rsid w:val="0083752B"/>
    <w:rsid w:val="008421EE"/>
    <w:rsid w:val="00860F51"/>
    <w:rsid w:val="0087228E"/>
    <w:rsid w:val="0088136D"/>
    <w:rsid w:val="00881525"/>
    <w:rsid w:val="00883783"/>
    <w:rsid w:val="008855B5"/>
    <w:rsid w:val="008957BF"/>
    <w:rsid w:val="00895986"/>
    <w:rsid w:val="008A4B0D"/>
    <w:rsid w:val="008B5ABE"/>
    <w:rsid w:val="008C5C3F"/>
    <w:rsid w:val="008D0A77"/>
    <w:rsid w:val="008D7542"/>
    <w:rsid w:val="008F46AE"/>
    <w:rsid w:val="0090113F"/>
    <w:rsid w:val="0090379C"/>
    <w:rsid w:val="00910ECF"/>
    <w:rsid w:val="0091171B"/>
    <w:rsid w:val="0091259D"/>
    <w:rsid w:val="00930D24"/>
    <w:rsid w:val="00935E48"/>
    <w:rsid w:val="00941C31"/>
    <w:rsid w:val="00942EE7"/>
    <w:rsid w:val="00956804"/>
    <w:rsid w:val="00956E2E"/>
    <w:rsid w:val="00957415"/>
    <w:rsid w:val="00964C1E"/>
    <w:rsid w:val="009655F8"/>
    <w:rsid w:val="00971074"/>
    <w:rsid w:val="009773F9"/>
    <w:rsid w:val="00986004"/>
    <w:rsid w:val="009956CF"/>
    <w:rsid w:val="0099743B"/>
    <w:rsid w:val="009B57E6"/>
    <w:rsid w:val="009C3593"/>
    <w:rsid w:val="009C5F99"/>
    <w:rsid w:val="009E5370"/>
    <w:rsid w:val="009F0A19"/>
    <w:rsid w:val="009F0BC5"/>
    <w:rsid w:val="00A00825"/>
    <w:rsid w:val="00A045DD"/>
    <w:rsid w:val="00A25541"/>
    <w:rsid w:val="00A3574A"/>
    <w:rsid w:val="00A472F8"/>
    <w:rsid w:val="00AA2CEC"/>
    <w:rsid w:val="00AC21D4"/>
    <w:rsid w:val="00AD1A27"/>
    <w:rsid w:val="00AF53C4"/>
    <w:rsid w:val="00AF7025"/>
    <w:rsid w:val="00B00D57"/>
    <w:rsid w:val="00B0630B"/>
    <w:rsid w:val="00B0746B"/>
    <w:rsid w:val="00B14249"/>
    <w:rsid w:val="00B142A9"/>
    <w:rsid w:val="00B40903"/>
    <w:rsid w:val="00B623D1"/>
    <w:rsid w:val="00B706FA"/>
    <w:rsid w:val="00B83597"/>
    <w:rsid w:val="00B90ADC"/>
    <w:rsid w:val="00B9713D"/>
    <w:rsid w:val="00BA1CF8"/>
    <w:rsid w:val="00BA2B5D"/>
    <w:rsid w:val="00BA448C"/>
    <w:rsid w:val="00BB518F"/>
    <w:rsid w:val="00BC08D2"/>
    <w:rsid w:val="00BC4265"/>
    <w:rsid w:val="00BC78C8"/>
    <w:rsid w:val="00C2473C"/>
    <w:rsid w:val="00C30C8A"/>
    <w:rsid w:val="00C451F4"/>
    <w:rsid w:val="00C62100"/>
    <w:rsid w:val="00C70C3A"/>
    <w:rsid w:val="00C72F11"/>
    <w:rsid w:val="00C77E23"/>
    <w:rsid w:val="00C849E8"/>
    <w:rsid w:val="00C86B5D"/>
    <w:rsid w:val="00C92C05"/>
    <w:rsid w:val="00C93048"/>
    <w:rsid w:val="00CA6E2D"/>
    <w:rsid w:val="00CB2960"/>
    <w:rsid w:val="00CB3363"/>
    <w:rsid w:val="00CC2672"/>
    <w:rsid w:val="00CD2100"/>
    <w:rsid w:val="00CD5C84"/>
    <w:rsid w:val="00CF197B"/>
    <w:rsid w:val="00D05906"/>
    <w:rsid w:val="00D12B23"/>
    <w:rsid w:val="00D2011B"/>
    <w:rsid w:val="00D205C5"/>
    <w:rsid w:val="00D55CB7"/>
    <w:rsid w:val="00D573A8"/>
    <w:rsid w:val="00D61A44"/>
    <w:rsid w:val="00D835C9"/>
    <w:rsid w:val="00D87FCD"/>
    <w:rsid w:val="00D97982"/>
    <w:rsid w:val="00DB7F8E"/>
    <w:rsid w:val="00DF44D7"/>
    <w:rsid w:val="00E1200C"/>
    <w:rsid w:val="00E427C6"/>
    <w:rsid w:val="00E42F7C"/>
    <w:rsid w:val="00E42F9C"/>
    <w:rsid w:val="00E5597A"/>
    <w:rsid w:val="00E579FB"/>
    <w:rsid w:val="00E62187"/>
    <w:rsid w:val="00E65FC8"/>
    <w:rsid w:val="00E6742A"/>
    <w:rsid w:val="00E97758"/>
    <w:rsid w:val="00EB177C"/>
    <w:rsid w:val="00EC1AD4"/>
    <w:rsid w:val="00ED65F6"/>
    <w:rsid w:val="00EE19CA"/>
    <w:rsid w:val="00EE29A1"/>
    <w:rsid w:val="00EE639D"/>
    <w:rsid w:val="00F059E2"/>
    <w:rsid w:val="00F173E3"/>
    <w:rsid w:val="00F23A13"/>
    <w:rsid w:val="00F26763"/>
    <w:rsid w:val="00F46F66"/>
    <w:rsid w:val="00F579CF"/>
    <w:rsid w:val="00F644D1"/>
    <w:rsid w:val="00F74857"/>
    <w:rsid w:val="00F819D6"/>
    <w:rsid w:val="00FA7EDC"/>
    <w:rsid w:val="00FB13AE"/>
    <w:rsid w:val="00FB5CBE"/>
    <w:rsid w:val="00FC740C"/>
    <w:rsid w:val="00FD52E0"/>
    <w:rsid w:val="00FE301B"/>
    <w:rsid w:val="00FF02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8A795"/>
  <w15:chartTrackingRefBased/>
  <w15:docId w15:val="{477FA421-1A48-4403-84D1-BA7738AF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F99"/>
  </w:style>
  <w:style w:type="paragraph" w:styleId="Ttulo1">
    <w:name w:val="heading 1"/>
    <w:basedOn w:val="Normal"/>
    <w:next w:val="Normal"/>
    <w:link w:val="Ttulo1Car"/>
    <w:uiPriority w:val="9"/>
    <w:qFormat/>
    <w:rsid w:val="00CD5C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C042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C0425"/>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f,Ref,de nota al pie,註腳內容"/>
    <w:basedOn w:val="Fuentedeprrafopredeter"/>
    <w:unhideWhenUsed/>
    <w:qFormat/>
    <w:rsid w:val="002C0425"/>
    <w:rPr>
      <w:vertAlign w:val="superscript"/>
    </w:rPr>
  </w:style>
  <w:style w:type="paragraph" w:styleId="Piedepgina">
    <w:name w:val="footer"/>
    <w:basedOn w:val="Normal"/>
    <w:link w:val="PiedepginaCar"/>
    <w:uiPriority w:val="99"/>
    <w:unhideWhenUsed/>
    <w:rsid w:val="002C0425"/>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2C0425"/>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2C0425"/>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2C0425"/>
    <w:rPr>
      <w:rFonts w:ascii="Times New Roman" w:eastAsia="Arial Unicode MS" w:hAnsi="Times New Roman" w:cs="Times New Roman"/>
      <w:sz w:val="24"/>
      <w:szCs w:val="24"/>
      <w:bdr w:val="ni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32496"/>
    <w:pPr>
      <w:ind w:left="720"/>
      <w:contextualSpacing/>
    </w:pPr>
  </w:style>
  <w:style w:type="paragraph" w:styleId="TDC1">
    <w:name w:val="toc 1"/>
    <w:basedOn w:val="Normal"/>
    <w:next w:val="Normal"/>
    <w:autoRedefine/>
    <w:uiPriority w:val="39"/>
    <w:unhideWhenUsed/>
    <w:rsid w:val="0034598D"/>
    <w:pPr>
      <w:tabs>
        <w:tab w:val="left" w:pos="440"/>
        <w:tab w:val="right" w:leader="dot" w:pos="8828"/>
      </w:tabs>
      <w:spacing w:after="0" w:line="360" w:lineRule="auto"/>
    </w:pPr>
  </w:style>
  <w:style w:type="paragraph" w:styleId="TDC2">
    <w:name w:val="toc 2"/>
    <w:basedOn w:val="Normal"/>
    <w:next w:val="Normal"/>
    <w:autoRedefine/>
    <w:uiPriority w:val="39"/>
    <w:unhideWhenUsed/>
    <w:rsid w:val="006E10FC"/>
    <w:pPr>
      <w:tabs>
        <w:tab w:val="left" w:pos="567"/>
        <w:tab w:val="right" w:leader="dot" w:pos="8828"/>
      </w:tabs>
      <w:spacing w:after="100"/>
    </w:pPr>
  </w:style>
  <w:style w:type="paragraph" w:styleId="TDC3">
    <w:name w:val="toc 3"/>
    <w:basedOn w:val="Normal"/>
    <w:next w:val="Normal"/>
    <w:autoRedefine/>
    <w:uiPriority w:val="39"/>
    <w:unhideWhenUsed/>
    <w:rsid w:val="00311B32"/>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rsid w:val="00311B32"/>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3170E"/>
  </w:style>
  <w:style w:type="paragraph" w:styleId="Sinespaciado">
    <w:name w:val="No Spacing"/>
    <w:uiPriority w:val="1"/>
    <w:qFormat/>
    <w:rsid w:val="000150BA"/>
    <w:pPr>
      <w:spacing w:after="0" w:line="240" w:lineRule="auto"/>
    </w:pPr>
  </w:style>
  <w:style w:type="paragraph" w:styleId="Textodeglobo">
    <w:name w:val="Balloon Text"/>
    <w:basedOn w:val="Normal"/>
    <w:link w:val="TextodegloboCar"/>
    <w:uiPriority w:val="99"/>
    <w:semiHidden/>
    <w:unhideWhenUsed/>
    <w:rsid w:val="000150B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50BA"/>
    <w:rPr>
      <w:rFonts w:ascii="Segoe UI" w:hAnsi="Segoe UI" w:cs="Segoe UI"/>
      <w:sz w:val="18"/>
      <w:szCs w:val="18"/>
    </w:rPr>
  </w:style>
  <w:style w:type="paragraph" w:styleId="NormalWeb">
    <w:name w:val="Normal (Web)"/>
    <w:basedOn w:val="Normal"/>
    <w:uiPriority w:val="99"/>
    <w:unhideWhenUsed/>
    <w:rsid w:val="00E9775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CD5C84"/>
    <w:rPr>
      <w:rFonts w:asciiTheme="majorHAnsi" w:eastAsiaTheme="majorEastAsia" w:hAnsiTheme="majorHAnsi" w:cstheme="majorBidi"/>
      <w:color w:val="2E74B5" w:themeColor="accent1" w:themeShade="BF"/>
      <w:sz w:val="32"/>
      <w:szCs w:val="32"/>
    </w:rPr>
  </w:style>
  <w:style w:type="table" w:styleId="Tablaconcuadrcula6concolores-nfasis3">
    <w:name w:val="Grid Table 6 Colorful Accent 3"/>
    <w:basedOn w:val="Tablanormal"/>
    <w:uiPriority w:val="51"/>
    <w:rsid w:val="00CD5C84"/>
    <w:pPr>
      <w:spacing w:after="0" w:line="240" w:lineRule="auto"/>
    </w:pPr>
    <w:rPr>
      <w:color w:val="7B7B7B" w:themeColor="accent3" w:themeShade="BF"/>
      <w:lang w:val="es-ES_trad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cinsinresolver1">
    <w:name w:val="Mención sin resolver1"/>
    <w:basedOn w:val="Fuentedeprrafopredeter"/>
    <w:uiPriority w:val="99"/>
    <w:semiHidden/>
    <w:unhideWhenUsed/>
    <w:rsid w:val="00731C1B"/>
    <w:rPr>
      <w:color w:val="605E5C"/>
      <w:shd w:val="clear" w:color="auto" w:fill="E1DFDD"/>
    </w:rPr>
  </w:style>
  <w:style w:type="table" w:customStyle="1" w:styleId="Tablaconcuadrcula1">
    <w:name w:val="Tabla con cuadrícula1"/>
    <w:basedOn w:val="Tablanormal"/>
    <w:next w:val="Tablaconcuadrcula"/>
    <w:uiPriority w:val="59"/>
    <w:rsid w:val="005F796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5F7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7357C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7357CE"/>
  </w:style>
  <w:style w:type="character" w:customStyle="1" w:styleId="ng-star-inserted">
    <w:name w:val="ng-star-inserted"/>
    <w:basedOn w:val="Fuentedeprrafopredeter"/>
    <w:rsid w:val="007357CE"/>
  </w:style>
  <w:style w:type="paragraph" w:customStyle="1" w:styleId="align-justify">
    <w:name w:val="align-justify"/>
    <w:basedOn w:val="Normal"/>
    <w:rsid w:val="00AF702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int-doc-tesiscontent-text">
    <w:name w:val="int-doc-tesis__content-text"/>
    <w:basedOn w:val="Normal"/>
    <w:rsid w:val="00B4090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skin-color-text">
    <w:name w:val="skin-color-text"/>
    <w:basedOn w:val="Fuentedeprrafopredeter"/>
    <w:rsid w:val="00B40903"/>
  </w:style>
  <w:style w:type="character" w:styleId="nfasis">
    <w:name w:val="Emphasis"/>
    <w:basedOn w:val="Fuentedeprrafopredeter"/>
    <w:uiPriority w:val="20"/>
    <w:qFormat/>
    <w:rsid w:val="00B40903"/>
    <w:rPr>
      <w:i/>
      <w:iCs/>
    </w:rPr>
  </w:style>
  <w:style w:type="character" w:customStyle="1" w:styleId="additional-text">
    <w:name w:val="additional-text"/>
    <w:basedOn w:val="Fuentedeprrafopredeter"/>
    <w:rsid w:val="00B40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49348">
      <w:bodyDiv w:val="1"/>
      <w:marLeft w:val="0"/>
      <w:marRight w:val="0"/>
      <w:marTop w:val="0"/>
      <w:marBottom w:val="0"/>
      <w:divBdr>
        <w:top w:val="none" w:sz="0" w:space="0" w:color="auto"/>
        <w:left w:val="none" w:sz="0" w:space="0" w:color="auto"/>
        <w:bottom w:val="none" w:sz="0" w:space="0" w:color="auto"/>
        <w:right w:val="none" w:sz="0" w:space="0" w:color="auto"/>
      </w:divBdr>
    </w:div>
    <w:div w:id="175733113">
      <w:bodyDiv w:val="1"/>
      <w:marLeft w:val="0"/>
      <w:marRight w:val="0"/>
      <w:marTop w:val="0"/>
      <w:marBottom w:val="0"/>
      <w:divBdr>
        <w:top w:val="none" w:sz="0" w:space="0" w:color="auto"/>
        <w:left w:val="none" w:sz="0" w:space="0" w:color="auto"/>
        <w:bottom w:val="none" w:sz="0" w:space="0" w:color="auto"/>
        <w:right w:val="none" w:sz="0" w:space="0" w:color="auto"/>
      </w:divBdr>
    </w:div>
    <w:div w:id="404106091">
      <w:bodyDiv w:val="1"/>
      <w:marLeft w:val="0"/>
      <w:marRight w:val="0"/>
      <w:marTop w:val="0"/>
      <w:marBottom w:val="0"/>
      <w:divBdr>
        <w:top w:val="none" w:sz="0" w:space="0" w:color="auto"/>
        <w:left w:val="none" w:sz="0" w:space="0" w:color="auto"/>
        <w:bottom w:val="none" w:sz="0" w:space="0" w:color="auto"/>
        <w:right w:val="none" w:sz="0" w:space="0" w:color="auto"/>
      </w:divBdr>
      <w:divsChild>
        <w:div w:id="235088723">
          <w:marLeft w:val="0"/>
          <w:marRight w:val="0"/>
          <w:marTop w:val="150"/>
          <w:marBottom w:val="150"/>
          <w:divBdr>
            <w:top w:val="none" w:sz="0" w:space="0" w:color="auto"/>
            <w:left w:val="none" w:sz="0" w:space="0" w:color="auto"/>
            <w:bottom w:val="none" w:sz="0" w:space="0" w:color="auto"/>
            <w:right w:val="none" w:sz="0" w:space="0" w:color="auto"/>
          </w:divBdr>
          <w:divsChild>
            <w:div w:id="738480942">
              <w:marLeft w:val="0"/>
              <w:marRight w:val="0"/>
              <w:marTop w:val="0"/>
              <w:marBottom w:val="0"/>
              <w:divBdr>
                <w:top w:val="none" w:sz="0" w:space="0" w:color="auto"/>
                <w:left w:val="none" w:sz="0" w:space="0" w:color="auto"/>
                <w:bottom w:val="none" w:sz="0" w:space="0" w:color="auto"/>
                <w:right w:val="none" w:sz="0" w:space="0" w:color="auto"/>
              </w:divBdr>
            </w:div>
            <w:div w:id="759060460">
              <w:marLeft w:val="0"/>
              <w:marRight w:val="0"/>
              <w:marTop w:val="0"/>
              <w:marBottom w:val="0"/>
              <w:divBdr>
                <w:top w:val="none" w:sz="0" w:space="0" w:color="auto"/>
                <w:left w:val="none" w:sz="0" w:space="0" w:color="auto"/>
                <w:bottom w:val="none" w:sz="0" w:space="0" w:color="auto"/>
                <w:right w:val="none" w:sz="0" w:space="0" w:color="auto"/>
              </w:divBdr>
            </w:div>
            <w:div w:id="763846126">
              <w:marLeft w:val="0"/>
              <w:marRight w:val="0"/>
              <w:marTop w:val="0"/>
              <w:marBottom w:val="0"/>
              <w:divBdr>
                <w:top w:val="none" w:sz="0" w:space="0" w:color="auto"/>
                <w:left w:val="none" w:sz="0" w:space="0" w:color="auto"/>
                <w:bottom w:val="none" w:sz="0" w:space="0" w:color="auto"/>
                <w:right w:val="none" w:sz="0" w:space="0" w:color="auto"/>
              </w:divBdr>
            </w:div>
            <w:div w:id="611279451">
              <w:marLeft w:val="0"/>
              <w:marRight w:val="0"/>
              <w:marTop w:val="0"/>
              <w:marBottom w:val="0"/>
              <w:divBdr>
                <w:top w:val="none" w:sz="0" w:space="0" w:color="auto"/>
                <w:left w:val="none" w:sz="0" w:space="0" w:color="auto"/>
                <w:bottom w:val="none" w:sz="0" w:space="0" w:color="auto"/>
                <w:right w:val="none" w:sz="0" w:space="0" w:color="auto"/>
              </w:divBdr>
            </w:div>
            <w:div w:id="192102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21489">
      <w:bodyDiv w:val="1"/>
      <w:marLeft w:val="0"/>
      <w:marRight w:val="0"/>
      <w:marTop w:val="0"/>
      <w:marBottom w:val="0"/>
      <w:divBdr>
        <w:top w:val="none" w:sz="0" w:space="0" w:color="auto"/>
        <w:left w:val="none" w:sz="0" w:space="0" w:color="auto"/>
        <w:bottom w:val="none" w:sz="0" w:space="0" w:color="auto"/>
        <w:right w:val="none" w:sz="0" w:space="0" w:color="auto"/>
      </w:divBdr>
    </w:div>
    <w:div w:id="1088113790">
      <w:bodyDiv w:val="1"/>
      <w:marLeft w:val="0"/>
      <w:marRight w:val="0"/>
      <w:marTop w:val="0"/>
      <w:marBottom w:val="0"/>
      <w:divBdr>
        <w:top w:val="none" w:sz="0" w:space="0" w:color="auto"/>
        <w:left w:val="none" w:sz="0" w:space="0" w:color="auto"/>
        <w:bottom w:val="none" w:sz="0" w:space="0" w:color="auto"/>
        <w:right w:val="none" w:sz="0" w:space="0" w:color="auto"/>
      </w:divBdr>
      <w:divsChild>
        <w:div w:id="1426994066">
          <w:marLeft w:val="0"/>
          <w:marRight w:val="0"/>
          <w:marTop w:val="0"/>
          <w:marBottom w:val="0"/>
          <w:divBdr>
            <w:top w:val="none" w:sz="0" w:space="0" w:color="auto"/>
            <w:left w:val="none" w:sz="0" w:space="0" w:color="auto"/>
            <w:bottom w:val="none" w:sz="0" w:space="0" w:color="auto"/>
            <w:right w:val="none" w:sz="0" w:space="0" w:color="auto"/>
          </w:divBdr>
          <w:divsChild>
            <w:div w:id="1379738288">
              <w:marLeft w:val="0"/>
              <w:marRight w:val="0"/>
              <w:marTop w:val="0"/>
              <w:marBottom w:val="0"/>
              <w:divBdr>
                <w:top w:val="none" w:sz="0" w:space="0" w:color="auto"/>
                <w:left w:val="none" w:sz="0" w:space="0" w:color="auto"/>
                <w:bottom w:val="none" w:sz="0" w:space="0" w:color="auto"/>
                <w:right w:val="none" w:sz="0" w:space="0" w:color="auto"/>
              </w:divBdr>
            </w:div>
          </w:divsChild>
        </w:div>
        <w:div w:id="1984113984">
          <w:marLeft w:val="0"/>
          <w:marRight w:val="0"/>
          <w:marTop w:val="0"/>
          <w:marBottom w:val="0"/>
          <w:divBdr>
            <w:top w:val="none" w:sz="0" w:space="0" w:color="auto"/>
            <w:left w:val="none" w:sz="0" w:space="0" w:color="auto"/>
            <w:bottom w:val="none" w:sz="0" w:space="0" w:color="auto"/>
            <w:right w:val="none" w:sz="0" w:space="0" w:color="auto"/>
          </w:divBdr>
          <w:divsChild>
            <w:div w:id="149450128">
              <w:marLeft w:val="0"/>
              <w:marRight w:val="0"/>
              <w:marTop w:val="0"/>
              <w:marBottom w:val="0"/>
              <w:divBdr>
                <w:top w:val="none" w:sz="0" w:space="0" w:color="auto"/>
                <w:left w:val="none" w:sz="0" w:space="0" w:color="auto"/>
                <w:bottom w:val="none" w:sz="0" w:space="0" w:color="auto"/>
                <w:right w:val="none" w:sz="0" w:space="0" w:color="auto"/>
              </w:divBdr>
            </w:div>
            <w:div w:id="1140537895">
              <w:marLeft w:val="0"/>
              <w:marRight w:val="0"/>
              <w:marTop w:val="0"/>
              <w:marBottom w:val="0"/>
              <w:divBdr>
                <w:top w:val="none" w:sz="0" w:space="0" w:color="auto"/>
                <w:left w:val="none" w:sz="0" w:space="0" w:color="auto"/>
                <w:bottom w:val="none" w:sz="0" w:space="0" w:color="auto"/>
                <w:right w:val="none" w:sz="0" w:space="0" w:color="auto"/>
              </w:divBdr>
            </w:div>
            <w:div w:id="86924888">
              <w:marLeft w:val="0"/>
              <w:marRight w:val="0"/>
              <w:marTop w:val="0"/>
              <w:marBottom w:val="0"/>
              <w:divBdr>
                <w:top w:val="none" w:sz="0" w:space="0" w:color="auto"/>
                <w:left w:val="none" w:sz="0" w:space="0" w:color="auto"/>
                <w:bottom w:val="none" w:sz="0" w:space="0" w:color="auto"/>
                <w:right w:val="none" w:sz="0" w:space="0" w:color="auto"/>
              </w:divBdr>
            </w:div>
          </w:divsChild>
        </w:div>
        <w:div w:id="1602028652">
          <w:marLeft w:val="0"/>
          <w:marRight w:val="0"/>
          <w:marTop w:val="0"/>
          <w:marBottom w:val="0"/>
          <w:divBdr>
            <w:top w:val="none" w:sz="0" w:space="0" w:color="auto"/>
            <w:left w:val="none" w:sz="0" w:space="0" w:color="auto"/>
            <w:bottom w:val="none" w:sz="0" w:space="0" w:color="auto"/>
            <w:right w:val="none" w:sz="0" w:space="0" w:color="auto"/>
          </w:divBdr>
          <w:divsChild>
            <w:div w:id="233898998">
              <w:marLeft w:val="0"/>
              <w:marRight w:val="0"/>
              <w:marTop w:val="0"/>
              <w:marBottom w:val="0"/>
              <w:divBdr>
                <w:top w:val="none" w:sz="0" w:space="0" w:color="auto"/>
                <w:left w:val="none" w:sz="0" w:space="0" w:color="auto"/>
                <w:bottom w:val="none" w:sz="0" w:space="0" w:color="auto"/>
                <w:right w:val="none" w:sz="0" w:space="0" w:color="auto"/>
              </w:divBdr>
            </w:div>
            <w:div w:id="1932470717">
              <w:marLeft w:val="0"/>
              <w:marRight w:val="0"/>
              <w:marTop w:val="0"/>
              <w:marBottom w:val="0"/>
              <w:divBdr>
                <w:top w:val="none" w:sz="0" w:space="0" w:color="auto"/>
                <w:left w:val="none" w:sz="0" w:space="0" w:color="auto"/>
                <w:bottom w:val="none" w:sz="0" w:space="0" w:color="auto"/>
                <w:right w:val="none" w:sz="0" w:space="0" w:color="auto"/>
              </w:divBdr>
            </w:div>
            <w:div w:id="988633347">
              <w:marLeft w:val="0"/>
              <w:marRight w:val="0"/>
              <w:marTop w:val="0"/>
              <w:marBottom w:val="0"/>
              <w:divBdr>
                <w:top w:val="none" w:sz="0" w:space="0" w:color="auto"/>
                <w:left w:val="none" w:sz="0" w:space="0" w:color="auto"/>
                <w:bottom w:val="none" w:sz="0" w:space="0" w:color="auto"/>
                <w:right w:val="none" w:sz="0" w:space="0" w:color="auto"/>
              </w:divBdr>
            </w:div>
          </w:divsChild>
        </w:div>
        <w:div w:id="874847146">
          <w:marLeft w:val="0"/>
          <w:marRight w:val="0"/>
          <w:marTop w:val="0"/>
          <w:marBottom w:val="0"/>
          <w:divBdr>
            <w:top w:val="none" w:sz="0" w:space="0" w:color="auto"/>
            <w:left w:val="none" w:sz="0" w:space="0" w:color="auto"/>
            <w:bottom w:val="none" w:sz="0" w:space="0" w:color="auto"/>
            <w:right w:val="none" w:sz="0" w:space="0" w:color="auto"/>
          </w:divBdr>
        </w:div>
        <w:div w:id="1368221191">
          <w:marLeft w:val="0"/>
          <w:marRight w:val="0"/>
          <w:marTop w:val="0"/>
          <w:marBottom w:val="0"/>
          <w:divBdr>
            <w:top w:val="none" w:sz="0" w:space="0" w:color="auto"/>
            <w:left w:val="none" w:sz="0" w:space="0" w:color="auto"/>
            <w:bottom w:val="none" w:sz="0" w:space="0" w:color="auto"/>
            <w:right w:val="none" w:sz="0" w:space="0" w:color="auto"/>
          </w:divBdr>
        </w:div>
        <w:div w:id="855116295">
          <w:marLeft w:val="0"/>
          <w:marRight w:val="0"/>
          <w:marTop w:val="0"/>
          <w:marBottom w:val="0"/>
          <w:divBdr>
            <w:top w:val="none" w:sz="0" w:space="0" w:color="auto"/>
            <w:left w:val="none" w:sz="0" w:space="0" w:color="auto"/>
            <w:bottom w:val="none" w:sz="0" w:space="0" w:color="auto"/>
            <w:right w:val="none" w:sz="0" w:space="0" w:color="auto"/>
          </w:divBdr>
        </w:div>
      </w:divsChild>
    </w:div>
    <w:div w:id="1224831947">
      <w:bodyDiv w:val="1"/>
      <w:marLeft w:val="0"/>
      <w:marRight w:val="0"/>
      <w:marTop w:val="0"/>
      <w:marBottom w:val="0"/>
      <w:divBdr>
        <w:top w:val="none" w:sz="0" w:space="0" w:color="auto"/>
        <w:left w:val="none" w:sz="0" w:space="0" w:color="auto"/>
        <w:bottom w:val="none" w:sz="0" w:space="0" w:color="auto"/>
        <w:right w:val="none" w:sz="0" w:space="0" w:color="auto"/>
      </w:divBdr>
      <w:divsChild>
        <w:div w:id="220486352">
          <w:marLeft w:val="0"/>
          <w:marRight w:val="0"/>
          <w:marTop w:val="0"/>
          <w:marBottom w:val="0"/>
          <w:divBdr>
            <w:top w:val="none" w:sz="0" w:space="0" w:color="auto"/>
            <w:left w:val="none" w:sz="0" w:space="0" w:color="auto"/>
            <w:bottom w:val="none" w:sz="0" w:space="0" w:color="auto"/>
            <w:right w:val="none" w:sz="0" w:space="0" w:color="auto"/>
          </w:divBdr>
        </w:div>
        <w:div w:id="1625429602">
          <w:marLeft w:val="0"/>
          <w:marRight w:val="0"/>
          <w:marTop w:val="0"/>
          <w:marBottom w:val="0"/>
          <w:divBdr>
            <w:top w:val="none" w:sz="0" w:space="0" w:color="auto"/>
            <w:left w:val="none" w:sz="0" w:space="0" w:color="auto"/>
            <w:bottom w:val="none" w:sz="0" w:space="0" w:color="auto"/>
            <w:right w:val="none" w:sz="0" w:space="0" w:color="auto"/>
          </w:divBdr>
          <w:divsChild>
            <w:div w:id="1088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26257">
      <w:bodyDiv w:val="1"/>
      <w:marLeft w:val="0"/>
      <w:marRight w:val="0"/>
      <w:marTop w:val="0"/>
      <w:marBottom w:val="0"/>
      <w:divBdr>
        <w:top w:val="none" w:sz="0" w:space="0" w:color="auto"/>
        <w:left w:val="none" w:sz="0" w:space="0" w:color="auto"/>
        <w:bottom w:val="none" w:sz="0" w:space="0" w:color="auto"/>
        <w:right w:val="none" w:sz="0" w:space="0" w:color="auto"/>
      </w:divBdr>
    </w:div>
    <w:div w:id="1371998695">
      <w:bodyDiv w:val="1"/>
      <w:marLeft w:val="0"/>
      <w:marRight w:val="0"/>
      <w:marTop w:val="0"/>
      <w:marBottom w:val="0"/>
      <w:divBdr>
        <w:top w:val="none" w:sz="0" w:space="0" w:color="auto"/>
        <w:left w:val="none" w:sz="0" w:space="0" w:color="auto"/>
        <w:bottom w:val="none" w:sz="0" w:space="0" w:color="auto"/>
        <w:right w:val="none" w:sz="0" w:space="0" w:color="auto"/>
      </w:divBdr>
    </w:div>
    <w:div w:id="163567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1F55F-1FA6-44B3-A76A-10FA70E04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27</Pages>
  <Words>6251</Words>
  <Characters>34386</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Infoem600</cp:lastModifiedBy>
  <cp:revision>8</cp:revision>
  <cp:lastPrinted>2023-10-06T21:43:00Z</cp:lastPrinted>
  <dcterms:created xsi:type="dcterms:W3CDTF">2023-10-06T00:29:00Z</dcterms:created>
  <dcterms:modified xsi:type="dcterms:W3CDTF">2024-02-08T23:55:00Z</dcterms:modified>
</cp:coreProperties>
</file>