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9EB5D" w14:textId="26CA0BD2" w:rsidR="00D05444" w:rsidRPr="005E3440" w:rsidRDefault="00D05444" w:rsidP="00B014FF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5E3440">
        <w:rPr>
          <w:rFonts w:ascii="Palatino Linotype" w:hAnsi="Palatino Linotype" w:cs="Tahoma"/>
          <w:b/>
        </w:rPr>
        <w:t xml:space="preserve">VOTO </w:t>
      </w:r>
      <w:r w:rsidR="00A26864" w:rsidRPr="005E3440">
        <w:rPr>
          <w:rFonts w:ascii="Palatino Linotype" w:hAnsi="Palatino Linotype" w:cs="Tahoma"/>
          <w:b/>
        </w:rPr>
        <w:t>DISIDENTE</w:t>
      </w:r>
      <w:r w:rsidRPr="005E3440">
        <w:rPr>
          <w:rFonts w:ascii="Palatino Linotype" w:hAnsi="Palatino Linotype" w:cs="Tahoma"/>
          <w:b/>
        </w:rPr>
        <w:t xml:space="preserve"> QUE FORMULA EL COMISIONADO LUIS GUSTAVO PARRA NORIEGA, </w:t>
      </w:r>
      <w:r w:rsidR="00F17C34" w:rsidRPr="005E3440">
        <w:rPr>
          <w:rFonts w:ascii="Palatino Linotype" w:hAnsi="Palatino Linotype" w:cs="Tahoma"/>
          <w:b/>
        </w:rPr>
        <w:t>A</w:t>
      </w:r>
      <w:r w:rsidRPr="005E3440">
        <w:rPr>
          <w:rFonts w:ascii="Palatino Linotype" w:hAnsi="Palatino Linotype" w:cs="Tahoma"/>
          <w:b/>
        </w:rPr>
        <w:t xml:space="preserve"> LA RESOLUCI</w:t>
      </w:r>
      <w:r w:rsidR="00743EE0" w:rsidRPr="005E3440">
        <w:rPr>
          <w:rFonts w:ascii="Palatino Linotype" w:hAnsi="Palatino Linotype" w:cs="Tahoma"/>
          <w:b/>
        </w:rPr>
        <w:t xml:space="preserve">ÓN DEL </w:t>
      </w:r>
      <w:bookmarkStart w:id="0" w:name="_GoBack"/>
      <w:bookmarkEnd w:id="0"/>
      <w:r w:rsidR="00743EE0" w:rsidRPr="005E3440">
        <w:rPr>
          <w:rFonts w:ascii="Palatino Linotype" w:hAnsi="Palatino Linotype" w:cs="Tahoma"/>
          <w:b/>
        </w:rPr>
        <w:t xml:space="preserve">RECURSO DE REVISIÓN </w:t>
      </w:r>
      <w:r w:rsidR="00022112" w:rsidRPr="005E3440">
        <w:rPr>
          <w:rFonts w:ascii="Palatino Linotype" w:hAnsi="Palatino Linotype" w:cs="Tahoma"/>
          <w:b/>
        </w:rPr>
        <w:t>12535/INFOEM/IP/RR/2022</w:t>
      </w:r>
      <w:r w:rsidR="00F17C34" w:rsidRPr="005E3440">
        <w:rPr>
          <w:rFonts w:ascii="Palatino Linotype" w:hAnsi="Palatino Linotype" w:cs="Tahoma"/>
          <w:b/>
        </w:rPr>
        <w:t>,</w:t>
      </w:r>
      <w:r w:rsidRPr="005E3440">
        <w:rPr>
          <w:rFonts w:ascii="Palatino Linotype" w:hAnsi="Palatino Linotype" w:cs="Tahoma"/>
          <w:b/>
        </w:rPr>
        <w:t xml:space="preserve"> PROMOVIDO EN CONTRA </w:t>
      </w:r>
      <w:r w:rsidR="00743EE0" w:rsidRPr="005E3440">
        <w:rPr>
          <w:rFonts w:ascii="Palatino Linotype" w:hAnsi="Palatino Linotype" w:cs="Tahoma"/>
          <w:b/>
        </w:rPr>
        <w:t>DE</w:t>
      </w:r>
      <w:r w:rsidR="00282687" w:rsidRPr="005E3440">
        <w:rPr>
          <w:rFonts w:ascii="Palatino Linotype" w:hAnsi="Palatino Linotype" w:cs="Tahoma"/>
          <w:b/>
        </w:rPr>
        <w:t>L</w:t>
      </w:r>
      <w:r w:rsidR="00022112" w:rsidRPr="005E3440">
        <w:rPr>
          <w:rFonts w:ascii="Palatino Linotype" w:hAnsi="Palatino Linotype" w:cs="Tahoma"/>
          <w:b/>
        </w:rPr>
        <w:t xml:space="preserve"> ORGANISMO PÚBLICO DESCENTRALIZADO PARA LA PRESTACIÓN DE LOS SERVICIOS DE AGUA POTABLE ALCANTARILLADO Y SANEAMIENTO DEL MUNICIPIO DE ZUMPANGO</w:t>
      </w:r>
      <w:r w:rsidR="00022112" w:rsidRPr="005E3440">
        <w:rPr>
          <w:rFonts w:ascii="Palatino Linotype" w:hAnsi="Palatino Linotype"/>
          <w:b/>
          <w:sz w:val="21"/>
          <w:szCs w:val="21"/>
          <w:lang w:val="es-ES_tradnl"/>
        </w:rPr>
        <w:t>.</w:t>
      </w:r>
    </w:p>
    <w:p w14:paraId="727738CE" w14:textId="77777777" w:rsidR="0063602B" w:rsidRPr="005E3440" w:rsidRDefault="0063602B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2CB37DC" w14:textId="7B1F112C" w:rsidR="00D05444" w:rsidRPr="005E3440" w:rsidRDefault="00441EA2" w:rsidP="00B014FF">
      <w:pPr>
        <w:spacing w:after="0" w:line="360" w:lineRule="auto"/>
        <w:jc w:val="both"/>
        <w:rPr>
          <w:rFonts w:ascii="Palatino Linotype" w:hAnsi="Palatino Linotype" w:cs="Tahoma"/>
        </w:rPr>
      </w:pPr>
      <w:r w:rsidRPr="005E3440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Municipios, </w:t>
      </w:r>
      <w:r w:rsidR="00D05444" w:rsidRPr="005E3440">
        <w:rPr>
          <w:rFonts w:ascii="Palatino Linotype" w:hAnsi="Palatino Linotype" w:cs="Tahoma"/>
        </w:rPr>
        <w:t xml:space="preserve">14, fracción XI, del Reglamento Interior del Instituto de Transparencia, Acceso a la Información Pública y Protección de Datos Personales del Estado de México y Municipios; </w:t>
      </w:r>
      <w:r w:rsidR="00CE232D" w:rsidRPr="005E3440">
        <w:rPr>
          <w:rFonts w:ascii="Palatino Linotype" w:hAnsi="Palatino Linotype" w:cs="Tahoma"/>
        </w:rPr>
        <w:t xml:space="preserve">2°, fracción XIX, 45 y 48, fracción II, </w:t>
      </w:r>
      <w:r w:rsidR="0063602B" w:rsidRPr="005E3440">
        <w:rPr>
          <w:rFonts w:ascii="Palatino Linotype" w:hAnsi="Palatino Linotype" w:cs="Tahoma"/>
        </w:rPr>
        <w:t>de los Lineamientos para el funcionamiento del Pleno y las Comisiones del Instituto de Transparencia, Acceso a la Información Pública y Protección de Datos Personales del Estado de México y Municipios</w:t>
      </w:r>
      <w:r w:rsidR="00D05444" w:rsidRPr="005E3440">
        <w:rPr>
          <w:rFonts w:ascii="Palatino Linotype" w:hAnsi="Palatino Linotype" w:cs="Tahoma"/>
        </w:rPr>
        <w:t xml:space="preserve">, emito el presente </w:t>
      </w:r>
      <w:r w:rsidR="00EF10FB" w:rsidRPr="005E3440">
        <w:rPr>
          <w:rFonts w:ascii="Palatino Linotype" w:hAnsi="Palatino Linotype" w:cs="Tahoma"/>
          <w:b/>
        </w:rPr>
        <w:t>V</w:t>
      </w:r>
      <w:r w:rsidR="00D05444" w:rsidRPr="005E3440">
        <w:rPr>
          <w:rFonts w:ascii="Palatino Linotype" w:hAnsi="Palatino Linotype" w:cs="Tahoma"/>
          <w:b/>
        </w:rPr>
        <w:t xml:space="preserve">oto </w:t>
      </w:r>
      <w:r w:rsidR="00A26864" w:rsidRPr="005E3440">
        <w:rPr>
          <w:rFonts w:ascii="Palatino Linotype" w:hAnsi="Palatino Linotype" w:cs="Tahoma"/>
          <w:b/>
        </w:rPr>
        <w:t>Disidente</w:t>
      </w:r>
      <w:r w:rsidR="00D05444" w:rsidRPr="005E3440">
        <w:rPr>
          <w:rFonts w:ascii="Palatino Linotype" w:hAnsi="Palatino Linotype" w:cs="Tahoma"/>
        </w:rPr>
        <w:t xml:space="preserve"> por no compartir</w:t>
      </w:r>
      <w:r w:rsidR="00596EE6" w:rsidRPr="005E3440">
        <w:rPr>
          <w:rFonts w:ascii="Palatino Linotype" w:hAnsi="Palatino Linotype" w:cs="Tahoma"/>
        </w:rPr>
        <w:t xml:space="preserve"> </w:t>
      </w:r>
      <w:r w:rsidR="00EF10FB" w:rsidRPr="005E3440">
        <w:rPr>
          <w:rFonts w:ascii="Palatino Linotype" w:hAnsi="Palatino Linotype" w:cs="Tahoma"/>
        </w:rPr>
        <w:t>el sentido</w:t>
      </w:r>
      <w:r w:rsidR="00D05444" w:rsidRPr="005E3440">
        <w:rPr>
          <w:rFonts w:ascii="Palatino Linotype" w:hAnsi="Palatino Linotype" w:cs="Tahoma"/>
        </w:rPr>
        <w:t xml:space="preserve"> </w:t>
      </w:r>
      <w:r w:rsidR="00EF10FB" w:rsidRPr="005E3440">
        <w:rPr>
          <w:rFonts w:ascii="Palatino Linotype" w:hAnsi="Palatino Linotype" w:cs="Tahoma"/>
        </w:rPr>
        <w:t>de</w:t>
      </w:r>
      <w:r w:rsidR="00D05444" w:rsidRPr="005E3440">
        <w:rPr>
          <w:rFonts w:ascii="Palatino Linotype" w:hAnsi="Palatino Linotype" w:cs="Tahoma"/>
        </w:rPr>
        <w:t xml:space="preserve"> la </w:t>
      </w:r>
      <w:r w:rsidR="00EF10FB" w:rsidRPr="005E3440">
        <w:rPr>
          <w:rFonts w:ascii="Palatino Linotype" w:hAnsi="Palatino Linotype" w:cs="Tahoma"/>
        </w:rPr>
        <w:t>R</w:t>
      </w:r>
      <w:r w:rsidR="00D05444" w:rsidRPr="005E3440">
        <w:rPr>
          <w:rFonts w:ascii="Palatino Linotype" w:hAnsi="Palatino Linotype" w:cs="Tahoma"/>
        </w:rPr>
        <w:t xml:space="preserve">esolución del </w:t>
      </w:r>
      <w:r w:rsidR="00EF10FB" w:rsidRPr="005E3440">
        <w:rPr>
          <w:rFonts w:ascii="Palatino Linotype" w:hAnsi="Palatino Linotype" w:cs="Tahoma"/>
        </w:rPr>
        <w:t>R</w:t>
      </w:r>
      <w:r w:rsidR="00D05444" w:rsidRPr="005E3440">
        <w:rPr>
          <w:rFonts w:ascii="Palatino Linotype" w:hAnsi="Palatino Linotype" w:cs="Tahoma"/>
        </w:rPr>
        <w:t xml:space="preserve">ecurso de </w:t>
      </w:r>
      <w:r w:rsidR="00EF10FB" w:rsidRPr="005E3440">
        <w:rPr>
          <w:rFonts w:ascii="Palatino Linotype" w:hAnsi="Palatino Linotype" w:cs="Tahoma"/>
        </w:rPr>
        <w:t>R</w:t>
      </w:r>
      <w:r w:rsidR="00D05444" w:rsidRPr="005E3440">
        <w:rPr>
          <w:rFonts w:ascii="Palatino Linotype" w:hAnsi="Palatino Linotype" w:cs="Tahoma"/>
        </w:rPr>
        <w:t xml:space="preserve">evisión </w:t>
      </w:r>
      <w:r w:rsidR="00022112" w:rsidRPr="005E3440">
        <w:rPr>
          <w:rFonts w:ascii="Palatino Linotype" w:hAnsi="Palatino Linotype" w:cs="Tahoma"/>
          <w:b/>
        </w:rPr>
        <w:t>12535/INFOEM/IP/RR/2022</w:t>
      </w:r>
      <w:r w:rsidR="00CE232D" w:rsidRPr="005E3440">
        <w:rPr>
          <w:rFonts w:ascii="Palatino Linotype" w:hAnsi="Palatino Linotype" w:cs="Tahoma"/>
          <w:b/>
        </w:rPr>
        <w:t xml:space="preserve">, </w:t>
      </w:r>
      <w:r w:rsidR="00CE232D" w:rsidRPr="005E3440">
        <w:rPr>
          <w:rFonts w:ascii="Palatino Linotype" w:hAnsi="Palatino Linotype" w:cs="Tahoma"/>
          <w:bCs/>
        </w:rPr>
        <w:t>conforme a lo siguiente:</w:t>
      </w:r>
    </w:p>
    <w:p w14:paraId="292AEB09" w14:textId="77777777" w:rsidR="0063602B" w:rsidRPr="005E3440" w:rsidRDefault="0063602B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1245428" w14:textId="5EF3AC0A" w:rsidR="00EE679A" w:rsidRPr="005E3440" w:rsidRDefault="00743EE0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</w:rPr>
        <w:t xml:space="preserve">Como se desprende de la Resolución </w:t>
      </w:r>
      <w:r w:rsidR="00EF10FB" w:rsidRPr="005E3440">
        <w:rPr>
          <w:rFonts w:ascii="Palatino Linotype" w:hAnsi="Palatino Linotype" w:cs="Tahoma"/>
        </w:rPr>
        <w:t>en comento</w:t>
      </w:r>
      <w:r w:rsidRPr="005E3440">
        <w:rPr>
          <w:rFonts w:ascii="Palatino Linotype" w:hAnsi="Palatino Linotype" w:cs="Tahoma"/>
        </w:rPr>
        <w:t xml:space="preserve">, </w:t>
      </w:r>
      <w:r w:rsidR="00A26864" w:rsidRPr="005E3440">
        <w:rPr>
          <w:rFonts w:ascii="Palatino Linotype" w:hAnsi="Palatino Linotype" w:cs="Tahoma"/>
        </w:rPr>
        <w:t xml:space="preserve">el Particular </w:t>
      </w:r>
      <w:r w:rsidR="00022112" w:rsidRPr="005E3440">
        <w:rPr>
          <w:rFonts w:ascii="Palatino Linotype" w:hAnsi="Palatino Linotype" w:cs="Tahoma"/>
        </w:rPr>
        <w:t xml:space="preserve">solicitó al Sujeto Obligado los recibos de nómina de todo el personal en formato </w:t>
      </w:r>
      <w:r w:rsidR="00022112" w:rsidRPr="005E3440">
        <w:rPr>
          <w:rFonts w:ascii="Palatino Linotype" w:hAnsi="Palatino Linotype" w:cs="Tahoma"/>
          <w:i/>
        </w:rPr>
        <w:t>pdf</w:t>
      </w:r>
      <w:r w:rsidR="00022112" w:rsidRPr="005E3440">
        <w:rPr>
          <w:rFonts w:ascii="Palatino Linotype" w:hAnsi="Palatino Linotype" w:cs="Tahoma"/>
        </w:rPr>
        <w:t xml:space="preserve"> y en datos abiertos por el </w:t>
      </w:r>
      <w:r w:rsidR="00022112" w:rsidRPr="005E3440">
        <w:rPr>
          <w:rFonts w:ascii="Palatino Linotype" w:hAnsi="Palatino Linotype" w:cs="Tahoma"/>
          <w:bCs/>
        </w:rPr>
        <w:t xml:space="preserve">Sistema de Acceso a la Información Mexiquense (SAIMEX); en respuesta, el Sujeto Obligado remitió </w:t>
      </w:r>
      <w:r w:rsidR="00C92498" w:rsidRPr="005E3440">
        <w:rPr>
          <w:rFonts w:ascii="Palatino Linotype" w:hAnsi="Palatino Linotype" w:cs="Tahoma"/>
          <w:bCs/>
        </w:rPr>
        <w:t xml:space="preserve">recibos de nómina </w:t>
      </w:r>
      <w:r w:rsidR="00EE679A" w:rsidRPr="005E3440">
        <w:rPr>
          <w:rFonts w:ascii="Palatino Linotype" w:hAnsi="Palatino Linotype" w:cs="Tahoma"/>
          <w:bCs/>
        </w:rPr>
        <w:t>mediante</w:t>
      </w:r>
      <w:r w:rsidR="00C92498" w:rsidRPr="005E3440">
        <w:rPr>
          <w:rFonts w:ascii="Palatino Linotype" w:hAnsi="Palatino Linotype" w:cs="Tahoma"/>
          <w:bCs/>
        </w:rPr>
        <w:t xml:space="preserve"> dos archivos; uno en formato </w:t>
      </w:r>
      <w:r w:rsidR="00C92498" w:rsidRPr="005E3440">
        <w:rPr>
          <w:rFonts w:ascii="Palatino Linotype" w:hAnsi="Palatino Linotype" w:cs="Tahoma"/>
          <w:bCs/>
          <w:i/>
        </w:rPr>
        <w:t xml:space="preserve">pdf </w:t>
      </w:r>
      <w:r w:rsidR="00C92498" w:rsidRPr="005E3440">
        <w:rPr>
          <w:rFonts w:ascii="Palatino Linotype" w:hAnsi="Palatino Linotype" w:cs="Tahoma"/>
          <w:bCs/>
        </w:rPr>
        <w:t xml:space="preserve">y otro en </w:t>
      </w:r>
      <w:r w:rsidR="00361F8F" w:rsidRPr="005E3440">
        <w:rPr>
          <w:rFonts w:ascii="Palatino Linotype" w:hAnsi="Palatino Linotype" w:cs="Tahoma"/>
          <w:bCs/>
          <w:i/>
        </w:rPr>
        <w:t>do</w:t>
      </w:r>
      <w:r w:rsidR="00C92498" w:rsidRPr="005E3440">
        <w:rPr>
          <w:rFonts w:ascii="Palatino Linotype" w:hAnsi="Palatino Linotype" w:cs="Tahoma"/>
          <w:bCs/>
          <w:i/>
        </w:rPr>
        <w:t>c</w:t>
      </w:r>
      <w:r w:rsidR="00361F8F" w:rsidRPr="005E3440">
        <w:rPr>
          <w:rFonts w:ascii="Palatino Linotype" w:hAnsi="Palatino Linotype" w:cs="Tahoma"/>
          <w:bCs/>
          <w:i/>
        </w:rPr>
        <w:t>x</w:t>
      </w:r>
      <w:r w:rsidR="006951E4" w:rsidRPr="005E3440">
        <w:rPr>
          <w:rFonts w:ascii="Palatino Linotype" w:hAnsi="Palatino Linotype" w:cs="Tahoma"/>
          <w:bCs/>
        </w:rPr>
        <w:t>, ambos con la información en imagen</w:t>
      </w:r>
      <w:r w:rsidR="00EE679A" w:rsidRPr="005E3440">
        <w:rPr>
          <w:rFonts w:ascii="Palatino Linotype" w:hAnsi="Palatino Linotype" w:cs="Tahoma"/>
          <w:bCs/>
          <w:i/>
        </w:rPr>
        <w:t xml:space="preserve">; </w:t>
      </w:r>
      <w:r w:rsidR="00EE679A" w:rsidRPr="005E3440">
        <w:rPr>
          <w:rFonts w:ascii="Palatino Linotype" w:hAnsi="Palatino Linotype" w:cs="Tahoma"/>
          <w:bCs/>
        </w:rPr>
        <w:t xml:space="preserve">derivado de la respuesta, el Particular planteó su inconformidad bajo el argumento de que los recibos no fueron entregados en formato abierto y que se entregaron datos personales confidenciales; posteriormente, durante la sustanciación del </w:t>
      </w:r>
      <w:r w:rsidR="00EE679A" w:rsidRPr="005E3440">
        <w:rPr>
          <w:rFonts w:ascii="Palatino Linotype" w:hAnsi="Palatino Linotype" w:cs="Tahoma"/>
          <w:bCs/>
        </w:rPr>
        <w:lastRenderedPageBreak/>
        <w:t>Recurso de Revisión, el Sujeto Obligado no rindió informe justificado y el Particular no añadió manifestaciones.</w:t>
      </w:r>
    </w:p>
    <w:p w14:paraId="1B881D17" w14:textId="77777777" w:rsidR="00EE679A" w:rsidRPr="005E3440" w:rsidRDefault="00EE679A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4FD0BDF7" w14:textId="25C57E52" w:rsidR="00EE679A" w:rsidRPr="005E3440" w:rsidRDefault="00EE679A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t xml:space="preserve">Así pues, la Ponencia </w:t>
      </w:r>
      <w:r w:rsidR="004131BB" w:rsidRPr="005E3440">
        <w:rPr>
          <w:rFonts w:ascii="Palatino Linotype" w:hAnsi="Palatino Linotype" w:cs="Tahoma"/>
          <w:bCs/>
        </w:rPr>
        <w:t>Resolutoria</w:t>
      </w:r>
      <w:r w:rsidRPr="005E3440">
        <w:rPr>
          <w:rFonts w:ascii="Palatino Linotype" w:hAnsi="Palatino Linotype" w:cs="Tahoma"/>
          <w:bCs/>
        </w:rPr>
        <w:t xml:space="preserve"> determinó que</w:t>
      </w:r>
      <w:r w:rsidR="004131BB" w:rsidRPr="005E3440">
        <w:rPr>
          <w:rFonts w:ascii="Palatino Linotype" w:hAnsi="Palatino Linotype" w:cs="Tahoma"/>
          <w:bCs/>
        </w:rPr>
        <w:t xml:space="preserve"> con la entrega de la información se colmó lo solicitado; pues la información se entregó en formato </w:t>
      </w:r>
      <w:r w:rsidR="004131BB" w:rsidRPr="005E3440">
        <w:rPr>
          <w:rFonts w:ascii="Palatino Linotype" w:hAnsi="Palatino Linotype" w:cs="Tahoma"/>
          <w:bCs/>
          <w:i/>
        </w:rPr>
        <w:t xml:space="preserve">pdf </w:t>
      </w:r>
      <w:r w:rsidR="004131BB" w:rsidRPr="005E3440">
        <w:rPr>
          <w:rFonts w:ascii="Palatino Linotype" w:hAnsi="Palatino Linotype" w:cs="Tahoma"/>
          <w:bCs/>
        </w:rPr>
        <w:t xml:space="preserve"> y si bien, no se entregó en datos abiertos, señaló que no hay fuente obligacional para que el Sujeto Obligado generara la información con esas características</w:t>
      </w:r>
      <w:r w:rsidR="006951E4" w:rsidRPr="005E3440">
        <w:rPr>
          <w:rFonts w:ascii="Palatino Linotype" w:hAnsi="Palatino Linotype" w:cs="Tahoma"/>
          <w:bCs/>
        </w:rPr>
        <w:t>, además determinó que al tratarse de información de carácter fiscal, esta no se debe entregar en datos abiertos con el objetivo de que no sea alterada</w:t>
      </w:r>
      <w:r w:rsidR="004131BB" w:rsidRPr="005E3440">
        <w:rPr>
          <w:rFonts w:ascii="Palatino Linotype" w:hAnsi="Palatino Linotype" w:cs="Tahoma"/>
          <w:bCs/>
        </w:rPr>
        <w:t xml:space="preserve">; por lo que </w:t>
      </w:r>
      <w:r w:rsidR="00B014FF" w:rsidRPr="005E3440">
        <w:rPr>
          <w:rFonts w:ascii="Palatino Linotype" w:hAnsi="Palatino Linotype" w:cs="Tahoma"/>
          <w:bCs/>
        </w:rPr>
        <w:t>confirmó</w:t>
      </w:r>
      <w:r w:rsidR="004131BB" w:rsidRPr="005E3440">
        <w:rPr>
          <w:rFonts w:ascii="Palatino Linotype" w:hAnsi="Palatino Linotype" w:cs="Tahoma"/>
          <w:bCs/>
        </w:rPr>
        <w:t xml:space="preserve"> la respuesta inicial. </w:t>
      </w:r>
      <w:r w:rsidRPr="005E3440">
        <w:rPr>
          <w:rFonts w:ascii="Palatino Linotype" w:hAnsi="Palatino Linotype" w:cs="Tahoma"/>
          <w:bCs/>
        </w:rPr>
        <w:t xml:space="preserve"> </w:t>
      </w:r>
    </w:p>
    <w:p w14:paraId="68BA4E63" w14:textId="5FE0177E" w:rsidR="004131BB" w:rsidRPr="005E3440" w:rsidRDefault="004131BB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32F23662" w14:textId="413C5443" w:rsidR="004131BB" w:rsidRPr="005E3440" w:rsidRDefault="004131BB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t xml:space="preserve">Al respecto, emito el presente voto disidente, al no coincidir con el sentido de la resolución; </w:t>
      </w:r>
      <w:r w:rsidR="00CA63A5" w:rsidRPr="005E3440">
        <w:rPr>
          <w:rFonts w:ascii="Palatino Linotype" w:hAnsi="Palatino Linotype" w:cs="Tahoma"/>
          <w:bCs/>
        </w:rPr>
        <w:t>pues consideró que los documentos entregados en respuesta no colman totalmente la solicitud de información, ya que no atienden a las condiciones solicitadas; y por ello, debió analizarse la posibilidad de la entrega de la documentación en datos abiertos; esto en atención a las siguientes consideraciones:</w:t>
      </w:r>
    </w:p>
    <w:p w14:paraId="48BDC5F1" w14:textId="71316AD2" w:rsidR="00CA63A5" w:rsidRPr="005E3440" w:rsidRDefault="00CA63A5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0FDBDEFF" w14:textId="1EBD9269" w:rsidR="00CA63A5" w:rsidRPr="005E3440" w:rsidRDefault="006951E4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t>E</w:t>
      </w:r>
      <w:r w:rsidR="00CA63A5" w:rsidRPr="005E3440">
        <w:rPr>
          <w:rFonts w:ascii="Palatino Linotype" w:hAnsi="Palatino Linotype" w:cs="Tahoma"/>
          <w:bCs/>
        </w:rPr>
        <w:t xml:space="preserve">n este tenor, de acuerdo con la página de internet de </w:t>
      </w:r>
      <w:r w:rsidR="00CA63A5" w:rsidRPr="005E3440">
        <w:rPr>
          <w:rFonts w:ascii="Palatino Linotype" w:hAnsi="Palatino Linotype" w:cs="Tahoma"/>
          <w:bCs/>
          <w:i/>
        </w:rPr>
        <w:t xml:space="preserve">soficat Xerox; véase: </w:t>
      </w:r>
      <w:hyperlink r:id="rId8" w:history="1">
        <w:r w:rsidR="00CA63A5" w:rsidRPr="005E3440">
          <w:rPr>
            <w:rStyle w:val="Hipervnculo"/>
            <w:rFonts w:ascii="Palatino Linotype" w:hAnsi="Palatino Linotype" w:cs="Tahoma"/>
            <w:bCs/>
            <w:i/>
          </w:rPr>
          <w:t>https://soficat.es/blog/sabies-que/ventajas-de-trabajar-con-los-formatos-pdf-y-pdf-a</w:t>
        </w:r>
      </w:hyperlink>
      <w:r w:rsidR="00CA63A5" w:rsidRPr="005E3440">
        <w:rPr>
          <w:rFonts w:ascii="Palatino Linotype" w:hAnsi="Palatino Linotype" w:cs="Tahoma"/>
          <w:bCs/>
          <w:i/>
        </w:rPr>
        <w:t>;</w:t>
      </w:r>
      <w:r w:rsidR="00CA63A5" w:rsidRPr="005E3440">
        <w:rPr>
          <w:rFonts w:ascii="Palatino Linotype" w:hAnsi="Palatino Linotype" w:cs="Tahoma"/>
          <w:bCs/>
        </w:rPr>
        <w:t xml:space="preserve"> el formato </w:t>
      </w:r>
      <w:r w:rsidR="00CA63A5" w:rsidRPr="005E3440">
        <w:rPr>
          <w:rFonts w:ascii="Palatino Linotype" w:hAnsi="Palatino Linotype" w:cs="Tahoma"/>
          <w:bCs/>
          <w:i/>
        </w:rPr>
        <w:t xml:space="preserve">PDF (Portable Document Format), </w:t>
      </w:r>
      <w:r w:rsidR="00CA63A5" w:rsidRPr="005E3440">
        <w:rPr>
          <w:rFonts w:ascii="Palatino Linotype" w:hAnsi="Palatino Linotype" w:cs="Tahoma"/>
          <w:bCs/>
        </w:rPr>
        <w:t>puede definirse de la siguiente manera:</w:t>
      </w:r>
    </w:p>
    <w:p w14:paraId="0F4DFEA4" w14:textId="77777777" w:rsidR="00CA63A5" w:rsidRPr="005E3440" w:rsidRDefault="00CA63A5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3E2E94C6" w14:textId="5993BF67" w:rsidR="00CA63A5" w:rsidRPr="005E3440" w:rsidRDefault="00CA63A5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sz w:val="20"/>
        </w:rPr>
      </w:pPr>
      <w:r w:rsidRPr="005E3440">
        <w:rPr>
          <w:rFonts w:ascii="Palatino Linotype" w:hAnsi="Palatino Linotype" w:cs="Tahoma"/>
          <w:bCs/>
          <w:i/>
          <w:sz w:val="20"/>
        </w:rPr>
        <w:t>PDF (</w:t>
      </w:r>
      <w:r w:rsidRPr="005E3440">
        <w:rPr>
          <w:rFonts w:ascii="Palatino Linotype" w:hAnsi="Palatino Linotype" w:cs="Tahoma"/>
          <w:bCs/>
          <w:i/>
          <w:iCs/>
          <w:sz w:val="20"/>
        </w:rPr>
        <w:t>Portable Document Format</w:t>
      </w:r>
      <w:r w:rsidRPr="005E3440">
        <w:rPr>
          <w:rFonts w:ascii="Palatino Linotype" w:hAnsi="Palatino Linotype" w:cs="Tahoma"/>
          <w:bCs/>
          <w:i/>
          <w:sz w:val="20"/>
        </w:rPr>
        <w:t>) es un </w:t>
      </w:r>
      <w:r w:rsidRPr="005E3440">
        <w:rPr>
          <w:rFonts w:ascii="Palatino Linotype" w:hAnsi="Palatino Linotype" w:cs="Tahoma"/>
          <w:b/>
          <w:i/>
          <w:sz w:val="20"/>
        </w:rPr>
        <w:t>formato de almacenamiento</w:t>
      </w:r>
      <w:r w:rsidRPr="005E3440">
        <w:rPr>
          <w:rFonts w:ascii="Palatino Linotype" w:hAnsi="Palatino Linotype" w:cs="Tahoma"/>
          <w:bCs/>
          <w:i/>
          <w:sz w:val="20"/>
        </w:rPr>
        <w:t> para documentos digitales desarrollado por Adobe Systems –actualmente es un formato abierto  reconocido por la Organización Internacional para la Estandarización (ISO)– que se utiliza para presentar e intercambiar documentos de forma fiable, con independencia del software, hardware o sistema operativo que se emplee</w:t>
      </w:r>
      <w:r w:rsidRPr="005E3440">
        <w:rPr>
          <w:rFonts w:ascii="Palatino Linotype" w:hAnsi="Palatino Linotype" w:cs="Tahoma"/>
          <w:b/>
          <w:bCs/>
          <w:i/>
          <w:sz w:val="20"/>
        </w:rPr>
        <w:t>. Este formato se caracteriza por </w:t>
      </w:r>
      <w:r w:rsidRPr="005E3440">
        <w:rPr>
          <w:rFonts w:ascii="Palatino Linotype" w:hAnsi="Palatino Linotype" w:cs="Tahoma"/>
          <w:b/>
          <w:i/>
          <w:sz w:val="20"/>
        </w:rPr>
        <w:t xml:space="preserve">mantener el aspecto exacto del </w:t>
      </w:r>
      <w:r w:rsidRPr="005E3440">
        <w:rPr>
          <w:rFonts w:ascii="Palatino Linotype" w:hAnsi="Palatino Linotype" w:cs="Tahoma"/>
          <w:b/>
          <w:i/>
          <w:sz w:val="20"/>
        </w:rPr>
        <w:lastRenderedPageBreak/>
        <w:t>documento</w:t>
      </w:r>
      <w:r w:rsidRPr="005E3440">
        <w:rPr>
          <w:rFonts w:ascii="Palatino Linotype" w:hAnsi="Palatino Linotype" w:cs="Tahoma"/>
          <w:b/>
          <w:bCs/>
          <w:i/>
          <w:sz w:val="20"/>
        </w:rPr>
        <w:t> y por el hecho de que no es editable o modificable sin permisos</w:t>
      </w:r>
      <w:r w:rsidRPr="005E3440">
        <w:rPr>
          <w:rFonts w:ascii="Palatino Linotype" w:hAnsi="Palatino Linotype" w:cs="Tahoma"/>
          <w:bCs/>
          <w:i/>
          <w:sz w:val="20"/>
        </w:rPr>
        <w:t>. PDF es el formato ideal para colgar documentos ofimáticos en la web al reproducir el resultado visual exacto del archivo original con una </w:t>
      </w:r>
      <w:r w:rsidRPr="005E3440">
        <w:rPr>
          <w:rFonts w:ascii="Palatino Linotype" w:hAnsi="Palatino Linotype" w:cs="Tahoma"/>
          <w:b/>
          <w:i/>
          <w:sz w:val="20"/>
        </w:rPr>
        <w:t>reducción significativa de tamaño</w:t>
      </w:r>
      <w:r w:rsidRPr="005E3440">
        <w:rPr>
          <w:rFonts w:ascii="Palatino Linotype" w:hAnsi="Palatino Linotype" w:cs="Tahoma"/>
          <w:bCs/>
          <w:i/>
          <w:sz w:val="20"/>
        </w:rPr>
        <w:t>.</w:t>
      </w:r>
    </w:p>
    <w:p w14:paraId="51ED63F3" w14:textId="62985974" w:rsidR="00CA63A5" w:rsidRPr="005E3440" w:rsidRDefault="00CA63A5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sz w:val="20"/>
        </w:rPr>
      </w:pPr>
      <w:r w:rsidRPr="005E3440">
        <w:rPr>
          <w:rFonts w:ascii="Palatino Linotype" w:hAnsi="Palatino Linotype" w:cs="Tahoma"/>
          <w:bCs/>
          <w:sz w:val="20"/>
        </w:rPr>
        <w:t>(Énfasis añadido)</w:t>
      </w:r>
    </w:p>
    <w:p w14:paraId="3BD53696" w14:textId="77777777" w:rsidR="00CA63A5" w:rsidRPr="005E3440" w:rsidRDefault="00CA63A5" w:rsidP="00B014FF">
      <w:pPr>
        <w:spacing w:after="0" w:line="360" w:lineRule="auto"/>
        <w:ind w:left="567"/>
        <w:jc w:val="both"/>
        <w:rPr>
          <w:rFonts w:ascii="Palatino Linotype" w:hAnsi="Palatino Linotype" w:cs="Tahoma"/>
          <w:bCs/>
          <w:sz w:val="20"/>
        </w:rPr>
      </w:pPr>
    </w:p>
    <w:p w14:paraId="3DF6F660" w14:textId="55C4BF63" w:rsidR="00B014FF" w:rsidRPr="005E3440" w:rsidRDefault="00CA63A5" w:rsidP="00B014FF">
      <w:pPr>
        <w:spacing w:after="0" w:line="360" w:lineRule="auto"/>
        <w:jc w:val="both"/>
        <w:rPr>
          <w:rFonts w:ascii="Palatino Linotype" w:hAnsi="Palatino Linotype" w:cs="Tahoma"/>
          <w:b/>
          <w:bCs/>
        </w:rPr>
      </w:pPr>
      <w:r w:rsidRPr="005E3440">
        <w:rPr>
          <w:rFonts w:ascii="Palatino Linotype" w:hAnsi="Palatino Linotype" w:cs="Tahoma"/>
          <w:bCs/>
        </w:rPr>
        <w:t xml:space="preserve">Del concepto anterior se desprende que el formato </w:t>
      </w:r>
      <w:r w:rsidRPr="005E3440">
        <w:rPr>
          <w:rFonts w:ascii="Palatino Linotype" w:hAnsi="Palatino Linotype" w:cs="Tahoma"/>
          <w:bCs/>
          <w:i/>
        </w:rPr>
        <w:t xml:space="preserve">pdf, </w:t>
      </w:r>
      <w:r w:rsidRPr="005E3440">
        <w:rPr>
          <w:rFonts w:ascii="Palatino Linotype" w:hAnsi="Palatino Linotype" w:cs="Tahoma"/>
          <w:bCs/>
        </w:rPr>
        <w:t xml:space="preserve">es aquel que permite que el archivo mantenga el aspecto original del documento </w:t>
      </w:r>
      <w:r w:rsidRPr="005E3440">
        <w:rPr>
          <w:rFonts w:ascii="Palatino Linotype" w:hAnsi="Palatino Linotype" w:cs="Tahoma"/>
          <w:b/>
          <w:bCs/>
          <w:u w:val="single"/>
        </w:rPr>
        <w:t>y que no sea editable</w:t>
      </w:r>
      <w:r w:rsidR="00920E0E" w:rsidRPr="005E3440">
        <w:rPr>
          <w:rFonts w:ascii="Palatino Linotype" w:hAnsi="Palatino Linotype" w:cs="Tahoma"/>
          <w:b/>
          <w:bCs/>
          <w:u w:val="single"/>
        </w:rPr>
        <w:t xml:space="preserve"> sin autorizaciones</w:t>
      </w:r>
      <w:r w:rsidR="00920E0E" w:rsidRPr="005E3440">
        <w:rPr>
          <w:rFonts w:ascii="Palatino Linotype" w:hAnsi="Palatino Linotype" w:cs="Tahoma"/>
          <w:bCs/>
        </w:rPr>
        <w:t xml:space="preserve">; así pues, podemos advertir que el Particular pretende acceder a los recibos de nómina en un formato que, primero, no sea editable y que mantenga el aspecto del original. </w:t>
      </w:r>
      <w:r w:rsidR="006951E4" w:rsidRPr="005E3440">
        <w:rPr>
          <w:rFonts w:ascii="Palatino Linotype" w:hAnsi="Palatino Linotype" w:cs="Tahoma"/>
          <w:bCs/>
        </w:rPr>
        <w:t xml:space="preserve"> </w:t>
      </w:r>
      <w:r w:rsidR="00920E0E" w:rsidRPr="005E3440">
        <w:rPr>
          <w:rFonts w:ascii="Palatino Linotype" w:hAnsi="Palatino Linotype" w:cs="Tahoma"/>
          <w:bCs/>
        </w:rPr>
        <w:t xml:space="preserve">Ahora bien, del formato de datos abiertos; </w:t>
      </w:r>
      <w:r w:rsidR="00B014FF" w:rsidRPr="005E3440">
        <w:rPr>
          <w:rFonts w:ascii="Palatino Linotype" w:hAnsi="Palatino Linotype" w:cs="Tahoma"/>
          <w:bCs/>
        </w:rPr>
        <w:t xml:space="preserve">la Carta Internacional de Datos Abiertos; véase: </w:t>
      </w:r>
      <w:hyperlink r:id="rId9" w:history="1">
        <w:r w:rsidR="00B014FF" w:rsidRPr="005E3440">
          <w:rPr>
            <w:rStyle w:val="Hipervnculo"/>
            <w:rFonts w:ascii="Palatino Linotype" w:hAnsi="Palatino Linotype" w:cs="Tahoma"/>
            <w:bCs/>
          </w:rPr>
          <w:t>https://opendatacharter.net/principles-es/</w:t>
        </w:r>
      </w:hyperlink>
      <w:r w:rsidR="00B014FF" w:rsidRPr="005E3440">
        <w:rPr>
          <w:rFonts w:ascii="Palatino Linotype" w:hAnsi="Palatino Linotype" w:cs="Tahoma"/>
          <w:bCs/>
        </w:rPr>
        <w:t xml:space="preserve">; prevé: </w:t>
      </w:r>
      <w:r w:rsidR="00B014FF" w:rsidRPr="005E3440">
        <w:rPr>
          <w:rFonts w:ascii="Palatino Linotype" w:hAnsi="Palatino Linotype" w:cs="Tahoma"/>
          <w:bCs/>
          <w:i/>
        </w:rPr>
        <w:t xml:space="preserve">Datos abiertos son datos digitales que son puestos a disposición con las características técnicas y jurídicas necesarias para que </w:t>
      </w:r>
      <w:r w:rsidR="00B014FF" w:rsidRPr="005E3440">
        <w:rPr>
          <w:rFonts w:ascii="Palatino Linotype" w:hAnsi="Palatino Linotype" w:cs="Tahoma"/>
          <w:b/>
          <w:bCs/>
          <w:i/>
        </w:rPr>
        <w:t xml:space="preserve">puedan ser </w:t>
      </w:r>
      <w:r w:rsidR="00B014FF" w:rsidRPr="005E3440">
        <w:rPr>
          <w:rFonts w:ascii="Palatino Linotype" w:hAnsi="Palatino Linotype" w:cs="Tahoma"/>
          <w:b/>
          <w:bCs/>
          <w:i/>
          <w:u w:val="single"/>
        </w:rPr>
        <w:t>usados, reutilizados y redistribuidos</w:t>
      </w:r>
      <w:r w:rsidR="00B014FF" w:rsidRPr="005E3440">
        <w:rPr>
          <w:rFonts w:ascii="Palatino Linotype" w:hAnsi="Palatino Linotype" w:cs="Tahoma"/>
          <w:b/>
          <w:bCs/>
          <w:i/>
        </w:rPr>
        <w:t xml:space="preserve"> libremente por cualquier persona, en cualquier momento y en cualquier lugar.</w:t>
      </w:r>
    </w:p>
    <w:p w14:paraId="46571C2A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7A1591C0" w14:textId="22729F7B" w:rsidR="00920E0E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t xml:space="preserve">Por su parte, </w:t>
      </w:r>
      <w:r w:rsidR="005E3440">
        <w:rPr>
          <w:rFonts w:ascii="Palatino Linotype" w:hAnsi="Palatino Linotype" w:cs="Tahoma"/>
          <w:bCs/>
        </w:rPr>
        <w:t>el Decreto por el que se estable</w:t>
      </w:r>
      <w:r w:rsidR="00920E0E" w:rsidRPr="005E3440">
        <w:rPr>
          <w:rFonts w:ascii="Palatino Linotype" w:hAnsi="Palatino Linotype" w:cs="Tahoma"/>
          <w:bCs/>
        </w:rPr>
        <w:t>ce</w:t>
      </w:r>
      <w:r w:rsidR="005E3440">
        <w:rPr>
          <w:rFonts w:ascii="Palatino Linotype" w:hAnsi="Palatino Linotype" w:cs="Tahoma"/>
          <w:bCs/>
        </w:rPr>
        <w:t xml:space="preserve"> </w:t>
      </w:r>
      <w:r w:rsidR="00920E0E" w:rsidRPr="005E3440">
        <w:rPr>
          <w:rFonts w:ascii="Palatino Linotype" w:hAnsi="Palatino Linotype" w:cs="Tahoma"/>
          <w:bCs/>
        </w:rPr>
        <w:t xml:space="preserve">la regulación en materia de Datos Abiertos; véase: </w:t>
      </w:r>
      <w:hyperlink r:id="rId10" w:anchor="gsc.tab=0" w:history="1">
        <w:r w:rsidR="00920E0E" w:rsidRPr="005E3440">
          <w:rPr>
            <w:rStyle w:val="Hipervnculo"/>
            <w:rFonts w:ascii="Palatino Linotype" w:hAnsi="Palatino Linotype" w:cs="Tahoma"/>
            <w:bCs/>
          </w:rPr>
          <w:t>https://www.dof.gob.mx/nota_detalle.php?codigo=5382838&amp;fecha=20/02/2015#gsc.tab=0</w:t>
        </w:r>
      </w:hyperlink>
      <w:r w:rsidR="00920E0E" w:rsidRPr="005E3440">
        <w:rPr>
          <w:rFonts w:ascii="Palatino Linotype" w:hAnsi="Palatino Linotype" w:cs="Tahoma"/>
          <w:bCs/>
        </w:rPr>
        <w:t xml:space="preserve">; </w:t>
      </w:r>
      <w:r w:rsidR="005E3440">
        <w:rPr>
          <w:rFonts w:ascii="Palatino Linotype" w:hAnsi="Palatino Linotype" w:cs="Tahoma"/>
          <w:bCs/>
        </w:rPr>
        <w:t>indica</w:t>
      </w:r>
      <w:r w:rsidR="00920E0E" w:rsidRPr="005E3440">
        <w:rPr>
          <w:rFonts w:ascii="Palatino Linotype" w:hAnsi="Palatino Linotype" w:cs="Tahoma"/>
          <w:bCs/>
        </w:rPr>
        <w:t xml:space="preserve"> lo siguiente:  </w:t>
      </w:r>
    </w:p>
    <w:p w14:paraId="1EE1C72B" w14:textId="77777777" w:rsidR="00920E0E" w:rsidRPr="005E3440" w:rsidRDefault="00920E0E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1CEC5091" w14:textId="58BBB2A7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/>
          <w:bCs/>
          <w:i/>
          <w:sz w:val="20"/>
        </w:rPr>
      </w:pPr>
      <w:r w:rsidRPr="005E3440">
        <w:rPr>
          <w:rFonts w:ascii="Palatino Linotype" w:hAnsi="Palatino Linotype" w:cs="Tahoma"/>
          <w:b/>
          <w:bCs/>
          <w:i/>
          <w:sz w:val="20"/>
        </w:rPr>
        <w:t>ARTÍCULO SEGUNDO.- Para los efectos del presente Decreto, se entenderá por:</w:t>
      </w:r>
    </w:p>
    <w:p w14:paraId="33C1A568" w14:textId="21EC6622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sz w:val="20"/>
        </w:rPr>
      </w:pPr>
      <w:r w:rsidRPr="005E3440">
        <w:rPr>
          <w:rFonts w:ascii="Palatino Linotype" w:hAnsi="Palatino Linotype" w:cs="Tahoma"/>
          <w:bCs/>
          <w:i/>
          <w:sz w:val="20"/>
        </w:rPr>
        <w:t>I al IV…</w:t>
      </w:r>
    </w:p>
    <w:p w14:paraId="0516FB40" w14:textId="7F627830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sz w:val="20"/>
        </w:rPr>
      </w:pPr>
      <w:r w:rsidRPr="005E3440">
        <w:rPr>
          <w:rFonts w:ascii="Palatino Linotype" w:hAnsi="Palatino Linotype" w:cs="Tahoma"/>
          <w:b/>
          <w:bCs/>
          <w:i/>
          <w:sz w:val="20"/>
        </w:rPr>
        <w:t>V.       Datos abiertos</w:t>
      </w:r>
      <w:r w:rsidRPr="005E3440">
        <w:rPr>
          <w:rFonts w:ascii="Palatino Linotype" w:hAnsi="Palatino Linotype" w:cs="Tahoma"/>
          <w:bCs/>
          <w:i/>
          <w:sz w:val="20"/>
        </w:rPr>
        <w:t xml:space="preserve">: los datos digitales de carácter público que son accesibles en línea, y pueden </w:t>
      </w:r>
      <w:r w:rsidRPr="005E3440">
        <w:rPr>
          <w:rFonts w:ascii="Palatino Linotype" w:hAnsi="Palatino Linotype" w:cs="Tahoma"/>
          <w:b/>
          <w:bCs/>
          <w:i/>
          <w:sz w:val="20"/>
          <w:u w:val="single"/>
        </w:rPr>
        <w:t>ser usados, reutilizados y redistribuidos</w:t>
      </w:r>
      <w:r w:rsidRPr="005E3440">
        <w:rPr>
          <w:rFonts w:ascii="Palatino Linotype" w:hAnsi="Palatino Linotype" w:cs="Tahoma"/>
          <w:bCs/>
          <w:i/>
          <w:sz w:val="20"/>
        </w:rPr>
        <w:t>, por cualquier interesado</w:t>
      </w:r>
    </w:p>
    <w:p w14:paraId="7FA9C690" w14:textId="74830BBA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sz w:val="20"/>
        </w:rPr>
      </w:pPr>
      <w:r w:rsidRPr="005E3440">
        <w:rPr>
          <w:rFonts w:ascii="Palatino Linotype" w:hAnsi="Palatino Linotype" w:cs="Tahoma"/>
          <w:bCs/>
          <w:i/>
          <w:sz w:val="20"/>
        </w:rPr>
        <w:t xml:space="preserve">VI al </w:t>
      </w:r>
      <w:r w:rsidR="00832DD2" w:rsidRPr="005E3440">
        <w:rPr>
          <w:rFonts w:ascii="Palatino Linotype" w:hAnsi="Palatino Linotype" w:cs="Tahoma"/>
          <w:bCs/>
          <w:i/>
          <w:sz w:val="20"/>
        </w:rPr>
        <w:t>VIII…</w:t>
      </w:r>
    </w:p>
    <w:p w14:paraId="0F7C418C" w14:textId="457F4C80" w:rsidR="00832DD2" w:rsidRPr="005E3440" w:rsidRDefault="00832DD2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sz w:val="20"/>
        </w:rPr>
      </w:pPr>
      <w:r w:rsidRPr="005E3440">
        <w:rPr>
          <w:rFonts w:ascii="Palatino Linotype" w:hAnsi="Palatino Linotype" w:cs="Tahoma"/>
          <w:b/>
          <w:bCs/>
          <w:i/>
          <w:sz w:val="20"/>
        </w:rPr>
        <w:lastRenderedPageBreak/>
        <w:t>IX.      Formato Abierto:</w:t>
      </w:r>
      <w:r w:rsidRPr="005E3440">
        <w:rPr>
          <w:rFonts w:ascii="Palatino Linotype" w:hAnsi="Palatino Linotype" w:cs="Tahoma"/>
          <w:bCs/>
          <w:i/>
          <w:sz w:val="20"/>
        </w:rPr>
        <w:t xml:space="preserve"> el conjunto de características técnicas y de presentación que corresponden a la estructura lógica usada para almacenar datos en un archivo digital, cuyas especificaciones técnicas están disponibles públicamente, </w:t>
      </w:r>
      <w:r w:rsidRPr="005E3440">
        <w:rPr>
          <w:rFonts w:ascii="Palatino Linotype" w:hAnsi="Palatino Linotype" w:cs="Tahoma"/>
          <w:b/>
          <w:bCs/>
          <w:i/>
          <w:sz w:val="20"/>
          <w:u w:val="single"/>
        </w:rPr>
        <w:t>que no suponen una dificultad de acceso y que su aplicación y reproducción no estén condicionadas a contraprestación alguna</w:t>
      </w:r>
      <w:r w:rsidRPr="005E3440">
        <w:rPr>
          <w:rFonts w:ascii="Palatino Linotype" w:hAnsi="Palatino Linotype" w:cs="Tahoma"/>
          <w:bCs/>
          <w:i/>
          <w:sz w:val="20"/>
        </w:rPr>
        <w:t>;</w:t>
      </w:r>
    </w:p>
    <w:p w14:paraId="690AE4FD" w14:textId="313D5956" w:rsidR="00832DD2" w:rsidRPr="005E3440" w:rsidRDefault="00832DD2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sz w:val="20"/>
        </w:rPr>
      </w:pPr>
      <w:r w:rsidRPr="005E3440">
        <w:rPr>
          <w:rFonts w:ascii="Palatino Linotype" w:hAnsi="Palatino Linotype" w:cs="Tahoma"/>
          <w:bCs/>
          <w:i/>
          <w:sz w:val="20"/>
        </w:rPr>
        <w:t>X al XII…</w:t>
      </w:r>
    </w:p>
    <w:p w14:paraId="1998FCF4" w14:textId="148546CA" w:rsidR="00832DD2" w:rsidRPr="005E3440" w:rsidRDefault="00832DD2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sz w:val="20"/>
        </w:rPr>
      </w:pPr>
      <w:r w:rsidRPr="005E3440">
        <w:rPr>
          <w:rFonts w:ascii="Palatino Linotype" w:hAnsi="Palatino Linotype" w:cs="Tahoma"/>
          <w:bCs/>
          <w:sz w:val="20"/>
        </w:rPr>
        <w:t>(Énfasis añadido)</w:t>
      </w:r>
    </w:p>
    <w:p w14:paraId="6665D2BA" w14:textId="77777777" w:rsidR="00B014FF" w:rsidRPr="005E3440" w:rsidRDefault="00B014FF" w:rsidP="00B014FF">
      <w:pPr>
        <w:spacing w:after="0" w:line="360" w:lineRule="auto"/>
        <w:ind w:left="567"/>
        <w:jc w:val="both"/>
        <w:rPr>
          <w:rFonts w:ascii="Palatino Linotype" w:hAnsi="Palatino Linotype" w:cs="Tahoma"/>
          <w:bCs/>
          <w:sz w:val="20"/>
        </w:rPr>
      </w:pPr>
    </w:p>
    <w:p w14:paraId="62C083CB" w14:textId="253945D9" w:rsidR="00920E0E" w:rsidRPr="005E3440" w:rsidRDefault="00832DD2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t xml:space="preserve">Lo anterior, se robustece con lo dispuesto por la </w:t>
      </w:r>
      <w:r w:rsidR="00920E0E" w:rsidRPr="005E3440">
        <w:rPr>
          <w:rFonts w:ascii="Palatino Linotype" w:hAnsi="Palatino Linotype" w:cs="Tahoma"/>
          <w:bCs/>
        </w:rPr>
        <w:t xml:space="preserve">Ley de Transparencia y Acceso a la Información Pública del Estado de México y Municipios; </w:t>
      </w:r>
      <w:r w:rsidR="00335E0D">
        <w:rPr>
          <w:rFonts w:ascii="Palatino Linotype" w:hAnsi="Palatino Linotype" w:cs="Tahoma"/>
          <w:bCs/>
        </w:rPr>
        <w:t xml:space="preserve">la cual </w:t>
      </w:r>
      <w:r w:rsidR="00920E0E" w:rsidRPr="005E3440">
        <w:rPr>
          <w:rFonts w:ascii="Palatino Linotype" w:hAnsi="Palatino Linotype" w:cs="Tahoma"/>
          <w:bCs/>
        </w:rPr>
        <w:t>establece en su artículo 3</w:t>
      </w:r>
      <w:r w:rsidR="00335E0D">
        <w:rPr>
          <w:rFonts w:ascii="Palatino Linotype" w:hAnsi="Palatino Linotype" w:cs="Tahoma"/>
          <w:bCs/>
        </w:rPr>
        <w:t>°</w:t>
      </w:r>
      <w:r w:rsidR="00920E0E" w:rsidRPr="005E3440">
        <w:rPr>
          <w:rFonts w:ascii="Palatino Linotype" w:hAnsi="Palatino Linotype" w:cs="Tahoma"/>
          <w:bCs/>
        </w:rPr>
        <w:t>, fracción VIII, lo siguiente:</w:t>
      </w:r>
    </w:p>
    <w:p w14:paraId="50CDADCB" w14:textId="77777777" w:rsidR="00920E0E" w:rsidRPr="005E3440" w:rsidRDefault="00920E0E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7D911909" w14:textId="1DB691DA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b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Artículo 3. Para los efectos de la presente Ley se entenderá por:</w:t>
      </w:r>
    </w:p>
    <w:p w14:paraId="000623F4" w14:textId="22348319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i/>
          <w:sz w:val="20"/>
        </w:rPr>
        <w:t>I al VII…</w:t>
      </w:r>
    </w:p>
    <w:p w14:paraId="117ECB68" w14:textId="38311293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VIII. Datos abiertos</w:t>
      </w:r>
      <w:r w:rsidRPr="005E3440">
        <w:rPr>
          <w:rFonts w:ascii="Palatino Linotype" w:hAnsi="Palatino Linotype"/>
          <w:i/>
          <w:sz w:val="20"/>
        </w:rPr>
        <w:t xml:space="preserve">: Los datos digitales de carácter público </w:t>
      </w:r>
      <w:r w:rsidRPr="005E3440">
        <w:rPr>
          <w:rFonts w:ascii="Palatino Linotype" w:hAnsi="Palatino Linotype"/>
          <w:b/>
          <w:i/>
          <w:sz w:val="20"/>
        </w:rPr>
        <w:t>que son accesibles</w:t>
      </w:r>
      <w:r w:rsidRPr="005E3440">
        <w:rPr>
          <w:rFonts w:ascii="Palatino Linotype" w:hAnsi="Palatino Linotype"/>
          <w:i/>
          <w:sz w:val="20"/>
        </w:rPr>
        <w:t xml:space="preserve"> en línea </w:t>
      </w:r>
      <w:r w:rsidRPr="005E3440">
        <w:rPr>
          <w:rFonts w:ascii="Palatino Linotype" w:hAnsi="Palatino Linotype"/>
          <w:b/>
          <w:i/>
          <w:sz w:val="20"/>
        </w:rPr>
        <w:t xml:space="preserve">que pueden </w:t>
      </w:r>
      <w:r w:rsidRPr="005E3440">
        <w:rPr>
          <w:rFonts w:ascii="Palatino Linotype" w:hAnsi="Palatino Linotype"/>
          <w:b/>
          <w:i/>
          <w:sz w:val="20"/>
          <w:u w:val="single"/>
        </w:rPr>
        <w:t>ser usados, reutilizados y redistribuidos</w:t>
      </w:r>
      <w:r w:rsidRPr="005E3440">
        <w:rPr>
          <w:rFonts w:ascii="Palatino Linotype" w:hAnsi="Palatino Linotype"/>
          <w:i/>
          <w:sz w:val="20"/>
        </w:rPr>
        <w:t xml:space="preserve"> por cualquier interesado y que tienen las siguientes características:</w:t>
      </w:r>
    </w:p>
    <w:p w14:paraId="427A7BBC" w14:textId="3D1246B8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 xml:space="preserve">a) Accesibles: </w:t>
      </w:r>
      <w:r w:rsidRPr="005E3440">
        <w:rPr>
          <w:rFonts w:ascii="Palatino Linotype" w:hAnsi="Palatino Linotype"/>
          <w:i/>
          <w:sz w:val="20"/>
        </w:rPr>
        <w:t>Los datos están disponibles para la gama más amplia de usuarios, para cualquier propósito;</w:t>
      </w:r>
    </w:p>
    <w:p w14:paraId="012FE387" w14:textId="75733FA5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b) Integrales</w:t>
      </w:r>
      <w:r w:rsidRPr="005E3440">
        <w:rPr>
          <w:rFonts w:ascii="Palatino Linotype" w:hAnsi="Palatino Linotype"/>
          <w:i/>
          <w:sz w:val="20"/>
        </w:rPr>
        <w:t>: Contienen el tema que describen a detalle y con los metadatos necesarios;</w:t>
      </w:r>
    </w:p>
    <w:p w14:paraId="5155AC13" w14:textId="77777777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c) Gratuitos</w:t>
      </w:r>
      <w:r w:rsidRPr="005E3440">
        <w:rPr>
          <w:rFonts w:ascii="Palatino Linotype" w:hAnsi="Palatino Linotype"/>
          <w:i/>
          <w:sz w:val="20"/>
        </w:rPr>
        <w:t xml:space="preserve">: Se obtienen sin entregar a cambio contraprestación alguna; </w:t>
      </w:r>
    </w:p>
    <w:p w14:paraId="34E7DC6E" w14:textId="77777777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d) No discriminatorios:</w:t>
      </w:r>
      <w:r w:rsidRPr="005E3440">
        <w:rPr>
          <w:rFonts w:ascii="Palatino Linotype" w:hAnsi="Palatino Linotype"/>
          <w:i/>
          <w:sz w:val="20"/>
        </w:rPr>
        <w:t xml:space="preserve"> Los datos están disponibles para cualquier persona, sin necesidad de registro; </w:t>
      </w:r>
    </w:p>
    <w:p w14:paraId="27B5EC01" w14:textId="77777777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e) Oportunos</w:t>
      </w:r>
      <w:r w:rsidRPr="005E3440">
        <w:rPr>
          <w:rFonts w:ascii="Palatino Linotype" w:hAnsi="Palatino Linotype"/>
          <w:i/>
          <w:sz w:val="20"/>
        </w:rPr>
        <w:t xml:space="preserve">: Son actualizados, periódicamente, conforme se generen; </w:t>
      </w:r>
    </w:p>
    <w:p w14:paraId="6B9862D0" w14:textId="77777777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f) Permanentes</w:t>
      </w:r>
      <w:r w:rsidRPr="005E3440">
        <w:rPr>
          <w:rFonts w:ascii="Palatino Linotype" w:hAnsi="Palatino Linotype"/>
          <w:i/>
          <w:sz w:val="20"/>
        </w:rPr>
        <w:t xml:space="preserve">: Se conservan en el tiempo, para lo cual, las versiones históricas relevantes para uso público se mantendrán disponibles con identificadores adecuados al efecto; </w:t>
      </w:r>
    </w:p>
    <w:p w14:paraId="2068EF9B" w14:textId="77777777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lastRenderedPageBreak/>
        <w:t>g) Primarios</w:t>
      </w:r>
      <w:r w:rsidRPr="005E3440">
        <w:rPr>
          <w:rFonts w:ascii="Palatino Linotype" w:hAnsi="Palatino Linotype"/>
          <w:i/>
          <w:sz w:val="20"/>
        </w:rPr>
        <w:t xml:space="preserve">: Provienen de la fuente de origen con el máximo nivel de desagregación posible; </w:t>
      </w:r>
    </w:p>
    <w:p w14:paraId="0BDD26EC" w14:textId="77777777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h) Legibles por máquinas</w:t>
      </w:r>
      <w:r w:rsidRPr="005E3440">
        <w:rPr>
          <w:rFonts w:ascii="Palatino Linotype" w:hAnsi="Palatino Linotype"/>
          <w:i/>
          <w:sz w:val="20"/>
        </w:rPr>
        <w:t xml:space="preserve">: Deberán estar estructurados, total o parcialmente, para ser procesados e interpretados por equipos electrónicos de manera automática; </w:t>
      </w:r>
    </w:p>
    <w:p w14:paraId="0F7118E5" w14:textId="77777777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b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i) En formatos abiertos</w:t>
      </w:r>
      <w:r w:rsidRPr="005E3440">
        <w:rPr>
          <w:rFonts w:ascii="Palatino Linotype" w:hAnsi="Palatino Linotype"/>
          <w:i/>
          <w:sz w:val="20"/>
        </w:rPr>
        <w:t>: Los datos estarán disponibles c</w:t>
      </w:r>
      <w:r w:rsidRPr="005E3440">
        <w:rPr>
          <w:rFonts w:ascii="Palatino Linotype" w:hAnsi="Palatino Linotype"/>
          <w:b/>
          <w:i/>
          <w:sz w:val="20"/>
        </w:rPr>
        <w:t xml:space="preserve">on el conjunto de características técnicas y de presentación </w:t>
      </w:r>
      <w:r w:rsidRPr="005E3440">
        <w:rPr>
          <w:rFonts w:ascii="Palatino Linotype" w:hAnsi="Palatino Linotype"/>
          <w:i/>
          <w:sz w:val="20"/>
        </w:rPr>
        <w:t xml:space="preserve">que corresponden a la estructura lógica usada para almacenar datos en un archivo digital, </w:t>
      </w:r>
      <w:r w:rsidRPr="005E3440">
        <w:rPr>
          <w:rFonts w:ascii="Palatino Linotype" w:hAnsi="Palatino Linotype"/>
          <w:b/>
          <w:i/>
          <w:sz w:val="20"/>
        </w:rPr>
        <w:t>cuyas especificaciones técnicas están disponibles públicamente</w:t>
      </w:r>
      <w:r w:rsidRPr="005E3440">
        <w:rPr>
          <w:rFonts w:ascii="Palatino Linotype" w:hAnsi="Palatino Linotype"/>
          <w:i/>
          <w:sz w:val="20"/>
        </w:rPr>
        <w:t xml:space="preserve">, que </w:t>
      </w:r>
      <w:r w:rsidRPr="005E3440">
        <w:rPr>
          <w:rFonts w:ascii="Palatino Linotype" w:hAnsi="Palatino Linotype"/>
          <w:b/>
          <w:i/>
          <w:sz w:val="20"/>
        </w:rPr>
        <w:t xml:space="preserve">no suponen una dificultad de acceso y </w:t>
      </w:r>
      <w:r w:rsidRPr="005E3440">
        <w:rPr>
          <w:rFonts w:ascii="Palatino Linotype" w:hAnsi="Palatino Linotype"/>
          <w:b/>
          <w:i/>
          <w:sz w:val="20"/>
          <w:u w:val="single"/>
        </w:rPr>
        <w:t>que su aplicación y reproducción no estén condicionadas</w:t>
      </w:r>
      <w:r w:rsidRPr="005E3440">
        <w:rPr>
          <w:rFonts w:ascii="Palatino Linotype" w:hAnsi="Palatino Linotype"/>
          <w:b/>
          <w:i/>
          <w:sz w:val="20"/>
        </w:rPr>
        <w:t xml:space="preserve"> a contraprestación alguna; y </w:t>
      </w:r>
    </w:p>
    <w:p w14:paraId="615D9DBE" w14:textId="00D4B7E0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b/>
          <w:i/>
          <w:sz w:val="20"/>
        </w:rPr>
        <w:t>j) De libre uso:</w:t>
      </w:r>
      <w:r w:rsidRPr="005E3440">
        <w:rPr>
          <w:rFonts w:ascii="Palatino Linotype" w:hAnsi="Palatino Linotype"/>
          <w:i/>
          <w:sz w:val="20"/>
        </w:rPr>
        <w:t xml:space="preserve"> Citan la fuente de origen como único requerimiento para ser utilizados libremente.</w:t>
      </w:r>
    </w:p>
    <w:p w14:paraId="7B9EC611" w14:textId="0A001E65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/>
          <w:i/>
          <w:sz w:val="20"/>
        </w:rPr>
      </w:pPr>
      <w:r w:rsidRPr="005E3440">
        <w:rPr>
          <w:rFonts w:ascii="Palatino Linotype" w:hAnsi="Palatino Linotype"/>
          <w:i/>
          <w:sz w:val="20"/>
        </w:rPr>
        <w:t>IX al XLV…</w:t>
      </w:r>
    </w:p>
    <w:p w14:paraId="1813A40F" w14:textId="59270CCB" w:rsidR="00920E0E" w:rsidRPr="005E3440" w:rsidRDefault="00920E0E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sz w:val="20"/>
        </w:rPr>
      </w:pPr>
      <w:r w:rsidRPr="005E3440">
        <w:rPr>
          <w:rFonts w:ascii="Palatino Linotype" w:hAnsi="Palatino Linotype"/>
          <w:sz w:val="20"/>
        </w:rPr>
        <w:t>(Énfasis añadido)</w:t>
      </w:r>
    </w:p>
    <w:p w14:paraId="6FE9B2BC" w14:textId="77777777" w:rsidR="00920E0E" w:rsidRPr="005E3440" w:rsidRDefault="00920E0E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4AD7E046" w14:textId="77777777" w:rsidR="00A0343E" w:rsidRPr="005E3440" w:rsidRDefault="00832DD2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t xml:space="preserve">Derivado de lo anterior, es dable considerar que los datos abiertos cumplen con la finalidad de poder ser utilizados, </w:t>
      </w:r>
      <w:r w:rsidRPr="005E3440">
        <w:rPr>
          <w:rFonts w:ascii="Palatino Linotype" w:hAnsi="Palatino Linotype" w:cs="Tahoma"/>
          <w:b/>
          <w:bCs/>
          <w:u w:val="single"/>
        </w:rPr>
        <w:t xml:space="preserve">reutilizados </w:t>
      </w:r>
      <w:r w:rsidRPr="005E3440">
        <w:rPr>
          <w:rFonts w:ascii="Palatino Linotype" w:hAnsi="Palatino Linotype" w:cs="Tahoma"/>
          <w:bCs/>
        </w:rPr>
        <w:t>y redistribuidos; y</w:t>
      </w:r>
      <w:r w:rsidR="00A0343E" w:rsidRPr="005E3440">
        <w:rPr>
          <w:rFonts w:ascii="Palatino Linotype" w:hAnsi="Palatino Linotype" w:cs="Tahoma"/>
          <w:bCs/>
        </w:rPr>
        <w:t xml:space="preserve"> que</w:t>
      </w:r>
      <w:r w:rsidRPr="005E3440">
        <w:rPr>
          <w:rFonts w:ascii="Palatino Linotype" w:hAnsi="Palatino Linotype" w:cs="Tahoma"/>
          <w:bCs/>
        </w:rPr>
        <w:t xml:space="preserve"> el formato de datos abiertos, </w:t>
      </w:r>
      <w:r w:rsidRPr="005E3440">
        <w:rPr>
          <w:rFonts w:ascii="Palatino Linotype" w:hAnsi="Palatino Linotype" w:cs="Tahoma"/>
          <w:b/>
          <w:bCs/>
        </w:rPr>
        <w:t>debe permitir la aplicación y reproducción</w:t>
      </w:r>
      <w:r w:rsidRPr="005E3440">
        <w:rPr>
          <w:rFonts w:ascii="Palatino Linotype" w:hAnsi="Palatino Linotype" w:cs="Tahoma"/>
          <w:bCs/>
        </w:rPr>
        <w:t xml:space="preserve"> de la información sin estar condicionados a contraprestaciones; así pues, se determina que el Particular pretendió acceder a la documentación en un formato que ofreciera identidad con el original y que permitiera la posibilidad de reutilización</w:t>
      </w:r>
      <w:r w:rsidR="00A0343E" w:rsidRPr="005E3440">
        <w:rPr>
          <w:rFonts w:ascii="Palatino Linotype" w:hAnsi="Palatino Linotype" w:cs="Tahoma"/>
          <w:bCs/>
        </w:rPr>
        <w:t>; lo anterior no debe traducirse en la posibilidad de alteración, edición o modificación del original</w:t>
      </w:r>
      <w:r w:rsidRPr="005E3440">
        <w:rPr>
          <w:rFonts w:ascii="Palatino Linotype" w:hAnsi="Palatino Linotype" w:cs="Tahoma"/>
          <w:bCs/>
        </w:rPr>
        <w:t>.</w:t>
      </w:r>
    </w:p>
    <w:p w14:paraId="462FD2BD" w14:textId="77777777" w:rsidR="00A0343E" w:rsidRPr="005E3440" w:rsidRDefault="00A0343E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1E8BCBE2" w14:textId="4955EB65" w:rsidR="00A0343E" w:rsidRPr="005E3440" w:rsidRDefault="00A0343E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t xml:space="preserve">En este contexto y para el caso que nos ocupa, el Sujeto Obligado remitió los recibos de nómina en formato </w:t>
      </w:r>
      <w:r w:rsidRPr="005E3440">
        <w:rPr>
          <w:rFonts w:ascii="Palatino Linotype" w:hAnsi="Palatino Linotype" w:cs="Tahoma"/>
          <w:bCs/>
          <w:i/>
        </w:rPr>
        <w:t xml:space="preserve">docx y pdf; </w:t>
      </w:r>
      <w:r w:rsidRPr="005E3440">
        <w:rPr>
          <w:rFonts w:ascii="Palatino Linotype" w:hAnsi="Palatino Linotype" w:cs="Tahoma"/>
          <w:bCs/>
        </w:rPr>
        <w:t xml:space="preserve"> el primero de ellos, al que se puede acceder a través del </w:t>
      </w:r>
      <w:r w:rsidRPr="005E3440">
        <w:rPr>
          <w:rFonts w:ascii="Palatino Linotype" w:hAnsi="Palatino Linotype" w:cs="Tahoma"/>
          <w:bCs/>
          <w:i/>
        </w:rPr>
        <w:t xml:space="preserve">Software Word, </w:t>
      </w:r>
      <w:r w:rsidR="00B014FF" w:rsidRPr="005E3440">
        <w:rPr>
          <w:rFonts w:ascii="Palatino Linotype" w:hAnsi="Palatino Linotype" w:cs="Tahoma"/>
          <w:bCs/>
        </w:rPr>
        <w:t xml:space="preserve">y del cual se desprenden </w:t>
      </w:r>
      <w:r w:rsidRPr="005E3440">
        <w:rPr>
          <w:rFonts w:ascii="Palatino Linotype" w:hAnsi="Palatino Linotype" w:cs="Tahoma"/>
          <w:bCs/>
        </w:rPr>
        <w:t xml:space="preserve">los recibos de nómina; sin embargo, no permiten copiar y pegar el texto; ya que fueron insertados como imagen, por lo que no permite ser </w:t>
      </w:r>
      <w:r w:rsidRPr="005E3440">
        <w:rPr>
          <w:rFonts w:ascii="Palatino Linotype" w:hAnsi="Palatino Linotype" w:cs="Tahoma"/>
          <w:bCs/>
        </w:rPr>
        <w:lastRenderedPageBreak/>
        <w:t xml:space="preserve">utilizado, </w:t>
      </w:r>
      <w:r w:rsidRPr="005E3440">
        <w:rPr>
          <w:rFonts w:ascii="Palatino Linotype" w:hAnsi="Palatino Linotype" w:cs="Tahoma"/>
          <w:b/>
          <w:bCs/>
        </w:rPr>
        <w:t>reutilizados</w:t>
      </w:r>
      <w:r w:rsidRPr="005E3440">
        <w:rPr>
          <w:rFonts w:ascii="Palatino Linotype" w:hAnsi="Palatino Linotype" w:cs="Tahoma"/>
          <w:bCs/>
        </w:rPr>
        <w:t xml:space="preserve"> o redistribuidos; lo que se traduce en que no fueron entregados en datos abiertos; a saber, se inserta impresión de pantalla que acredita lo descrito:</w:t>
      </w:r>
    </w:p>
    <w:p w14:paraId="6C6B86C2" w14:textId="77777777" w:rsidR="00A0343E" w:rsidRPr="005E3440" w:rsidRDefault="00A0343E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33B4875C" w14:textId="5CA159AC" w:rsidR="00A0343E" w:rsidRPr="005E3440" w:rsidRDefault="00A0343E" w:rsidP="00B014FF">
      <w:pPr>
        <w:spacing w:after="0" w:line="360" w:lineRule="auto"/>
        <w:jc w:val="center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/>
          <w:noProof/>
          <w:lang w:val="es-MX" w:eastAsia="es-MX"/>
        </w:rPr>
        <w:drawing>
          <wp:inline distT="0" distB="0" distL="0" distR="0" wp14:anchorId="0C99C971" wp14:editId="204D9D89">
            <wp:extent cx="4901184" cy="4209096"/>
            <wp:effectExtent l="19050" t="19050" r="13970" b="203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6173" cy="42133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4FA1193" w14:textId="1058A0C3" w:rsidR="00A0343E" w:rsidRPr="005E3440" w:rsidRDefault="00A0343E" w:rsidP="00B014FF">
      <w:pPr>
        <w:spacing w:after="0" w:line="360" w:lineRule="auto"/>
        <w:jc w:val="both"/>
        <w:rPr>
          <w:rFonts w:ascii="Palatino Linotype" w:hAnsi="Palatino Linotype" w:cs="Tahoma"/>
          <w:bCs/>
          <w:sz w:val="20"/>
        </w:rPr>
      </w:pPr>
      <w:r w:rsidRPr="005E3440">
        <w:rPr>
          <w:rFonts w:ascii="Palatino Linotype" w:hAnsi="Palatino Linotype" w:cs="Tahoma"/>
          <w:bCs/>
          <w:sz w:val="20"/>
        </w:rPr>
        <w:t xml:space="preserve">(Imagen extraída de la página 2 del archivo denominado </w:t>
      </w:r>
      <w:r w:rsidRPr="005E3440">
        <w:rPr>
          <w:rFonts w:ascii="Palatino Linotype" w:hAnsi="Palatino Linotype" w:cs="Tahoma"/>
          <w:bCs/>
          <w:i/>
          <w:sz w:val="20"/>
        </w:rPr>
        <w:t>1-15 Mayo (1).docx,</w:t>
      </w:r>
      <w:r w:rsidRPr="005E3440">
        <w:rPr>
          <w:rFonts w:ascii="Palatino Linotype" w:hAnsi="Palatino Linotype" w:cs="Tahoma"/>
          <w:bCs/>
          <w:sz w:val="20"/>
        </w:rPr>
        <w:t xml:space="preserve"> </w:t>
      </w:r>
      <w:r w:rsidR="00950E26" w:rsidRPr="005E3440">
        <w:rPr>
          <w:rFonts w:ascii="Palatino Linotype" w:hAnsi="Palatino Linotype" w:cs="Tahoma"/>
          <w:bCs/>
          <w:sz w:val="20"/>
        </w:rPr>
        <w:t>que fue entregado en la respuesta y que obra en Sistema de Acceso a la Información Mexiquense (SAIMEX))</w:t>
      </w:r>
    </w:p>
    <w:p w14:paraId="2E3519E9" w14:textId="77777777" w:rsidR="00A0343E" w:rsidRPr="005E3440" w:rsidRDefault="00A0343E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44385A19" w14:textId="77777777" w:rsidR="00950E26" w:rsidRPr="005E3440" w:rsidRDefault="00832DD2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t xml:space="preserve"> </w:t>
      </w:r>
      <w:r w:rsidR="00950E26" w:rsidRPr="005E3440">
        <w:rPr>
          <w:rFonts w:ascii="Palatino Linotype" w:hAnsi="Palatino Linotype" w:cs="Tahoma"/>
          <w:bCs/>
        </w:rPr>
        <w:t xml:space="preserve">Aunado a ello, el documento entregado en formato </w:t>
      </w:r>
      <w:r w:rsidR="00950E26" w:rsidRPr="005E3440">
        <w:rPr>
          <w:rFonts w:ascii="Palatino Linotype" w:hAnsi="Palatino Linotype" w:cs="Tahoma"/>
          <w:bCs/>
          <w:i/>
        </w:rPr>
        <w:t xml:space="preserve">pdf, </w:t>
      </w:r>
      <w:r w:rsidR="00950E26" w:rsidRPr="005E3440">
        <w:rPr>
          <w:rFonts w:ascii="Palatino Linotype" w:hAnsi="Palatino Linotype" w:cs="Tahoma"/>
          <w:bCs/>
        </w:rPr>
        <w:t xml:space="preserve"> tampoco permite seleccionar texto, copiarlo y pegarlo; por tanto, tampoco permite que la información pueda ser utilizada, </w:t>
      </w:r>
      <w:r w:rsidR="00950E26" w:rsidRPr="005E3440">
        <w:rPr>
          <w:rFonts w:ascii="Palatino Linotype" w:hAnsi="Palatino Linotype" w:cs="Tahoma"/>
          <w:b/>
          <w:bCs/>
        </w:rPr>
        <w:lastRenderedPageBreak/>
        <w:t>reutilizada</w:t>
      </w:r>
      <w:r w:rsidR="00950E26" w:rsidRPr="005E3440">
        <w:rPr>
          <w:rFonts w:ascii="Palatino Linotype" w:hAnsi="Palatino Linotype" w:cs="Tahoma"/>
          <w:bCs/>
        </w:rPr>
        <w:t xml:space="preserve"> o redistribuida; en consecuencia, no se encuentra en datos abiertos; a saber se inserta a continuación una imagen del contenido de dicho archivo:</w:t>
      </w:r>
    </w:p>
    <w:p w14:paraId="35392B46" w14:textId="77777777" w:rsidR="00950E26" w:rsidRPr="005E3440" w:rsidRDefault="00950E26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4A229CDD" w14:textId="46B30D39" w:rsidR="00920E0E" w:rsidRPr="005E3440" w:rsidRDefault="00950E26" w:rsidP="00B014FF">
      <w:pPr>
        <w:spacing w:after="0" w:line="360" w:lineRule="auto"/>
        <w:jc w:val="center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/>
          <w:noProof/>
          <w:lang w:val="es-MX" w:eastAsia="es-MX"/>
        </w:rPr>
        <w:drawing>
          <wp:inline distT="0" distB="0" distL="0" distR="0" wp14:anchorId="1E92A450" wp14:editId="03C822BA">
            <wp:extent cx="5179161" cy="4911238"/>
            <wp:effectExtent l="19050" t="19050" r="21590" b="2286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171" t="231" r="36652"/>
                    <a:stretch/>
                  </pic:blipFill>
                  <pic:spPr bwMode="auto">
                    <a:xfrm>
                      <a:off x="0" y="0"/>
                      <a:ext cx="5187100" cy="49187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8F25B" w14:textId="328CF00A" w:rsidR="00950E26" w:rsidRPr="005E3440" w:rsidRDefault="00950E26" w:rsidP="00B014FF">
      <w:pPr>
        <w:spacing w:after="0" w:line="360" w:lineRule="auto"/>
        <w:jc w:val="both"/>
        <w:rPr>
          <w:rFonts w:ascii="Palatino Linotype" w:hAnsi="Palatino Linotype" w:cs="Tahoma"/>
          <w:bCs/>
          <w:sz w:val="20"/>
        </w:rPr>
      </w:pPr>
      <w:r w:rsidRPr="005E3440">
        <w:rPr>
          <w:rFonts w:ascii="Palatino Linotype" w:hAnsi="Palatino Linotype" w:cs="Tahoma"/>
          <w:bCs/>
          <w:sz w:val="20"/>
        </w:rPr>
        <w:t xml:space="preserve">(Imagen extraída de la página 1 del archivo denominado </w:t>
      </w:r>
      <w:r w:rsidRPr="005E3440">
        <w:rPr>
          <w:rFonts w:ascii="Palatino Linotype" w:hAnsi="Palatino Linotype" w:cs="Tahoma"/>
          <w:bCs/>
          <w:i/>
          <w:sz w:val="20"/>
        </w:rPr>
        <w:t>1-15 Mayo.pdf,</w:t>
      </w:r>
      <w:r w:rsidRPr="005E3440">
        <w:rPr>
          <w:rFonts w:ascii="Palatino Linotype" w:hAnsi="Palatino Linotype" w:cs="Tahoma"/>
          <w:bCs/>
          <w:sz w:val="20"/>
        </w:rPr>
        <w:t xml:space="preserve"> que fue entregado en la respuesta y que obra en Sistema de Acceso a la Información Mexiquense (SAIMEX))</w:t>
      </w:r>
    </w:p>
    <w:p w14:paraId="7142DB64" w14:textId="77777777" w:rsidR="00950E26" w:rsidRPr="005E3440" w:rsidRDefault="00950E26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2DE482C0" w14:textId="51F45553" w:rsidR="00BD0C80" w:rsidRPr="005E3440" w:rsidRDefault="00221EE0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>
        <w:rPr>
          <w:rFonts w:ascii="Palatino Linotype" w:hAnsi="Palatino Linotype" w:cs="Tahoma"/>
          <w:bCs/>
        </w:rPr>
        <w:lastRenderedPageBreak/>
        <w:t xml:space="preserve">De la imagen anterior </w:t>
      </w:r>
      <w:r w:rsidR="00950E26" w:rsidRPr="005E3440">
        <w:rPr>
          <w:rFonts w:ascii="Palatino Linotype" w:hAnsi="Palatino Linotype" w:cs="Tahoma"/>
          <w:bCs/>
        </w:rPr>
        <w:t xml:space="preserve">destaca que no es posible seleccionar texto; sino que se trata de imágenes completas que no permiten su </w:t>
      </w:r>
      <w:r w:rsidR="00950E26" w:rsidRPr="005E3440">
        <w:rPr>
          <w:rFonts w:ascii="Palatino Linotype" w:hAnsi="Palatino Linotype" w:cs="Tahoma"/>
          <w:b/>
          <w:bCs/>
        </w:rPr>
        <w:t xml:space="preserve">reutilización </w:t>
      </w:r>
      <w:r w:rsidR="00950E26" w:rsidRPr="005E3440">
        <w:rPr>
          <w:rFonts w:ascii="Palatino Linotype" w:hAnsi="Palatino Linotype" w:cs="Tahoma"/>
          <w:bCs/>
        </w:rPr>
        <w:t>y por ello, se insiste en que no obra en datos abiertos; por ello, es dable considerar que la respuesta proporcionada por el Sujeto Obligado efectivamente no cumple con las características de datos abiertos; y por ello, no se colma totalmente la solicitud del Particular.</w:t>
      </w:r>
    </w:p>
    <w:p w14:paraId="5CB41BE7" w14:textId="77777777" w:rsidR="00BD0C80" w:rsidRPr="005E3440" w:rsidRDefault="00BD0C80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490784EC" w14:textId="16B3E7BC" w:rsidR="00BD0C80" w:rsidRPr="005E3440" w:rsidRDefault="00BD0C80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t>Ahora bien, el argumento principal de la resolución, se sostuvo en considerar que el Sujeto Obligado no se encuentra obligado a generar la información en datos abiertos; sin embargo, se dejó de lado la trascendencia de la información solicitada; pues se trata de recibos de nómina que son información pública y de interés de la población</w:t>
      </w:r>
      <w:r w:rsidR="00641A05" w:rsidRPr="005E3440">
        <w:rPr>
          <w:rFonts w:ascii="Palatino Linotype" w:hAnsi="Palatino Linotype" w:cs="Tahoma"/>
          <w:bCs/>
        </w:rPr>
        <w:t xml:space="preserve">, conforme a lo dispuesto en el artículo </w:t>
      </w:r>
      <w:r w:rsidR="00641A05" w:rsidRPr="005E3440">
        <w:rPr>
          <w:rFonts w:ascii="Palatino Linotype" w:hAnsi="Palatino Linotype" w:cs="Tahoma"/>
          <w:bCs/>
          <w:iCs/>
        </w:rPr>
        <w:t>92, fracción VIII, de la Ley de Transparencia y Acceso a la Información Pública del Estado de México y Municipios</w:t>
      </w:r>
      <w:r w:rsidRPr="005E3440">
        <w:rPr>
          <w:rFonts w:ascii="Palatino Linotype" w:hAnsi="Palatino Linotype" w:cs="Tahoma"/>
          <w:bCs/>
        </w:rPr>
        <w:t xml:space="preserve">; </w:t>
      </w:r>
      <w:r w:rsidR="00641A05" w:rsidRPr="005E3440">
        <w:rPr>
          <w:rFonts w:ascii="Palatino Linotype" w:hAnsi="Palatino Linotype" w:cs="Tahoma"/>
          <w:bCs/>
        </w:rPr>
        <w:t>ya que</w:t>
      </w:r>
      <w:r w:rsidRPr="005E3440">
        <w:rPr>
          <w:rFonts w:ascii="Palatino Linotype" w:hAnsi="Palatino Linotype" w:cs="Tahoma"/>
          <w:bCs/>
        </w:rPr>
        <w:t xml:space="preserve"> es indispensable que los Particulares conozca</w:t>
      </w:r>
      <w:r w:rsidR="00641A05" w:rsidRPr="005E3440">
        <w:rPr>
          <w:rFonts w:ascii="Palatino Linotype" w:hAnsi="Palatino Linotype" w:cs="Tahoma"/>
          <w:bCs/>
        </w:rPr>
        <w:t>n</w:t>
      </w:r>
      <w:r w:rsidRPr="005E3440">
        <w:rPr>
          <w:rFonts w:ascii="Palatino Linotype" w:hAnsi="Palatino Linotype" w:cs="Tahoma"/>
          <w:bCs/>
        </w:rPr>
        <w:t xml:space="preserve"> de las retribuciones que reciben los servidores públicos con motivo de sus salarios y prestaciones; aunado a que su entrega permite corroborar que la información se emite conforme a las bases legales; lo que da sentido al quehacer de la transparencia y rendición de cuentas.</w:t>
      </w:r>
    </w:p>
    <w:p w14:paraId="052B210F" w14:textId="77777777" w:rsidR="00BD0C80" w:rsidRPr="005E3440" w:rsidRDefault="00BD0C80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</w:p>
    <w:p w14:paraId="737AD586" w14:textId="6AE14DB5" w:rsidR="00920E0E" w:rsidRPr="005E3440" w:rsidRDefault="00BD0C80" w:rsidP="00B014FF">
      <w:pPr>
        <w:spacing w:after="0" w:line="360" w:lineRule="auto"/>
        <w:jc w:val="both"/>
        <w:rPr>
          <w:rFonts w:ascii="Palatino Linotype" w:hAnsi="Palatino Linotype" w:cs="Tahoma"/>
          <w:bCs/>
          <w:iCs/>
        </w:rPr>
      </w:pPr>
      <w:r w:rsidRPr="005E3440">
        <w:rPr>
          <w:rFonts w:ascii="Palatino Linotype" w:hAnsi="Palatino Linotype" w:cs="Tahoma"/>
          <w:bCs/>
        </w:rPr>
        <w:t>Sumado a lo anterior, los recibos de n</w:t>
      </w:r>
      <w:r w:rsidR="00641A05" w:rsidRPr="005E3440">
        <w:rPr>
          <w:rFonts w:ascii="Palatino Linotype" w:hAnsi="Palatino Linotype" w:cs="Tahoma"/>
          <w:bCs/>
        </w:rPr>
        <w:t xml:space="preserve">ómina de los entes municipales; incluyendo los Comprobantes Fiscales Digitales por </w:t>
      </w:r>
      <w:r w:rsidR="00641A05" w:rsidRPr="005E3440">
        <w:rPr>
          <w:rFonts w:ascii="Palatino Linotype" w:hAnsi="Palatino Linotype" w:cs="Tahoma"/>
          <w:bCs/>
          <w:i/>
        </w:rPr>
        <w:t xml:space="preserve">Internet </w:t>
      </w:r>
      <w:r w:rsidR="00641A05" w:rsidRPr="005E3440">
        <w:rPr>
          <w:rFonts w:ascii="Palatino Linotype" w:hAnsi="Palatino Linotype" w:cs="Tahoma"/>
          <w:bCs/>
        </w:rPr>
        <w:t xml:space="preserve"> por concepto de Nómina; deben generarse y entregarse en los informes remitidos al </w:t>
      </w:r>
      <w:r w:rsidR="00641A05" w:rsidRPr="005E3440">
        <w:rPr>
          <w:rFonts w:ascii="Palatino Linotype" w:hAnsi="Palatino Linotype" w:cs="Tahoma"/>
          <w:bCs/>
          <w:iCs/>
        </w:rPr>
        <w:t xml:space="preserve">Órgano Superior de Fiscalización del Estado de México (OSFEM) conforme a la reglamentación correspondiente; </w:t>
      </w:r>
      <w:r w:rsidR="00DF2116" w:rsidRPr="005E3440">
        <w:rPr>
          <w:rFonts w:ascii="Palatino Linotype" w:hAnsi="Palatino Linotype" w:cs="Tahoma"/>
          <w:bCs/>
          <w:iCs/>
        </w:rPr>
        <w:t>por lo que se advierte que el Sujeto Obligado genera la información y puede dar cuenta en los términos solicitados.</w:t>
      </w:r>
    </w:p>
    <w:p w14:paraId="606EF823" w14:textId="77777777" w:rsidR="00DF2116" w:rsidRPr="005E3440" w:rsidRDefault="00DF2116" w:rsidP="00B014FF">
      <w:pPr>
        <w:spacing w:after="0" w:line="360" w:lineRule="auto"/>
        <w:jc w:val="both"/>
        <w:rPr>
          <w:rFonts w:ascii="Palatino Linotype" w:hAnsi="Palatino Linotype" w:cs="Tahoma"/>
          <w:bCs/>
          <w:iCs/>
        </w:rPr>
      </w:pPr>
    </w:p>
    <w:p w14:paraId="1C323966" w14:textId="294A8E1D" w:rsidR="00DF2116" w:rsidRPr="005E3440" w:rsidRDefault="00DF2116" w:rsidP="00B014FF">
      <w:pPr>
        <w:spacing w:after="0" w:line="360" w:lineRule="auto"/>
        <w:jc w:val="both"/>
        <w:rPr>
          <w:rFonts w:ascii="Palatino Linotype" w:hAnsi="Palatino Linotype" w:cs="Tahoma"/>
          <w:bCs/>
          <w:iCs/>
        </w:rPr>
      </w:pPr>
      <w:r w:rsidRPr="005E3440">
        <w:rPr>
          <w:rFonts w:ascii="Palatino Linotype" w:hAnsi="Palatino Linotype" w:cs="Tahoma"/>
          <w:bCs/>
          <w:iCs/>
        </w:rPr>
        <w:lastRenderedPageBreak/>
        <w:t xml:space="preserve">Es preciso señalar que si bien el Sujeto Obligado no se encuentra constreñido a generar la información en datos abiertos; lo cierto es que genera la información y puede entregarlo de forma tal que se permita la </w:t>
      </w:r>
      <w:r w:rsidRPr="005E3440">
        <w:rPr>
          <w:rFonts w:ascii="Palatino Linotype" w:hAnsi="Palatino Linotype" w:cs="Tahoma"/>
          <w:b/>
          <w:bCs/>
          <w:iCs/>
        </w:rPr>
        <w:t xml:space="preserve">reutilización </w:t>
      </w:r>
      <w:r w:rsidRPr="005E3440">
        <w:rPr>
          <w:rFonts w:ascii="Palatino Linotype" w:hAnsi="Palatino Linotype" w:cs="Tahoma"/>
          <w:bCs/>
          <w:iCs/>
        </w:rPr>
        <w:t>de la documentación; aunado a que no debe perderse de vista que este Organismo Garante debe cumplir con el principio de máxima publicidad que prevé que la información sea pública, completa, oportuna y accesible; y en el fallo que nos ocupa, se debió considerar lo dispuesto en los artículos 41, 71 y 75 de la Ley de Transparencia y Acceso a la Información Pública del Estado de México y Municipios; que a la letra disponen:</w:t>
      </w:r>
    </w:p>
    <w:p w14:paraId="1BC24542" w14:textId="77777777" w:rsidR="00DF2116" w:rsidRPr="005E3440" w:rsidRDefault="00DF2116" w:rsidP="00B014FF">
      <w:pPr>
        <w:spacing w:after="0" w:line="360" w:lineRule="auto"/>
        <w:jc w:val="both"/>
        <w:rPr>
          <w:rFonts w:ascii="Palatino Linotype" w:hAnsi="Palatino Linotype" w:cs="Tahoma"/>
          <w:bCs/>
          <w:iCs/>
        </w:rPr>
      </w:pPr>
    </w:p>
    <w:p w14:paraId="40EB18DC" w14:textId="7DA0FE36" w:rsidR="00DF2116" w:rsidRPr="005E3440" w:rsidRDefault="00DF2116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iCs/>
          <w:sz w:val="20"/>
        </w:rPr>
      </w:pPr>
      <w:r w:rsidRPr="005E3440">
        <w:rPr>
          <w:rFonts w:ascii="Palatino Linotype" w:hAnsi="Palatino Linotype" w:cs="Tahoma"/>
          <w:b/>
          <w:bCs/>
          <w:i/>
          <w:iCs/>
          <w:sz w:val="20"/>
        </w:rPr>
        <w:t>Artículo 41. El Instituto promoverá la publicación de la información en datos abiertos</w:t>
      </w:r>
      <w:r w:rsidRPr="005E3440">
        <w:rPr>
          <w:rFonts w:ascii="Palatino Linotype" w:hAnsi="Palatino Linotype" w:cs="Tahoma"/>
          <w:bCs/>
          <w:i/>
          <w:iCs/>
          <w:sz w:val="20"/>
        </w:rPr>
        <w:t xml:space="preserve"> y accesibles.</w:t>
      </w:r>
    </w:p>
    <w:p w14:paraId="24456983" w14:textId="77777777" w:rsidR="00DF2116" w:rsidRPr="005E3440" w:rsidRDefault="00DF2116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iCs/>
          <w:sz w:val="20"/>
        </w:rPr>
      </w:pPr>
    </w:p>
    <w:p w14:paraId="520CC215" w14:textId="77777777" w:rsidR="00DF2116" w:rsidRPr="005E3440" w:rsidRDefault="00DF2116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iCs/>
          <w:sz w:val="20"/>
        </w:rPr>
      </w:pPr>
      <w:r w:rsidRPr="005E3440">
        <w:rPr>
          <w:rFonts w:ascii="Palatino Linotype" w:hAnsi="Palatino Linotype" w:cs="Tahoma"/>
          <w:b/>
          <w:bCs/>
          <w:i/>
          <w:iCs/>
          <w:sz w:val="20"/>
        </w:rPr>
        <w:t xml:space="preserve">Artículo 74. </w:t>
      </w:r>
      <w:r w:rsidRPr="005E3440">
        <w:rPr>
          <w:rFonts w:ascii="Palatino Linotype" w:hAnsi="Palatino Linotype" w:cs="Tahoma"/>
          <w:bCs/>
          <w:i/>
          <w:iCs/>
          <w:sz w:val="20"/>
        </w:rPr>
        <w:t>El Instituto, en el ámbito de sus atribuciones y competencia, coadyuvará con los sujetos obligados y representantes de la sociedad civil en la implementación de mecanismos de colaboración para la promoción de políticas y mecanismos de apertura gubernamental.</w:t>
      </w:r>
    </w:p>
    <w:p w14:paraId="15ED7EDD" w14:textId="203CC547" w:rsidR="00DF2116" w:rsidRPr="005E3440" w:rsidRDefault="00DF2116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iCs/>
          <w:sz w:val="20"/>
        </w:rPr>
      </w:pPr>
      <w:r w:rsidRPr="005E3440">
        <w:rPr>
          <w:rFonts w:ascii="Palatino Linotype" w:hAnsi="Palatino Linotype" w:cs="Tahoma"/>
          <w:bCs/>
          <w:i/>
          <w:iCs/>
          <w:sz w:val="20"/>
        </w:rPr>
        <w:t xml:space="preserve"> </w:t>
      </w:r>
      <w:r w:rsidRPr="005E3440">
        <w:rPr>
          <w:rFonts w:ascii="Palatino Linotype" w:hAnsi="Palatino Linotype" w:cs="Tahoma"/>
          <w:b/>
          <w:bCs/>
          <w:i/>
          <w:iCs/>
          <w:sz w:val="20"/>
        </w:rPr>
        <w:t>Con independencia de las obligaciones en materia de transparencia que deban solventar los sujetos obligados, el Instituto promoverá la publicación de la información de datos abiertos</w:t>
      </w:r>
      <w:r w:rsidRPr="005E3440">
        <w:rPr>
          <w:rFonts w:ascii="Palatino Linotype" w:hAnsi="Palatino Linotype" w:cs="Tahoma"/>
          <w:bCs/>
          <w:i/>
          <w:iCs/>
          <w:sz w:val="20"/>
        </w:rPr>
        <w:t xml:space="preserve"> y accesibles.</w:t>
      </w:r>
    </w:p>
    <w:p w14:paraId="64154D21" w14:textId="77777777" w:rsidR="00DF2116" w:rsidRPr="005E3440" w:rsidRDefault="00DF2116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iCs/>
          <w:sz w:val="20"/>
        </w:rPr>
      </w:pPr>
    </w:p>
    <w:p w14:paraId="1FEB1B0C" w14:textId="77777777" w:rsidR="00DF2116" w:rsidRPr="005E3440" w:rsidRDefault="00DF2116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iCs/>
          <w:sz w:val="20"/>
        </w:rPr>
      </w:pPr>
      <w:r w:rsidRPr="005E3440">
        <w:rPr>
          <w:rFonts w:ascii="Palatino Linotype" w:hAnsi="Palatino Linotype" w:cs="Tahoma"/>
          <w:b/>
          <w:bCs/>
          <w:i/>
          <w:iCs/>
          <w:sz w:val="20"/>
        </w:rPr>
        <w:t>Artículo 75. Es obligación de los sujetos obligados el poner a disposición de los particulares la información</w:t>
      </w:r>
      <w:r w:rsidRPr="005E3440">
        <w:rPr>
          <w:rFonts w:ascii="Palatino Linotype" w:hAnsi="Palatino Linotype" w:cs="Tahoma"/>
          <w:bCs/>
          <w:i/>
          <w:iCs/>
          <w:sz w:val="20"/>
        </w:rPr>
        <w:t xml:space="preserve"> a que se refiere esta Ley a través de sus sitios de Internet y de la Plataforma Nacional. </w:t>
      </w:r>
    </w:p>
    <w:p w14:paraId="566909E9" w14:textId="197957D4" w:rsidR="00DF2116" w:rsidRPr="005E3440" w:rsidRDefault="00DF2116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/>
          <w:iCs/>
          <w:sz w:val="20"/>
        </w:rPr>
      </w:pPr>
      <w:r w:rsidRPr="005E3440">
        <w:rPr>
          <w:rFonts w:ascii="Palatino Linotype" w:hAnsi="Palatino Linotype" w:cs="Tahoma"/>
          <w:b/>
          <w:bCs/>
          <w:i/>
          <w:iCs/>
          <w:sz w:val="20"/>
        </w:rPr>
        <w:t>La Plataforma electrónica promoverá el uso de la información original escaneada y las versiones en datos abiertos</w:t>
      </w:r>
      <w:r w:rsidRPr="005E3440">
        <w:rPr>
          <w:rFonts w:ascii="Palatino Linotype" w:hAnsi="Palatino Linotype" w:cs="Tahoma"/>
          <w:bCs/>
          <w:i/>
          <w:iCs/>
          <w:sz w:val="20"/>
        </w:rPr>
        <w:t xml:space="preserve"> y/o formatos editables, según corresponda, de los documentos fuente.</w:t>
      </w:r>
    </w:p>
    <w:p w14:paraId="58C21039" w14:textId="257A413F" w:rsidR="00DF2116" w:rsidRPr="005E3440" w:rsidRDefault="00DF2116" w:rsidP="00B014FF">
      <w:pPr>
        <w:spacing w:after="0" w:line="360" w:lineRule="auto"/>
        <w:ind w:left="567" w:right="616"/>
        <w:jc w:val="both"/>
        <w:rPr>
          <w:rFonts w:ascii="Palatino Linotype" w:hAnsi="Palatino Linotype" w:cs="Tahoma"/>
          <w:bCs/>
          <w:iCs/>
          <w:sz w:val="20"/>
        </w:rPr>
      </w:pPr>
      <w:r w:rsidRPr="005E3440">
        <w:rPr>
          <w:rFonts w:ascii="Palatino Linotype" w:hAnsi="Palatino Linotype" w:cs="Tahoma"/>
          <w:bCs/>
          <w:iCs/>
          <w:sz w:val="20"/>
        </w:rPr>
        <w:t>(Énfasis añadido)</w:t>
      </w:r>
      <w:r w:rsidR="00221EE0">
        <w:rPr>
          <w:rFonts w:ascii="Palatino Linotype" w:hAnsi="Palatino Linotype" w:cs="Tahoma"/>
          <w:bCs/>
          <w:iCs/>
          <w:sz w:val="20"/>
        </w:rPr>
        <w:t>.</w:t>
      </w:r>
    </w:p>
    <w:p w14:paraId="350A373C" w14:textId="673A4819" w:rsidR="006D5A86" w:rsidRPr="005E3440" w:rsidRDefault="00DF2116" w:rsidP="00B014FF">
      <w:pPr>
        <w:spacing w:after="0" w:line="360" w:lineRule="auto"/>
        <w:jc w:val="both"/>
        <w:rPr>
          <w:rFonts w:ascii="Palatino Linotype" w:hAnsi="Palatino Linotype" w:cs="Tahoma"/>
          <w:bCs/>
        </w:rPr>
      </w:pPr>
      <w:r w:rsidRPr="005E3440">
        <w:rPr>
          <w:rFonts w:ascii="Palatino Linotype" w:hAnsi="Palatino Linotype" w:cs="Tahoma"/>
          <w:bCs/>
        </w:rPr>
        <w:lastRenderedPageBreak/>
        <w:t xml:space="preserve">En atención a los </w:t>
      </w:r>
      <w:r w:rsidR="00221EE0">
        <w:rPr>
          <w:rFonts w:ascii="Palatino Linotype" w:hAnsi="Palatino Linotype" w:cs="Tahoma"/>
          <w:bCs/>
        </w:rPr>
        <w:t xml:space="preserve">artículos </w:t>
      </w:r>
      <w:r w:rsidRPr="005E3440">
        <w:rPr>
          <w:rFonts w:ascii="Palatino Linotype" w:hAnsi="Palatino Linotype" w:cs="Tahoma"/>
          <w:bCs/>
        </w:rPr>
        <w:t xml:space="preserve">transcritos, este Organismo Garante debe procurar y buscar que la información se transparente de forma tal, que se </w:t>
      </w:r>
      <w:r w:rsidR="00BC259E" w:rsidRPr="005E3440">
        <w:rPr>
          <w:rFonts w:ascii="Palatino Linotype" w:hAnsi="Palatino Linotype" w:cs="Tahoma"/>
          <w:bCs/>
        </w:rPr>
        <w:t>permite</w:t>
      </w:r>
      <w:r w:rsidRPr="005E3440">
        <w:rPr>
          <w:rFonts w:ascii="Palatino Linotype" w:hAnsi="Palatino Linotype" w:cs="Tahoma"/>
          <w:bCs/>
        </w:rPr>
        <w:t xml:space="preserve"> el acceso y la </w:t>
      </w:r>
      <w:r w:rsidRPr="005E3440">
        <w:rPr>
          <w:rFonts w:ascii="Palatino Linotype" w:hAnsi="Palatino Linotype" w:cs="Tahoma"/>
          <w:b/>
          <w:bCs/>
        </w:rPr>
        <w:t>reutilización</w:t>
      </w:r>
      <w:r w:rsidR="00BC259E" w:rsidRPr="005E3440">
        <w:rPr>
          <w:rFonts w:ascii="Palatino Linotype" w:hAnsi="Palatino Linotype" w:cs="Tahoma"/>
          <w:bCs/>
        </w:rPr>
        <w:t xml:space="preserve">, por lo que, se debió considerar la entrega de la información en datos abiertos, que permita el cumplimiento de la Ley que rige nuestra materia y el debido progreso y aplicación de la transparencia. </w:t>
      </w:r>
      <w:r w:rsidR="006D5A86" w:rsidRPr="005E3440">
        <w:rPr>
          <w:rFonts w:ascii="Palatino Linotype" w:hAnsi="Palatino Linotype" w:cs="Tahoma"/>
          <w:bCs/>
        </w:rPr>
        <w:t xml:space="preserve">Además de que el Instituto de </w:t>
      </w:r>
      <w:r w:rsidR="005A758C" w:rsidRPr="005E3440">
        <w:rPr>
          <w:rFonts w:ascii="Palatino Linotype" w:hAnsi="Palatino Linotype" w:cs="Tahoma"/>
          <w:bCs/>
        </w:rPr>
        <w:t>Transparencia</w:t>
      </w:r>
      <w:r w:rsidR="006D5A86" w:rsidRPr="005E3440">
        <w:rPr>
          <w:rFonts w:ascii="Palatino Linotype" w:hAnsi="Palatino Linotype" w:cs="Tahoma"/>
          <w:bCs/>
        </w:rPr>
        <w:t xml:space="preserve">, Acceso a la Información Pública y Protección de Datos </w:t>
      </w:r>
      <w:r w:rsidR="005A758C" w:rsidRPr="005E3440">
        <w:rPr>
          <w:rFonts w:ascii="Palatino Linotype" w:hAnsi="Palatino Linotype" w:cs="Tahoma"/>
          <w:bCs/>
        </w:rPr>
        <w:t>Personales</w:t>
      </w:r>
      <w:r w:rsidR="006D5A86" w:rsidRPr="005E3440">
        <w:rPr>
          <w:rFonts w:ascii="Palatino Linotype" w:hAnsi="Palatino Linotype" w:cs="Tahoma"/>
          <w:bCs/>
        </w:rPr>
        <w:t xml:space="preserve"> del Estado de </w:t>
      </w:r>
      <w:r w:rsidR="005A758C" w:rsidRPr="005E3440">
        <w:rPr>
          <w:rFonts w:ascii="Palatino Linotype" w:hAnsi="Palatino Linotype" w:cs="Tahoma"/>
          <w:bCs/>
        </w:rPr>
        <w:t>México</w:t>
      </w:r>
      <w:r w:rsidR="006D5A86" w:rsidRPr="005E3440">
        <w:rPr>
          <w:rFonts w:ascii="Palatino Linotype" w:hAnsi="Palatino Linotype" w:cs="Tahoma"/>
          <w:bCs/>
        </w:rPr>
        <w:t xml:space="preserve"> y Municipios (INFOEM), procura el conocimiento y fomentación de los datos abiertos; tan es así que participa en Foros, como el </w:t>
      </w:r>
      <w:r w:rsidR="006D5A86" w:rsidRPr="005E3440">
        <w:rPr>
          <w:rFonts w:ascii="Palatino Linotype" w:hAnsi="Palatino Linotype" w:cs="Tahoma"/>
          <w:bCs/>
          <w:i/>
        </w:rPr>
        <w:t>Foro virtual sobre Datos Abiertos,</w:t>
      </w:r>
      <w:r w:rsidR="006D5A86" w:rsidRPr="005E3440">
        <w:rPr>
          <w:rFonts w:ascii="Palatino Linotype" w:hAnsi="Palatino Linotype" w:cs="Tahoma"/>
          <w:bCs/>
        </w:rPr>
        <w:t xml:space="preserve"> convocado por el </w:t>
      </w:r>
      <w:r w:rsidR="005A758C" w:rsidRPr="005E3440">
        <w:rPr>
          <w:rFonts w:ascii="Palatino Linotype" w:hAnsi="Palatino Linotype" w:cs="Tahoma"/>
          <w:bCs/>
        </w:rPr>
        <w:t>organismo</w:t>
      </w:r>
      <w:r w:rsidR="006D5A86" w:rsidRPr="005E3440">
        <w:rPr>
          <w:rFonts w:ascii="Palatino Linotype" w:hAnsi="Palatino Linotype" w:cs="Tahoma"/>
          <w:bCs/>
        </w:rPr>
        <w:t xml:space="preserve"> garante de Tlaxcala; al respecto véase: </w:t>
      </w:r>
      <w:hyperlink r:id="rId13" w:history="1">
        <w:r w:rsidR="006D5A86" w:rsidRPr="005E3440">
          <w:rPr>
            <w:rStyle w:val="Hipervnculo"/>
            <w:rFonts w:ascii="Palatino Linotype" w:hAnsi="Palatino Linotype" w:cs="Tahoma"/>
            <w:bCs/>
          </w:rPr>
          <w:t>https://www.infoem.org.mx/es/contenido/noticias/datos-abiertos-para-aumentar-la-transparencia</w:t>
        </w:r>
      </w:hyperlink>
      <w:r w:rsidR="006D5A86" w:rsidRPr="005E3440">
        <w:rPr>
          <w:rFonts w:ascii="Palatino Linotype" w:hAnsi="Palatino Linotype" w:cs="Tahoma"/>
          <w:bCs/>
        </w:rPr>
        <w:t xml:space="preserve">. De igual forma, </w:t>
      </w:r>
      <w:r w:rsidR="005A758C" w:rsidRPr="005E3440">
        <w:rPr>
          <w:rFonts w:ascii="Palatino Linotype" w:hAnsi="Palatino Linotype" w:cs="Tahoma"/>
          <w:bCs/>
        </w:rPr>
        <w:t xml:space="preserve">se publican documentos como </w:t>
      </w:r>
      <w:r w:rsidR="005A758C" w:rsidRPr="005E3440">
        <w:rPr>
          <w:rFonts w:ascii="Palatino Linotype" w:hAnsi="Palatino Linotype" w:cs="Tahoma"/>
          <w:bCs/>
          <w:i/>
        </w:rPr>
        <w:t xml:space="preserve">El ABC del Gobierno Abierto; </w:t>
      </w:r>
      <w:r w:rsidR="005A758C" w:rsidRPr="005E3440">
        <w:rPr>
          <w:rFonts w:ascii="Palatino Linotype" w:hAnsi="Palatino Linotype" w:cs="Tahoma"/>
          <w:bCs/>
        </w:rPr>
        <w:t xml:space="preserve">véase: </w:t>
      </w:r>
      <w:hyperlink r:id="rId14" w:history="1">
        <w:r w:rsidR="005A758C" w:rsidRPr="005E3440">
          <w:rPr>
            <w:rStyle w:val="Hipervnculo"/>
            <w:rFonts w:ascii="Palatino Linotype" w:hAnsi="Palatino Linotype" w:cs="Tahoma"/>
            <w:bCs/>
          </w:rPr>
          <w:t>https://www.infoem.org.mx/doc/gobiernoAbierto/normatividad-documentos/El_ABC_del_Gobierno_Abierto.pdf</w:t>
        </w:r>
      </w:hyperlink>
      <w:r w:rsidR="005A758C" w:rsidRPr="005E3440">
        <w:rPr>
          <w:rFonts w:ascii="Palatino Linotype" w:hAnsi="Palatino Linotype" w:cs="Tahoma"/>
          <w:bCs/>
        </w:rPr>
        <w:t xml:space="preserve">; que pretende vincular el conocimiento de los datos abiertos con el gobierno abierto.   </w:t>
      </w:r>
      <w:r w:rsidR="006D5A86" w:rsidRPr="005E3440">
        <w:rPr>
          <w:rFonts w:ascii="Palatino Linotype" w:hAnsi="Palatino Linotype" w:cs="Tahoma"/>
          <w:bCs/>
        </w:rPr>
        <w:t xml:space="preserve"> </w:t>
      </w:r>
    </w:p>
    <w:p w14:paraId="3A5F72BE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067AE92" w14:textId="359D4DC8" w:rsidR="00BC259E" w:rsidRPr="005E3440" w:rsidRDefault="005A758C" w:rsidP="00B014FF">
      <w:pPr>
        <w:spacing w:after="0" w:line="360" w:lineRule="auto"/>
        <w:jc w:val="both"/>
        <w:rPr>
          <w:rFonts w:ascii="Palatino Linotype" w:hAnsi="Palatino Linotype" w:cs="Tahoma"/>
        </w:rPr>
      </w:pPr>
      <w:r w:rsidRPr="005E3440">
        <w:rPr>
          <w:rFonts w:ascii="Palatino Linotype" w:hAnsi="Palatino Linotype" w:cs="Tahoma"/>
        </w:rPr>
        <w:t>Sumado a lo anterior</w:t>
      </w:r>
      <w:r w:rsidR="00BC259E" w:rsidRPr="005E3440">
        <w:rPr>
          <w:rFonts w:ascii="Palatino Linotype" w:hAnsi="Palatino Linotype" w:cs="Tahoma"/>
        </w:rPr>
        <w:t xml:space="preserve">, este </w:t>
      </w:r>
      <w:r w:rsidR="007256A8" w:rsidRPr="005E3440">
        <w:rPr>
          <w:rFonts w:ascii="Palatino Linotype" w:hAnsi="Palatino Linotype" w:cs="Tahoma"/>
        </w:rPr>
        <w:t>Organismo</w:t>
      </w:r>
      <w:r w:rsidR="00BC259E" w:rsidRPr="005E3440">
        <w:rPr>
          <w:rFonts w:ascii="Palatino Linotype" w:hAnsi="Palatino Linotype" w:cs="Tahoma"/>
        </w:rPr>
        <w:t xml:space="preserve"> Garante </w:t>
      </w:r>
      <w:r w:rsidR="003F2F24" w:rsidRPr="005E3440">
        <w:rPr>
          <w:rFonts w:ascii="Palatino Linotype" w:hAnsi="Palatino Linotype" w:cs="Tahoma"/>
        </w:rPr>
        <w:t xml:space="preserve">resolvió en su 40°Sesión Ordinaria del 9 de noviembre de 2022; el </w:t>
      </w:r>
      <w:r w:rsidR="003F2F24" w:rsidRPr="005E3440">
        <w:rPr>
          <w:rFonts w:ascii="Palatino Linotype" w:hAnsi="Palatino Linotype" w:cs="Tahoma"/>
          <w:b/>
        </w:rPr>
        <w:t>Recurso de Revisión 13411/INFOEM/IP/RR/2022</w:t>
      </w:r>
      <w:r w:rsidR="006C4627" w:rsidRPr="005E3440">
        <w:rPr>
          <w:rFonts w:ascii="Palatino Linotype" w:hAnsi="Palatino Linotype" w:cs="Tahoma"/>
        </w:rPr>
        <w:t xml:space="preserve">; en el que al  mismo </w:t>
      </w:r>
      <w:r w:rsidR="003F2F24" w:rsidRPr="005E3440">
        <w:rPr>
          <w:rFonts w:ascii="Palatino Linotype" w:hAnsi="Palatino Linotype" w:cs="Tahoma"/>
        </w:rPr>
        <w:t>Sujeto Obligado; Organismo Público Descent</w:t>
      </w:r>
      <w:r w:rsidR="00FC5DD9">
        <w:rPr>
          <w:rFonts w:ascii="Palatino Linotype" w:hAnsi="Palatino Linotype" w:cs="Tahoma"/>
        </w:rPr>
        <w:t>ralizado para la Prestación de l</w:t>
      </w:r>
      <w:r w:rsidR="003F2F24" w:rsidRPr="005E3440">
        <w:rPr>
          <w:rFonts w:ascii="Palatino Linotype" w:hAnsi="Palatino Linotype" w:cs="Tahoma"/>
        </w:rPr>
        <w:t xml:space="preserve">os Servicios de Agua Potable Alcantarillado y Saneamiento del Municipio de Zumpango; </w:t>
      </w:r>
      <w:r w:rsidR="006C4627" w:rsidRPr="005E3440">
        <w:rPr>
          <w:rFonts w:ascii="Palatino Linotype" w:hAnsi="Palatino Linotype" w:cs="Tahoma"/>
        </w:rPr>
        <w:t xml:space="preserve">le solicitaron recibos de nómina en formato </w:t>
      </w:r>
      <w:r w:rsidR="006C4627" w:rsidRPr="005E3440">
        <w:rPr>
          <w:rFonts w:ascii="Palatino Linotype" w:hAnsi="Palatino Linotype" w:cs="Tahoma"/>
          <w:i/>
        </w:rPr>
        <w:t xml:space="preserve">pdf </w:t>
      </w:r>
      <w:r w:rsidR="006C4627" w:rsidRPr="005E3440">
        <w:rPr>
          <w:rFonts w:ascii="Palatino Linotype" w:hAnsi="Palatino Linotype" w:cs="Tahoma"/>
        </w:rPr>
        <w:t xml:space="preserve">y en datos abiertos; y </w:t>
      </w:r>
      <w:r w:rsidR="003F2F24" w:rsidRPr="005E3440">
        <w:rPr>
          <w:rFonts w:ascii="Palatino Linotype" w:hAnsi="Palatino Linotype" w:cs="Tahoma"/>
        </w:rPr>
        <w:t xml:space="preserve">entregó en informe justificado </w:t>
      </w:r>
      <w:r w:rsidR="003F2F24" w:rsidRPr="005E3440">
        <w:rPr>
          <w:rFonts w:ascii="Palatino Linotype" w:hAnsi="Palatino Linotype" w:cs="Tahoma"/>
          <w:b/>
        </w:rPr>
        <w:t>recibos de nómina en datos abiertos</w:t>
      </w:r>
      <w:r w:rsidR="003F2F24" w:rsidRPr="005E3440">
        <w:rPr>
          <w:rFonts w:ascii="Palatino Linotype" w:hAnsi="Palatino Linotype" w:cs="Tahoma"/>
        </w:rPr>
        <w:t>;</w:t>
      </w:r>
      <w:r w:rsidR="006C4627" w:rsidRPr="005E3440">
        <w:rPr>
          <w:rFonts w:ascii="Palatino Linotype" w:hAnsi="Palatino Linotype" w:cs="Tahoma"/>
          <w:b/>
        </w:rPr>
        <w:t xml:space="preserve"> </w:t>
      </w:r>
      <w:r w:rsidR="006C4627" w:rsidRPr="005E3440">
        <w:rPr>
          <w:rFonts w:ascii="Palatino Linotype" w:hAnsi="Palatino Linotype" w:cs="Tahoma"/>
        </w:rPr>
        <w:t xml:space="preserve">en dicho Recurso de Revisión, se resolvió modificar la respuesta inicial y ordenar nuevamente la entrega de los recibos de nómina entregados en el informe justificado en versión pública correcta, pues se habían dejado datos personales </w:t>
      </w:r>
      <w:r w:rsidR="006C4627" w:rsidRPr="005E3440">
        <w:rPr>
          <w:rFonts w:ascii="Palatino Linotype" w:hAnsi="Palatino Linotype" w:cs="Tahoma"/>
        </w:rPr>
        <w:lastRenderedPageBreak/>
        <w:t>confidenciales visibles. Cabe destacar que dicha resolución se votó por unanimidad de votos.</w:t>
      </w:r>
    </w:p>
    <w:p w14:paraId="7FB62BB3" w14:textId="77777777" w:rsidR="006C4627" w:rsidRPr="005E3440" w:rsidRDefault="006C4627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E4740AC" w14:textId="23177F50" w:rsidR="006D5A86" w:rsidRPr="005E3440" w:rsidRDefault="006C4627" w:rsidP="00B014FF">
      <w:pPr>
        <w:spacing w:after="0" w:line="360" w:lineRule="auto"/>
        <w:jc w:val="both"/>
        <w:rPr>
          <w:rFonts w:ascii="Palatino Linotype" w:hAnsi="Palatino Linotype" w:cs="Tahoma"/>
        </w:rPr>
      </w:pPr>
      <w:r w:rsidRPr="005E3440">
        <w:rPr>
          <w:rFonts w:ascii="Palatino Linotype" w:hAnsi="Palatino Linotype" w:cs="Tahoma"/>
        </w:rPr>
        <w:t>Lo anterior sentó las bases para considerar que el Sujeto Obligado cuenta con la información en datos abiertos y puede ser entregada en dicho formato, además de ser el precedente directo para que este Organismo Garante procediera a ordenar la documentación en el formato solicitado.</w:t>
      </w:r>
      <w:r w:rsidR="00FC5DD9">
        <w:rPr>
          <w:rFonts w:ascii="Palatino Linotype" w:hAnsi="Palatino Linotype" w:cs="Tahoma"/>
        </w:rPr>
        <w:t xml:space="preserve"> </w:t>
      </w:r>
      <w:r w:rsidRPr="005E3440">
        <w:rPr>
          <w:rFonts w:ascii="Palatino Linotype" w:hAnsi="Palatino Linotype" w:cs="Tahoma"/>
        </w:rPr>
        <w:t xml:space="preserve">No se omite </w:t>
      </w:r>
      <w:r w:rsidR="003A0072" w:rsidRPr="005E3440">
        <w:rPr>
          <w:rFonts w:ascii="Palatino Linotype" w:hAnsi="Palatino Linotype" w:cs="Tahoma"/>
        </w:rPr>
        <w:t>mencionar</w:t>
      </w:r>
      <w:r w:rsidRPr="005E3440">
        <w:rPr>
          <w:rFonts w:ascii="Palatino Linotype" w:hAnsi="Palatino Linotype" w:cs="Tahoma"/>
        </w:rPr>
        <w:t xml:space="preserve"> que es este caso no es excepción al supuesto que nos ocupa; </w:t>
      </w:r>
      <w:r w:rsidR="006D5A86" w:rsidRPr="005E3440">
        <w:rPr>
          <w:rFonts w:ascii="Palatino Linotype" w:hAnsi="Palatino Linotype" w:cs="Tahoma"/>
        </w:rPr>
        <w:t xml:space="preserve">pues este Organismo Garante cuenta con presentemente en los que ordenó la entrega de recibos de nómina en formato de datos abiertos; tales como los identificados con los folios: </w:t>
      </w:r>
      <w:r w:rsidR="006D5A86" w:rsidRPr="005E3440">
        <w:rPr>
          <w:rFonts w:ascii="Palatino Linotype" w:hAnsi="Palatino Linotype" w:cs="Tahoma"/>
          <w:b/>
        </w:rPr>
        <w:t>05302/INFOEM/IP/RR/2019</w:t>
      </w:r>
      <w:r w:rsidR="006D5A86" w:rsidRPr="005E3440">
        <w:rPr>
          <w:rFonts w:ascii="Palatino Linotype" w:hAnsi="Palatino Linotype" w:cs="Tahoma"/>
        </w:rPr>
        <w:t xml:space="preserve">; votado en la 33°Sesión Ordinaria, del 11 de septiembre de 2019; y el </w:t>
      </w:r>
      <w:r w:rsidR="006D5A86" w:rsidRPr="005E3440">
        <w:rPr>
          <w:rFonts w:ascii="Palatino Linotype" w:hAnsi="Palatino Linotype" w:cs="Tahoma"/>
          <w:b/>
        </w:rPr>
        <w:t>8353/INFOEM/IP/RR/2019 y acumulados</w:t>
      </w:r>
      <w:r w:rsidR="006D5A86" w:rsidRPr="005E3440">
        <w:rPr>
          <w:rFonts w:ascii="Palatino Linotype" w:hAnsi="Palatino Linotype" w:cs="Tahoma"/>
        </w:rPr>
        <w:t>; votado en la 5° Sesión Ordinaria del 12 de febrero de 2020.</w:t>
      </w:r>
    </w:p>
    <w:p w14:paraId="608D4443" w14:textId="77777777" w:rsidR="006D5A86" w:rsidRPr="005E3440" w:rsidRDefault="006D5A86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2B7A18B" w14:textId="592ED227" w:rsidR="006C4627" w:rsidRDefault="006D5A86" w:rsidP="00B014FF">
      <w:pPr>
        <w:spacing w:after="0" w:line="360" w:lineRule="auto"/>
        <w:jc w:val="both"/>
        <w:rPr>
          <w:rFonts w:ascii="Palatino Linotype" w:hAnsi="Palatino Linotype" w:cs="Tahoma"/>
        </w:rPr>
      </w:pPr>
      <w:r w:rsidRPr="005E3440">
        <w:rPr>
          <w:rFonts w:ascii="Palatino Linotype" w:hAnsi="Palatino Linotype" w:cs="Tahoma"/>
        </w:rPr>
        <w:t>Aunado a ello,</w:t>
      </w:r>
      <w:r w:rsidR="003A0072" w:rsidRPr="005E3440">
        <w:rPr>
          <w:rFonts w:ascii="Palatino Linotype" w:hAnsi="Palatino Linotype" w:cs="Tahoma"/>
        </w:rPr>
        <w:t xml:space="preserve"> este Instituto ha entregado la información de recibos de nómina en formato de datos abiertos; tal es el caso de la atención prestada a las solicitudes de información de folios: </w:t>
      </w:r>
      <w:r w:rsidR="003A0072" w:rsidRPr="005E3440">
        <w:rPr>
          <w:rFonts w:ascii="Palatino Linotype" w:hAnsi="Palatino Linotype" w:cs="Tahoma"/>
          <w:b/>
        </w:rPr>
        <w:t>00161/INFOEM/IP/2022; 00162/INFOEM/IP/2022; 00244/INFOEM/IP/2022; 00555/INFOEM/IP/2022 y 00802/INFOEM/IP/2022</w:t>
      </w:r>
      <w:r w:rsidR="003A0072" w:rsidRPr="005E3440">
        <w:rPr>
          <w:rFonts w:ascii="Palatino Linotype" w:hAnsi="Palatino Linotype" w:cs="Tahoma"/>
        </w:rPr>
        <w:t>; en las que en todos los casos, este Instituto, en su calidad de Sujeto Obligado entregó recibos de nómina en</w:t>
      </w:r>
      <w:r w:rsidRPr="005E3440">
        <w:rPr>
          <w:rFonts w:ascii="Palatino Linotype" w:hAnsi="Palatino Linotype" w:cs="Tahoma"/>
        </w:rPr>
        <w:t xml:space="preserve"> formato </w:t>
      </w:r>
      <w:r w:rsidRPr="005E3440">
        <w:rPr>
          <w:rFonts w:ascii="Palatino Linotype" w:hAnsi="Palatino Linotype" w:cs="Tahoma"/>
          <w:i/>
        </w:rPr>
        <w:t xml:space="preserve">pdf </w:t>
      </w:r>
      <w:r w:rsidRPr="005E3440">
        <w:rPr>
          <w:rFonts w:ascii="Palatino Linotype" w:hAnsi="Palatino Linotype" w:cs="Tahoma"/>
        </w:rPr>
        <w:t xml:space="preserve"> y en</w:t>
      </w:r>
      <w:r w:rsidR="003A0072" w:rsidRPr="005E3440">
        <w:rPr>
          <w:rFonts w:ascii="Palatino Linotype" w:hAnsi="Palatino Linotype" w:cs="Tahoma"/>
        </w:rPr>
        <w:t xml:space="preserve"> datos abiertos; danto cuenta de que es posible la entrega en dicho formato. </w:t>
      </w:r>
    </w:p>
    <w:p w14:paraId="67A427CB" w14:textId="77777777" w:rsidR="00691F10" w:rsidRDefault="00691F10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F97941A" w14:textId="538BCB77" w:rsidR="00691F10" w:rsidRPr="005E3440" w:rsidRDefault="00691F10" w:rsidP="00B014FF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Lo anterior, abona también a mostrar que el objetivo de entregar los recibos de nómina, únicamente tiene por </w:t>
      </w:r>
      <w:r w:rsidR="008F7087">
        <w:rPr>
          <w:rFonts w:ascii="Palatino Linotype" w:hAnsi="Palatino Linotype" w:cs="Tahoma"/>
        </w:rPr>
        <w:t>finalidad</w:t>
      </w:r>
      <w:r>
        <w:rPr>
          <w:rFonts w:ascii="Palatino Linotype" w:hAnsi="Palatino Linotype" w:cs="Tahoma"/>
        </w:rPr>
        <w:t xml:space="preserve"> que </w:t>
      </w:r>
      <w:r w:rsidR="008F7087">
        <w:rPr>
          <w:rFonts w:ascii="Palatino Linotype" w:hAnsi="Palatino Linotype" w:cs="Tahoma"/>
        </w:rPr>
        <w:t>los datos</w:t>
      </w:r>
      <w:r>
        <w:rPr>
          <w:rFonts w:ascii="Palatino Linotype" w:hAnsi="Palatino Linotype" w:cs="Tahoma"/>
        </w:rPr>
        <w:t xml:space="preserve"> que obra en ellos pueda</w:t>
      </w:r>
      <w:r w:rsidR="008F7087">
        <w:rPr>
          <w:rFonts w:ascii="Palatino Linotype" w:hAnsi="Palatino Linotype" w:cs="Tahoma"/>
        </w:rPr>
        <w:t>n</w:t>
      </w:r>
      <w:r>
        <w:rPr>
          <w:rFonts w:ascii="Palatino Linotype" w:hAnsi="Palatino Linotype" w:cs="Tahoma"/>
        </w:rPr>
        <w:t xml:space="preserve"> ser reutilizad</w:t>
      </w:r>
      <w:r w:rsidR="008F7087">
        <w:rPr>
          <w:rFonts w:ascii="Palatino Linotype" w:hAnsi="Palatino Linotype" w:cs="Tahoma"/>
        </w:rPr>
        <w:t>os</w:t>
      </w:r>
      <w:r>
        <w:rPr>
          <w:rFonts w:ascii="Palatino Linotype" w:hAnsi="Palatino Linotype" w:cs="Tahoma"/>
        </w:rPr>
        <w:t>, pero de ninguna manera implica que entregar un CFDI, propici</w:t>
      </w:r>
      <w:r w:rsidR="008F7087">
        <w:rPr>
          <w:rFonts w:ascii="Palatino Linotype" w:hAnsi="Palatino Linotype" w:cs="Tahoma"/>
        </w:rPr>
        <w:t>e</w:t>
      </w:r>
      <w:r>
        <w:rPr>
          <w:rFonts w:ascii="Palatino Linotype" w:hAnsi="Palatino Linotype" w:cs="Tahoma"/>
        </w:rPr>
        <w:t xml:space="preserve"> que </w:t>
      </w:r>
      <w:r w:rsidR="008F7087">
        <w:rPr>
          <w:rFonts w:ascii="Palatino Linotype" w:hAnsi="Palatino Linotype" w:cs="Tahoma"/>
        </w:rPr>
        <w:t>estos</w:t>
      </w:r>
      <w:r>
        <w:rPr>
          <w:rFonts w:ascii="Palatino Linotype" w:hAnsi="Palatino Linotype" w:cs="Tahoma"/>
        </w:rPr>
        <w:t xml:space="preserve"> sean alterados o editados, pues justamente el formato PDF impide </w:t>
      </w:r>
      <w:r w:rsidR="008F7087">
        <w:rPr>
          <w:rFonts w:ascii="Palatino Linotype" w:hAnsi="Palatino Linotype" w:cs="Tahoma"/>
        </w:rPr>
        <w:t>realizar tales acciones</w:t>
      </w:r>
      <w:r>
        <w:rPr>
          <w:rFonts w:ascii="Palatino Linotype" w:hAnsi="Palatino Linotype" w:cs="Tahoma"/>
        </w:rPr>
        <w:t xml:space="preserve">, pero la calidad de </w:t>
      </w:r>
      <w:r>
        <w:rPr>
          <w:rFonts w:ascii="Palatino Linotype" w:hAnsi="Palatino Linotype" w:cs="Tahoma"/>
        </w:rPr>
        <w:lastRenderedPageBreak/>
        <w:t xml:space="preserve">datos abiertos permite que esos sean extraídos del PDF para ser utilizados en otros documentos, pues incluso afirmar que la entrega de datos abiertos </w:t>
      </w:r>
      <w:r w:rsidR="000F672F">
        <w:rPr>
          <w:rFonts w:ascii="Palatino Linotype" w:hAnsi="Palatino Linotype" w:cs="Tahoma"/>
        </w:rPr>
        <w:t>facilita su alteración, ningún documento públic</w:t>
      </w:r>
      <w:r w:rsidR="008F7087">
        <w:rPr>
          <w:rFonts w:ascii="Palatino Linotype" w:hAnsi="Palatino Linotype" w:cs="Tahoma"/>
        </w:rPr>
        <w:t>o</w:t>
      </w:r>
      <w:r w:rsidR="000F672F">
        <w:rPr>
          <w:rFonts w:ascii="Palatino Linotype" w:hAnsi="Palatino Linotype" w:cs="Tahoma"/>
        </w:rPr>
        <w:t xml:space="preserve"> se entregaría en datos abiertos, situación contraria a las acciones en materia de transparencia que ha impulsado este Instituto, sumado a ello, en virtud de que las facturas también son CFDI, tampoco procedería ordenarlas en datos abiertos, criterio que perjudica a las acciones de transparencia emprendidas desde el Sistema Nacional de Transparencia y el derecho humano de las personas que requieren información.</w:t>
      </w:r>
      <w:r>
        <w:rPr>
          <w:rFonts w:ascii="Palatino Linotype" w:hAnsi="Palatino Linotype" w:cs="Tahoma"/>
        </w:rPr>
        <w:t xml:space="preserve"> </w:t>
      </w:r>
    </w:p>
    <w:p w14:paraId="1A6BB774" w14:textId="77777777" w:rsidR="005A758C" w:rsidRPr="005E3440" w:rsidRDefault="005A758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169A7EC" w14:textId="4A4145F5" w:rsidR="005A758C" w:rsidRPr="005E3440" w:rsidRDefault="005A758C" w:rsidP="00B014FF">
      <w:pPr>
        <w:spacing w:after="0" w:line="360" w:lineRule="auto"/>
        <w:jc w:val="both"/>
        <w:rPr>
          <w:rFonts w:ascii="Palatino Linotype" w:hAnsi="Palatino Linotype" w:cs="Tahoma"/>
        </w:rPr>
      </w:pPr>
      <w:r w:rsidRPr="005E3440">
        <w:rPr>
          <w:rFonts w:ascii="Palatino Linotype" w:hAnsi="Palatino Linotype" w:cs="Tahoma"/>
        </w:rPr>
        <w:t>En conclusión de todo lo antes expuesto; emito el presente</w:t>
      </w:r>
      <w:r w:rsidRPr="005E3440">
        <w:rPr>
          <w:rFonts w:ascii="Palatino Linotype" w:hAnsi="Palatino Linotype" w:cs="Tahoma"/>
          <w:b/>
        </w:rPr>
        <w:t xml:space="preserve"> Voto Disidente</w:t>
      </w:r>
      <w:r w:rsidRPr="005E3440">
        <w:rPr>
          <w:rFonts w:ascii="Palatino Linotype" w:hAnsi="Palatino Linotype" w:cs="Tahoma"/>
        </w:rPr>
        <w:t>, pues considero que se contaban con elementos suficientes para modificar la respuesta inicial y ordenar la entrega de la información en datos abiertos.---------------------------------------------------</w:t>
      </w:r>
      <w:r w:rsidR="00B014FF" w:rsidRPr="005E3440">
        <w:rPr>
          <w:rFonts w:ascii="Palatino Linotype" w:hAnsi="Palatino Linotype" w:cs="Tahoma"/>
        </w:rPr>
        <w:t>-----------</w:t>
      </w:r>
    </w:p>
    <w:p w14:paraId="54EE04F6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52593C2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DA24574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54F5405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F573EB3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10D2EAC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1C44790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1FA394D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7751E96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3230B47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27471C4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83D5747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44A07EC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71ECD5D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3B94074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4EA698C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FDFFDAC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F1372D9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829AD9F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1F68ED9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AD2C564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2EB6DC4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CDEB9EB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78F2B4F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A7D65B8" w14:textId="77777777" w:rsidR="00B014FF" w:rsidRPr="005E3440" w:rsidRDefault="00B014FF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AC1B2D2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3F60D49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168920B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3B798D2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56E8E8D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D5F7E08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372C555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5093235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CD7FD6A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5217D09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0C69E96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EBE8B93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EFD7140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BEE8A4D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93C94F3" w14:textId="77777777" w:rsidR="00887E3C" w:rsidRPr="005E3440" w:rsidRDefault="00887E3C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A38A2D2" w14:textId="77777777" w:rsidR="00A45699" w:rsidRPr="005E3440" w:rsidRDefault="00A45699" w:rsidP="00B014FF">
      <w:pPr>
        <w:spacing w:after="0" w:line="360" w:lineRule="auto"/>
        <w:jc w:val="both"/>
        <w:rPr>
          <w:rFonts w:ascii="Palatino Linotype" w:hAnsi="Palatino Linotype" w:cs="Tahoma"/>
        </w:rPr>
      </w:pPr>
    </w:p>
    <w:sectPr w:rsidR="00A45699" w:rsidRPr="005E3440" w:rsidSect="008E7174">
      <w:headerReference w:type="default" r:id="rId15"/>
      <w:footerReference w:type="default" r:id="rId16"/>
      <w:pgSz w:w="12240" w:h="15840" w:code="1"/>
      <w:pgMar w:top="1417" w:right="1701" w:bottom="1560" w:left="1701" w:header="142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8AE14" w14:textId="77777777" w:rsidR="002F1A70" w:rsidRDefault="002F1A70" w:rsidP="00EE29F6">
      <w:pPr>
        <w:spacing w:after="0" w:line="240" w:lineRule="auto"/>
      </w:pPr>
      <w:r>
        <w:separator/>
      </w:r>
    </w:p>
  </w:endnote>
  <w:endnote w:type="continuationSeparator" w:id="0">
    <w:p w14:paraId="05FF4615" w14:textId="77777777" w:rsidR="002F1A70" w:rsidRDefault="002F1A70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D3881A" w14:textId="6CD95608" w:rsidR="008E7174" w:rsidRDefault="008E7174">
            <w:pPr>
              <w:pStyle w:val="Piedepgina"/>
              <w:jc w:val="center"/>
            </w:pPr>
          </w:p>
          <w:p w14:paraId="68C65B4D" w14:textId="77777777" w:rsidR="008E7174" w:rsidRDefault="008E7174">
            <w:pPr>
              <w:pStyle w:val="Piedepgina"/>
              <w:jc w:val="center"/>
            </w:pPr>
          </w:p>
          <w:p w14:paraId="53739D82" w14:textId="4D908F3A" w:rsidR="00363357" w:rsidRDefault="0036335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50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501B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6E5B5F" w14:textId="77777777" w:rsidR="00363357" w:rsidRDefault="0036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47123" w14:textId="77777777" w:rsidR="002F1A70" w:rsidRDefault="002F1A70" w:rsidP="00EE29F6">
      <w:pPr>
        <w:spacing w:after="0" w:line="240" w:lineRule="auto"/>
      </w:pPr>
      <w:r>
        <w:separator/>
      </w:r>
    </w:p>
  </w:footnote>
  <w:footnote w:type="continuationSeparator" w:id="0">
    <w:p w14:paraId="6C430F19" w14:textId="77777777" w:rsidR="002F1A70" w:rsidRDefault="002F1A70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4990"/>
    </w:tblGrid>
    <w:tr w:rsidR="00363357" w:rsidRPr="001106EA" w14:paraId="37AF6C52" w14:textId="77777777" w:rsidTr="00022112">
      <w:trPr>
        <w:trHeight w:val="1843"/>
      </w:trPr>
      <w:tc>
        <w:tcPr>
          <w:tcW w:w="3936" w:type="dxa"/>
          <w:vAlign w:val="bottom"/>
        </w:tcPr>
        <w:p w14:paraId="4FD40B83" w14:textId="0F0B7125" w:rsidR="00363357" w:rsidRDefault="00363357" w:rsidP="003D1AD0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60800" behindDoc="0" locked="0" layoutInCell="1" allowOverlap="1" wp14:anchorId="2DC52F73" wp14:editId="7AE0078B">
                <wp:simplePos x="0" y="0"/>
                <wp:positionH relativeFrom="column">
                  <wp:posOffset>-240030</wp:posOffset>
                </wp:positionH>
                <wp:positionV relativeFrom="paragraph">
                  <wp:posOffset>-1200785</wp:posOffset>
                </wp:positionV>
                <wp:extent cx="1873250" cy="1126490"/>
                <wp:effectExtent l="0" t="0" r="0" b="0"/>
                <wp:wrapNone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90" w:type="dxa"/>
          <w:vAlign w:val="center"/>
        </w:tcPr>
        <w:p w14:paraId="46D1768B" w14:textId="77777777" w:rsidR="003D1AD0" w:rsidRDefault="003D1AD0" w:rsidP="00A26864">
          <w:pPr>
            <w:pStyle w:val="Encabezado"/>
            <w:ind w:right="-675"/>
            <w:jc w:val="both"/>
            <w:rPr>
              <w:rFonts w:ascii="Palatino Linotype" w:hAnsi="Palatino Linotype" w:cs="Tahoma"/>
              <w:b/>
            </w:rPr>
          </w:pPr>
        </w:p>
        <w:p w14:paraId="3F924758" w14:textId="77777777" w:rsidR="003D1AD0" w:rsidRDefault="003D1AD0" w:rsidP="00A26864">
          <w:pPr>
            <w:pStyle w:val="Encabezado"/>
            <w:ind w:right="-675"/>
            <w:jc w:val="both"/>
            <w:rPr>
              <w:rFonts w:ascii="Palatino Linotype" w:hAnsi="Palatino Linotype" w:cs="Tahoma"/>
              <w:b/>
            </w:rPr>
          </w:pPr>
        </w:p>
        <w:p w14:paraId="14CA7E41" w14:textId="6CBD91E1" w:rsidR="00363357" w:rsidRPr="00085241" w:rsidRDefault="00363357" w:rsidP="00022112">
          <w:pPr>
            <w:pStyle w:val="Encabezado"/>
            <w:ind w:left="-80"/>
            <w:jc w:val="both"/>
            <w:rPr>
              <w:rFonts w:ascii="Palatino Linotype" w:hAnsi="Palatino Linotype" w:cs="Tahoma"/>
              <w:b/>
            </w:rPr>
          </w:pPr>
          <w:r w:rsidRPr="00085241">
            <w:rPr>
              <w:rFonts w:ascii="Palatino Linotype" w:hAnsi="Palatino Linotype" w:cs="Tahoma"/>
              <w:b/>
            </w:rPr>
            <w:t xml:space="preserve">Voto </w:t>
          </w:r>
          <w:r w:rsidR="002D539A">
            <w:rPr>
              <w:rFonts w:ascii="Palatino Linotype" w:hAnsi="Palatino Linotype" w:cs="Tahoma"/>
              <w:b/>
            </w:rPr>
            <w:t>Disidente</w:t>
          </w:r>
        </w:p>
        <w:p w14:paraId="375A390A" w14:textId="5461D231" w:rsidR="00104333" w:rsidRPr="00085241" w:rsidRDefault="00743EE0" w:rsidP="00022112">
          <w:pPr>
            <w:pStyle w:val="Encabezado"/>
            <w:ind w:left="-80"/>
            <w:jc w:val="both"/>
            <w:rPr>
              <w:rFonts w:ascii="Palatino Linotype" w:hAnsi="Palatino Linotype" w:cs="Tahoma"/>
              <w:b/>
            </w:rPr>
          </w:pPr>
          <w:r>
            <w:rPr>
              <w:rFonts w:ascii="Palatino Linotype" w:hAnsi="Palatino Linotype" w:cs="Tahoma"/>
              <w:b/>
            </w:rPr>
            <w:t>Recurso de Revisión:</w:t>
          </w:r>
          <w:r w:rsidR="00F17C34">
            <w:rPr>
              <w:rFonts w:ascii="Palatino Linotype" w:hAnsi="Palatino Linotype" w:cs="Tahoma"/>
              <w:b/>
            </w:rPr>
            <w:t xml:space="preserve"> </w:t>
          </w:r>
          <w:r w:rsidR="00022112" w:rsidRPr="00022112">
            <w:rPr>
              <w:rFonts w:ascii="Palatino Linotype" w:hAnsi="Palatino Linotype" w:cs="Tahoma"/>
            </w:rPr>
            <w:t>12535/INFOEM/IP/RR/2022</w:t>
          </w:r>
        </w:p>
        <w:p w14:paraId="1B4AFBAB" w14:textId="2811B04C" w:rsidR="002D539A" w:rsidRPr="00DD0452" w:rsidRDefault="00DF2784" w:rsidP="00022112">
          <w:pPr>
            <w:pStyle w:val="Encabezado"/>
            <w:ind w:left="-80"/>
            <w:jc w:val="both"/>
            <w:rPr>
              <w:rFonts w:ascii="Palatino Linotype" w:hAnsi="Palatino Linotype" w:cs="Tahoma"/>
            </w:rPr>
          </w:pPr>
          <w:r w:rsidRPr="00085241">
            <w:rPr>
              <w:rFonts w:ascii="Palatino Linotype" w:hAnsi="Palatino Linotype" w:cs="Tahoma"/>
              <w:b/>
            </w:rPr>
            <w:t xml:space="preserve">Sujeto Obligado: </w:t>
          </w:r>
          <w:r w:rsidR="00022112" w:rsidRPr="00022112">
            <w:rPr>
              <w:rFonts w:ascii="Palatino Linotype" w:hAnsi="Palatino Linotype" w:cs="Tahoma"/>
            </w:rPr>
            <w:t>Organismo Público Descentralizado para la Prestación de los Servicios de Agua Potable Alcantarillado y Saneamiento del Municipio de Zumpango</w:t>
          </w:r>
        </w:p>
        <w:p w14:paraId="473E437C" w14:textId="6AC16BED" w:rsidR="00363357" w:rsidRDefault="00743EE0" w:rsidP="00022112">
          <w:pPr>
            <w:pStyle w:val="Encabezado"/>
            <w:ind w:left="-80"/>
            <w:jc w:val="both"/>
            <w:rPr>
              <w:rFonts w:ascii="Palatino Linotype" w:hAnsi="Palatino Linotype" w:cs="Tahoma"/>
            </w:rPr>
          </w:pPr>
          <w:r>
            <w:rPr>
              <w:rFonts w:ascii="Palatino Linotype" w:hAnsi="Palatino Linotype" w:cs="Tahoma"/>
              <w:b/>
            </w:rPr>
            <w:t>Comisionad</w:t>
          </w:r>
          <w:r w:rsidR="00BF527A">
            <w:rPr>
              <w:rFonts w:ascii="Palatino Linotype" w:hAnsi="Palatino Linotype" w:cs="Tahoma"/>
              <w:b/>
            </w:rPr>
            <w:t>a</w:t>
          </w:r>
          <w:r w:rsidR="00363357" w:rsidRPr="00085241">
            <w:rPr>
              <w:rFonts w:ascii="Palatino Linotype" w:hAnsi="Palatino Linotype" w:cs="Tahoma"/>
              <w:b/>
            </w:rPr>
            <w:t xml:space="preserve"> Ponente: </w:t>
          </w:r>
          <w:r w:rsidR="00022112" w:rsidRPr="00022112">
            <w:rPr>
              <w:rFonts w:ascii="Palatino Linotype" w:hAnsi="Palatino Linotype" w:cs="Tahoma"/>
            </w:rPr>
            <w:t>José Martínez Vilchis</w:t>
          </w:r>
        </w:p>
        <w:p w14:paraId="26A58A17" w14:textId="3AAFB6D3" w:rsidR="003D1AD0" w:rsidRPr="001106EA" w:rsidRDefault="003D1AD0" w:rsidP="00F42582">
          <w:pPr>
            <w:pStyle w:val="Encabezado"/>
            <w:ind w:right="-675"/>
            <w:jc w:val="both"/>
            <w:rPr>
              <w:rFonts w:ascii="Tahoma" w:hAnsi="Tahoma" w:cs="Tahoma"/>
            </w:rPr>
          </w:pPr>
        </w:p>
      </w:tc>
    </w:tr>
  </w:tbl>
  <w:p w14:paraId="5FDB6911" w14:textId="77777777" w:rsidR="00363357" w:rsidRPr="001106EA" w:rsidRDefault="00363357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223F"/>
    <w:multiLevelType w:val="hybridMultilevel"/>
    <w:tmpl w:val="E6D4FD94"/>
    <w:lvl w:ilvl="0" w:tplc="0D2CC0C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B76DE"/>
    <w:multiLevelType w:val="hybridMultilevel"/>
    <w:tmpl w:val="67F0C59E"/>
    <w:lvl w:ilvl="0" w:tplc="D5A2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D20E6"/>
    <w:multiLevelType w:val="hybridMultilevel"/>
    <w:tmpl w:val="C38A3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135DD"/>
    <w:multiLevelType w:val="hybridMultilevel"/>
    <w:tmpl w:val="5CBE3C10"/>
    <w:lvl w:ilvl="0" w:tplc="B2805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5A10EE"/>
    <w:multiLevelType w:val="hybridMultilevel"/>
    <w:tmpl w:val="6C4283F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12"/>
  </w:num>
  <w:num w:numId="6">
    <w:abstractNumId w:val="3"/>
  </w:num>
  <w:num w:numId="7">
    <w:abstractNumId w:val="9"/>
  </w:num>
  <w:num w:numId="8">
    <w:abstractNumId w:val="17"/>
  </w:num>
  <w:num w:numId="9">
    <w:abstractNumId w:val="14"/>
  </w:num>
  <w:num w:numId="10">
    <w:abstractNumId w:val="15"/>
  </w:num>
  <w:num w:numId="11">
    <w:abstractNumId w:val="16"/>
  </w:num>
  <w:num w:numId="12">
    <w:abstractNumId w:val="1"/>
  </w:num>
  <w:num w:numId="13">
    <w:abstractNumId w:val="8"/>
  </w:num>
  <w:num w:numId="14">
    <w:abstractNumId w:val="18"/>
  </w:num>
  <w:num w:numId="15">
    <w:abstractNumId w:val="6"/>
  </w:num>
  <w:num w:numId="16">
    <w:abstractNumId w:val="7"/>
  </w:num>
  <w:num w:numId="17">
    <w:abstractNumId w:val="11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4F11"/>
    <w:rsid w:val="00006F73"/>
    <w:rsid w:val="0001600D"/>
    <w:rsid w:val="00020D08"/>
    <w:rsid w:val="00021F98"/>
    <w:rsid w:val="00022112"/>
    <w:rsid w:val="000237AB"/>
    <w:rsid w:val="00023B3D"/>
    <w:rsid w:val="0002483E"/>
    <w:rsid w:val="000253E5"/>
    <w:rsid w:val="0002627D"/>
    <w:rsid w:val="0002759D"/>
    <w:rsid w:val="000301C6"/>
    <w:rsid w:val="00042397"/>
    <w:rsid w:val="00042C31"/>
    <w:rsid w:val="000466A3"/>
    <w:rsid w:val="000549B5"/>
    <w:rsid w:val="00056BD3"/>
    <w:rsid w:val="00060F74"/>
    <w:rsid w:val="0006561A"/>
    <w:rsid w:val="00085241"/>
    <w:rsid w:val="0008691F"/>
    <w:rsid w:val="00087AC8"/>
    <w:rsid w:val="0009277A"/>
    <w:rsid w:val="00097988"/>
    <w:rsid w:val="00097A79"/>
    <w:rsid w:val="000B235B"/>
    <w:rsid w:val="000B61DD"/>
    <w:rsid w:val="000B7F6F"/>
    <w:rsid w:val="000C10B7"/>
    <w:rsid w:val="000C22F3"/>
    <w:rsid w:val="000C501B"/>
    <w:rsid w:val="000C6052"/>
    <w:rsid w:val="000D186F"/>
    <w:rsid w:val="000D4A7E"/>
    <w:rsid w:val="000E64B7"/>
    <w:rsid w:val="000F1CD2"/>
    <w:rsid w:val="000F672F"/>
    <w:rsid w:val="00104333"/>
    <w:rsid w:val="0010688C"/>
    <w:rsid w:val="001106EA"/>
    <w:rsid w:val="001159DC"/>
    <w:rsid w:val="00116E1A"/>
    <w:rsid w:val="00117B25"/>
    <w:rsid w:val="00126B40"/>
    <w:rsid w:val="00135847"/>
    <w:rsid w:val="00136AD8"/>
    <w:rsid w:val="0014038B"/>
    <w:rsid w:val="00140A57"/>
    <w:rsid w:val="0014736A"/>
    <w:rsid w:val="001536F8"/>
    <w:rsid w:val="00161815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C363A"/>
    <w:rsid w:val="001C7C6D"/>
    <w:rsid w:val="0020052A"/>
    <w:rsid w:val="00205DF8"/>
    <w:rsid w:val="00215B62"/>
    <w:rsid w:val="00220D45"/>
    <w:rsid w:val="00221EE0"/>
    <w:rsid w:val="00231B68"/>
    <w:rsid w:val="00234E99"/>
    <w:rsid w:val="00243A13"/>
    <w:rsid w:val="00246FAF"/>
    <w:rsid w:val="00273B3C"/>
    <w:rsid w:val="0028037C"/>
    <w:rsid w:val="002816CB"/>
    <w:rsid w:val="00282687"/>
    <w:rsid w:val="0028714A"/>
    <w:rsid w:val="002945A4"/>
    <w:rsid w:val="00295BA5"/>
    <w:rsid w:val="002A138B"/>
    <w:rsid w:val="002A1727"/>
    <w:rsid w:val="002A2EE7"/>
    <w:rsid w:val="002A6341"/>
    <w:rsid w:val="002B0502"/>
    <w:rsid w:val="002B0E4A"/>
    <w:rsid w:val="002B2877"/>
    <w:rsid w:val="002C2405"/>
    <w:rsid w:val="002C3532"/>
    <w:rsid w:val="002C7EBD"/>
    <w:rsid w:val="002D539A"/>
    <w:rsid w:val="002E4A9A"/>
    <w:rsid w:val="002E5A1A"/>
    <w:rsid w:val="002F1A70"/>
    <w:rsid w:val="00304D27"/>
    <w:rsid w:val="003331F5"/>
    <w:rsid w:val="00333B7A"/>
    <w:rsid w:val="00335E0D"/>
    <w:rsid w:val="00344DD1"/>
    <w:rsid w:val="003512C9"/>
    <w:rsid w:val="0036010F"/>
    <w:rsid w:val="00361360"/>
    <w:rsid w:val="00361F8F"/>
    <w:rsid w:val="00363357"/>
    <w:rsid w:val="00390188"/>
    <w:rsid w:val="003937C0"/>
    <w:rsid w:val="00394BE9"/>
    <w:rsid w:val="003973A2"/>
    <w:rsid w:val="003A0072"/>
    <w:rsid w:val="003A33E2"/>
    <w:rsid w:val="003A6218"/>
    <w:rsid w:val="003B5F3A"/>
    <w:rsid w:val="003B6547"/>
    <w:rsid w:val="003B7A5E"/>
    <w:rsid w:val="003C374F"/>
    <w:rsid w:val="003C4BD1"/>
    <w:rsid w:val="003D0982"/>
    <w:rsid w:val="003D1AD0"/>
    <w:rsid w:val="003F2426"/>
    <w:rsid w:val="003F2F24"/>
    <w:rsid w:val="003F48C2"/>
    <w:rsid w:val="003F7CBE"/>
    <w:rsid w:val="0040139C"/>
    <w:rsid w:val="00403B39"/>
    <w:rsid w:val="00412CB2"/>
    <w:rsid w:val="004131BB"/>
    <w:rsid w:val="004211BB"/>
    <w:rsid w:val="00433746"/>
    <w:rsid w:val="00434B91"/>
    <w:rsid w:val="00434C88"/>
    <w:rsid w:val="00435E69"/>
    <w:rsid w:val="00440F05"/>
    <w:rsid w:val="00441EA2"/>
    <w:rsid w:val="0044246A"/>
    <w:rsid w:val="0044391A"/>
    <w:rsid w:val="004452E2"/>
    <w:rsid w:val="00445BDF"/>
    <w:rsid w:val="00447F6F"/>
    <w:rsid w:val="00450B68"/>
    <w:rsid w:val="0045695E"/>
    <w:rsid w:val="00467ACB"/>
    <w:rsid w:val="00485822"/>
    <w:rsid w:val="00490F50"/>
    <w:rsid w:val="004A4555"/>
    <w:rsid w:val="004A4BC9"/>
    <w:rsid w:val="004A555E"/>
    <w:rsid w:val="004B08C4"/>
    <w:rsid w:val="004B541F"/>
    <w:rsid w:val="004B674B"/>
    <w:rsid w:val="004C4912"/>
    <w:rsid w:val="004C6E57"/>
    <w:rsid w:val="004D2ED4"/>
    <w:rsid w:val="004E4CA3"/>
    <w:rsid w:val="004E7007"/>
    <w:rsid w:val="004E7E21"/>
    <w:rsid w:val="004E7E73"/>
    <w:rsid w:val="004F0B86"/>
    <w:rsid w:val="004F7FD5"/>
    <w:rsid w:val="00511E06"/>
    <w:rsid w:val="0052260F"/>
    <w:rsid w:val="00524DA5"/>
    <w:rsid w:val="00526DBD"/>
    <w:rsid w:val="00543DF4"/>
    <w:rsid w:val="00544812"/>
    <w:rsid w:val="00550AA5"/>
    <w:rsid w:val="00553A37"/>
    <w:rsid w:val="00553ADE"/>
    <w:rsid w:val="0056120D"/>
    <w:rsid w:val="0056175F"/>
    <w:rsid w:val="0056245C"/>
    <w:rsid w:val="0056524C"/>
    <w:rsid w:val="00577080"/>
    <w:rsid w:val="00582CCB"/>
    <w:rsid w:val="00583297"/>
    <w:rsid w:val="00584D73"/>
    <w:rsid w:val="0059329D"/>
    <w:rsid w:val="00596EE6"/>
    <w:rsid w:val="005A2510"/>
    <w:rsid w:val="005A6E4D"/>
    <w:rsid w:val="005A758C"/>
    <w:rsid w:val="005C094E"/>
    <w:rsid w:val="005C633B"/>
    <w:rsid w:val="005C73EE"/>
    <w:rsid w:val="005D11C8"/>
    <w:rsid w:val="005E2798"/>
    <w:rsid w:val="005E3440"/>
    <w:rsid w:val="005F0940"/>
    <w:rsid w:val="005F3F63"/>
    <w:rsid w:val="00600164"/>
    <w:rsid w:val="00600323"/>
    <w:rsid w:val="00605683"/>
    <w:rsid w:val="006248F2"/>
    <w:rsid w:val="00624DE5"/>
    <w:rsid w:val="00627F2B"/>
    <w:rsid w:val="0063602B"/>
    <w:rsid w:val="00641A05"/>
    <w:rsid w:val="00645087"/>
    <w:rsid w:val="00651B2B"/>
    <w:rsid w:val="00654ACD"/>
    <w:rsid w:val="00657396"/>
    <w:rsid w:val="00672A7D"/>
    <w:rsid w:val="00682003"/>
    <w:rsid w:val="00683596"/>
    <w:rsid w:val="00684B16"/>
    <w:rsid w:val="00691F10"/>
    <w:rsid w:val="006951E4"/>
    <w:rsid w:val="00695F12"/>
    <w:rsid w:val="00696B47"/>
    <w:rsid w:val="006B16FE"/>
    <w:rsid w:val="006B6D1A"/>
    <w:rsid w:val="006C4627"/>
    <w:rsid w:val="006D1775"/>
    <w:rsid w:val="006D3DF1"/>
    <w:rsid w:val="006D5A86"/>
    <w:rsid w:val="006F5316"/>
    <w:rsid w:val="007071CF"/>
    <w:rsid w:val="00722FE9"/>
    <w:rsid w:val="00724F08"/>
    <w:rsid w:val="007256A8"/>
    <w:rsid w:val="0073552A"/>
    <w:rsid w:val="007378E2"/>
    <w:rsid w:val="00742A15"/>
    <w:rsid w:val="00743140"/>
    <w:rsid w:val="00743EE0"/>
    <w:rsid w:val="00765A96"/>
    <w:rsid w:val="0076722E"/>
    <w:rsid w:val="0077694E"/>
    <w:rsid w:val="00781082"/>
    <w:rsid w:val="00781866"/>
    <w:rsid w:val="007849A1"/>
    <w:rsid w:val="00790C87"/>
    <w:rsid w:val="00792848"/>
    <w:rsid w:val="00796CD0"/>
    <w:rsid w:val="007A1071"/>
    <w:rsid w:val="007A2D13"/>
    <w:rsid w:val="007A58C2"/>
    <w:rsid w:val="007C69D4"/>
    <w:rsid w:val="007D3257"/>
    <w:rsid w:val="007D5554"/>
    <w:rsid w:val="007E3F77"/>
    <w:rsid w:val="007F1C1D"/>
    <w:rsid w:val="007F41BF"/>
    <w:rsid w:val="007F7D80"/>
    <w:rsid w:val="00802879"/>
    <w:rsid w:val="0083186E"/>
    <w:rsid w:val="00832DD2"/>
    <w:rsid w:val="00836BC2"/>
    <w:rsid w:val="00846270"/>
    <w:rsid w:val="00861757"/>
    <w:rsid w:val="008629DC"/>
    <w:rsid w:val="008706C2"/>
    <w:rsid w:val="00874170"/>
    <w:rsid w:val="00884A10"/>
    <w:rsid w:val="00887E3C"/>
    <w:rsid w:val="00891412"/>
    <w:rsid w:val="00892540"/>
    <w:rsid w:val="008933AC"/>
    <w:rsid w:val="0089469D"/>
    <w:rsid w:val="008A0447"/>
    <w:rsid w:val="008A1DE1"/>
    <w:rsid w:val="008A217F"/>
    <w:rsid w:val="008A3DA9"/>
    <w:rsid w:val="008B08C9"/>
    <w:rsid w:val="008C0435"/>
    <w:rsid w:val="008E54E2"/>
    <w:rsid w:val="008E7174"/>
    <w:rsid w:val="008F6F6E"/>
    <w:rsid w:val="008F7087"/>
    <w:rsid w:val="009039FE"/>
    <w:rsid w:val="00920E0E"/>
    <w:rsid w:val="0092103D"/>
    <w:rsid w:val="00922B2E"/>
    <w:rsid w:val="00924A73"/>
    <w:rsid w:val="00926581"/>
    <w:rsid w:val="00927138"/>
    <w:rsid w:val="00927BD1"/>
    <w:rsid w:val="009366AD"/>
    <w:rsid w:val="00941847"/>
    <w:rsid w:val="00950355"/>
    <w:rsid w:val="00950E26"/>
    <w:rsid w:val="009520A3"/>
    <w:rsid w:val="0095470A"/>
    <w:rsid w:val="00954BF1"/>
    <w:rsid w:val="00956B98"/>
    <w:rsid w:val="00961B98"/>
    <w:rsid w:val="00962B86"/>
    <w:rsid w:val="00965DE9"/>
    <w:rsid w:val="00974836"/>
    <w:rsid w:val="00993790"/>
    <w:rsid w:val="009943E1"/>
    <w:rsid w:val="009A1596"/>
    <w:rsid w:val="009B22ED"/>
    <w:rsid w:val="009B2C0B"/>
    <w:rsid w:val="009C0313"/>
    <w:rsid w:val="009D07E2"/>
    <w:rsid w:val="009D49BE"/>
    <w:rsid w:val="009E0861"/>
    <w:rsid w:val="009E41F7"/>
    <w:rsid w:val="009E6970"/>
    <w:rsid w:val="00A0224B"/>
    <w:rsid w:val="00A0343E"/>
    <w:rsid w:val="00A037C5"/>
    <w:rsid w:val="00A074E7"/>
    <w:rsid w:val="00A13E40"/>
    <w:rsid w:val="00A14343"/>
    <w:rsid w:val="00A22273"/>
    <w:rsid w:val="00A26864"/>
    <w:rsid w:val="00A30C52"/>
    <w:rsid w:val="00A3273F"/>
    <w:rsid w:val="00A34BB9"/>
    <w:rsid w:val="00A364BA"/>
    <w:rsid w:val="00A45699"/>
    <w:rsid w:val="00A462CB"/>
    <w:rsid w:val="00A5061A"/>
    <w:rsid w:val="00A54E21"/>
    <w:rsid w:val="00A67498"/>
    <w:rsid w:val="00A742D1"/>
    <w:rsid w:val="00A87924"/>
    <w:rsid w:val="00A96933"/>
    <w:rsid w:val="00A96CE5"/>
    <w:rsid w:val="00AA090B"/>
    <w:rsid w:val="00AA261E"/>
    <w:rsid w:val="00AA38A5"/>
    <w:rsid w:val="00AC333A"/>
    <w:rsid w:val="00AD25D5"/>
    <w:rsid w:val="00AE53FE"/>
    <w:rsid w:val="00AF3B6B"/>
    <w:rsid w:val="00B014FF"/>
    <w:rsid w:val="00B15570"/>
    <w:rsid w:val="00B2355E"/>
    <w:rsid w:val="00B263C5"/>
    <w:rsid w:val="00B27BBC"/>
    <w:rsid w:val="00B27F41"/>
    <w:rsid w:val="00B30925"/>
    <w:rsid w:val="00B67355"/>
    <w:rsid w:val="00B71740"/>
    <w:rsid w:val="00B73847"/>
    <w:rsid w:val="00B7393F"/>
    <w:rsid w:val="00B761B1"/>
    <w:rsid w:val="00B80C28"/>
    <w:rsid w:val="00B8633E"/>
    <w:rsid w:val="00BB6EE3"/>
    <w:rsid w:val="00BC259E"/>
    <w:rsid w:val="00BC4882"/>
    <w:rsid w:val="00BC55D2"/>
    <w:rsid w:val="00BD06FC"/>
    <w:rsid w:val="00BD0BDB"/>
    <w:rsid w:val="00BD0C80"/>
    <w:rsid w:val="00BD1839"/>
    <w:rsid w:val="00BD4705"/>
    <w:rsid w:val="00BD5DBE"/>
    <w:rsid w:val="00BE077A"/>
    <w:rsid w:val="00BE5684"/>
    <w:rsid w:val="00BE678B"/>
    <w:rsid w:val="00BF1AC9"/>
    <w:rsid w:val="00BF527A"/>
    <w:rsid w:val="00BF602D"/>
    <w:rsid w:val="00C0033F"/>
    <w:rsid w:val="00C0131C"/>
    <w:rsid w:val="00C04AB8"/>
    <w:rsid w:val="00C153EC"/>
    <w:rsid w:val="00C155EE"/>
    <w:rsid w:val="00C30FD6"/>
    <w:rsid w:val="00C31FEE"/>
    <w:rsid w:val="00C37E4F"/>
    <w:rsid w:val="00C55FFC"/>
    <w:rsid w:val="00C75CE0"/>
    <w:rsid w:val="00C920D4"/>
    <w:rsid w:val="00C92498"/>
    <w:rsid w:val="00CA63A5"/>
    <w:rsid w:val="00CA6779"/>
    <w:rsid w:val="00CA7627"/>
    <w:rsid w:val="00CB630F"/>
    <w:rsid w:val="00CC68E1"/>
    <w:rsid w:val="00CD4339"/>
    <w:rsid w:val="00CD6D0D"/>
    <w:rsid w:val="00CD7611"/>
    <w:rsid w:val="00CE232D"/>
    <w:rsid w:val="00CE3CDC"/>
    <w:rsid w:val="00CE46B3"/>
    <w:rsid w:val="00CE50F9"/>
    <w:rsid w:val="00CE623C"/>
    <w:rsid w:val="00CE7F0C"/>
    <w:rsid w:val="00CF08CA"/>
    <w:rsid w:val="00CF11EE"/>
    <w:rsid w:val="00CF1B14"/>
    <w:rsid w:val="00CF432B"/>
    <w:rsid w:val="00D01247"/>
    <w:rsid w:val="00D05444"/>
    <w:rsid w:val="00D05740"/>
    <w:rsid w:val="00D11C52"/>
    <w:rsid w:val="00D13875"/>
    <w:rsid w:val="00D15D07"/>
    <w:rsid w:val="00D160F2"/>
    <w:rsid w:val="00D178FC"/>
    <w:rsid w:val="00D30C32"/>
    <w:rsid w:val="00D342D7"/>
    <w:rsid w:val="00D357E1"/>
    <w:rsid w:val="00D37CDC"/>
    <w:rsid w:val="00D45BDF"/>
    <w:rsid w:val="00D51426"/>
    <w:rsid w:val="00D51C81"/>
    <w:rsid w:val="00D55429"/>
    <w:rsid w:val="00D6548F"/>
    <w:rsid w:val="00D65D0C"/>
    <w:rsid w:val="00D666D4"/>
    <w:rsid w:val="00D7239D"/>
    <w:rsid w:val="00D75FAE"/>
    <w:rsid w:val="00D76EA4"/>
    <w:rsid w:val="00D77F63"/>
    <w:rsid w:val="00D81CB3"/>
    <w:rsid w:val="00D9114A"/>
    <w:rsid w:val="00D932AD"/>
    <w:rsid w:val="00DA11C0"/>
    <w:rsid w:val="00DD0452"/>
    <w:rsid w:val="00DD1F62"/>
    <w:rsid w:val="00DE4452"/>
    <w:rsid w:val="00DF2116"/>
    <w:rsid w:val="00DF2784"/>
    <w:rsid w:val="00DF6CA0"/>
    <w:rsid w:val="00E145E1"/>
    <w:rsid w:val="00E26123"/>
    <w:rsid w:val="00E34559"/>
    <w:rsid w:val="00E41481"/>
    <w:rsid w:val="00E416F8"/>
    <w:rsid w:val="00E54867"/>
    <w:rsid w:val="00E656C1"/>
    <w:rsid w:val="00E70B5D"/>
    <w:rsid w:val="00E750E2"/>
    <w:rsid w:val="00E80E84"/>
    <w:rsid w:val="00E82F77"/>
    <w:rsid w:val="00E83683"/>
    <w:rsid w:val="00E910F8"/>
    <w:rsid w:val="00EA7E26"/>
    <w:rsid w:val="00EB7128"/>
    <w:rsid w:val="00EC1E4E"/>
    <w:rsid w:val="00EC5F1B"/>
    <w:rsid w:val="00EE1E0A"/>
    <w:rsid w:val="00EE29F6"/>
    <w:rsid w:val="00EE679A"/>
    <w:rsid w:val="00EE7634"/>
    <w:rsid w:val="00EF10FB"/>
    <w:rsid w:val="00F030F8"/>
    <w:rsid w:val="00F05A41"/>
    <w:rsid w:val="00F10DF2"/>
    <w:rsid w:val="00F14384"/>
    <w:rsid w:val="00F17C34"/>
    <w:rsid w:val="00F318EA"/>
    <w:rsid w:val="00F359F6"/>
    <w:rsid w:val="00F42582"/>
    <w:rsid w:val="00F44957"/>
    <w:rsid w:val="00F72D12"/>
    <w:rsid w:val="00F753FF"/>
    <w:rsid w:val="00F80D93"/>
    <w:rsid w:val="00F93684"/>
    <w:rsid w:val="00F95EDA"/>
    <w:rsid w:val="00FB3044"/>
    <w:rsid w:val="00FB59D6"/>
    <w:rsid w:val="00FC16A3"/>
    <w:rsid w:val="00FC1D9D"/>
    <w:rsid w:val="00FC2848"/>
    <w:rsid w:val="00FC5DD9"/>
    <w:rsid w:val="00FD00F1"/>
    <w:rsid w:val="00FD1849"/>
    <w:rsid w:val="00FD3150"/>
    <w:rsid w:val="00FD530D"/>
    <w:rsid w:val="00FD683E"/>
    <w:rsid w:val="00FE4A90"/>
    <w:rsid w:val="00FF22F6"/>
    <w:rsid w:val="00FF3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8318D"/>
  <w15:docId w15:val="{55FBBE48-AFB9-4CE0-B0D6-97A2F787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E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933AC"/>
    <w:rPr>
      <w:b/>
      <w:bCs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qFormat/>
    <w:rsid w:val="0028714A"/>
  </w:style>
  <w:style w:type="character" w:styleId="nfasis">
    <w:name w:val="Emphasis"/>
    <w:basedOn w:val="Fuentedeprrafopredeter"/>
    <w:uiPriority w:val="20"/>
    <w:qFormat/>
    <w:rsid w:val="00CA63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cat.es/blog/sabies-que/ventajas-de-trabajar-con-los-formatos-pdf-y-pdf-a" TargetMode="External"/><Relationship Id="rId13" Type="http://schemas.openxmlformats.org/officeDocument/2006/relationships/hyperlink" Target="https://www.infoem.org.mx/es/contenido/noticias/datos-abiertos-para-aumentar-la-transparenci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dof.gob.mx/nota_detalle.php?codigo=5382838&amp;fecha=20/02/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datacharter.net/principles-es/" TargetMode="External"/><Relationship Id="rId14" Type="http://schemas.openxmlformats.org/officeDocument/2006/relationships/hyperlink" Target="https://www.infoem.org.mx/doc/gobiernoAbierto/normatividad-documentos/El_ABC_del_Gobierno_Abiert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29FCF-48CE-4581-8294-E7A8B9F7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2646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Usuario</cp:lastModifiedBy>
  <cp:revision>2</cp:revision>
  <cp:lastPrinted>2019-09-02T22:07:00Z</cp:lastPrinted>
  <dcterms:created xsi:type="dcterms:W3CDTF">2023-01-16T23:20:00Z</dcterms:created>
  <dcterms:modified xsi:type="dcterms:W3CDTF">2023-01-16T23:20:00Z</dcterms:modified>
</cp:coreProperties>
</file>