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360" w:lineRule="auto"/>
        <w:jc w:val="both"/>
        <w:rPr>
          <w:rFonts w:ascii="Palatino Linotype" w:cs="Palatino Linotype" w:eastAsia="Palatino Linotype" w:hAnsi="Palatino Linotype"/>
          <w:b w:val="1"/>
          <w:sz w:val="24"/>
          <w:szCs w:val="24"/>
        </w:rPr>
      </w:pPr>
      <w:bookmarkStart w:colFirst="0" w:colLast="0" w:name="_heading=h.3znysh7" w:id="0"/>
      <w:bookmarkEnd w:id="0"/>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TRIGÉSIMA NOVENA SESIÓN ORDINARIA DEL PRIMERO DE NOVIEMBRE DE DOS MIL VEINTITRÉS, EN EL RECURSO DE REVISIÓN 02325/INFOEM/IP/RR/2023. </w:t>
      </w:r>
    </w:p>
    <w:p w:rsidR="00000000" w:rsidDel="00000000" w:rsidP="00000000" w:rsidRDefault="00000000" w:rsidRPr="00000000" w14:paraId="0000000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3">
      <w:pPr>
        <w:spacing w:after="0" w:line="360" w:lineRule="auto"/>
        <w:jc w:val="both"/>
        <w:rPr>
          <w:rFonts w:ascii="Palatino Linotype" w:cs="Palatino Linotype" w:eastAsia="Palatino Linotype" w:hAnsi="Palatino Linotype"/>
          <w:color w:val="ffff00"/>
          <w:sz w:val="24"/>
          <w:szCs w:val="24"/>
          <w:highlight w:val="red"/>
        </w:rPr>
      </w:pPr>
      <w:r w:rsidDel="00000000" w:rsidR="00000000" w:rsidRPr="00000000">
        <w:rPr>
          <w:rFonts w:ascii="Palatino Linotype" w:cs="Palatino Linotype" w:eastAsia="Palatino Linotype" w:hAnsi="Palatino Linotype"/>
          <w:sz w:val="24"/>
          <w:szCs w:val="24"/>
          <w:rtl w:val="0"/>
        </w:rPr>
        <w:t xml:space="preserve">Con fundamento en lo dispuesto por el artículo </w:t>
      </w:r>
      <w:r w:rsidDel="00000000" w:rsidR="00000000" w:rsidRPr="00000000">
        <w:rPr>
          <w:rFonts w:ascii="Palatino Linotype" w:cs="Palatino Linotype" w:eastAsia="Palatino Linotype" w:hAnsi="Palatino Linotype"/>
          <w:color w:val="000000"/>
          <w:sz w:val="24"/>
          <w:szCs w:val="24"/>
          <w:rtl w:val="0"/>
        </w:rPr>
        <w:t xml:space="preserve">14, fracciones X y XI, </w:t>
      </w:r>
      <w:r w:rsidDel="00000000" w:rsidR="00000000" w:rsidRPr="00000000">
        <w:rPr>
          <w:rFonts w:ascii="Palatino Linotype" w:cs="Palatino Linotype" w:eastAsia="Palatino Linotype" w:hAnsi="Palatino Linotype"/>
          <w:sz w:val="24"/>
          <w:szCs w:val="24"/>
          <w:rtl w:val="0"/>
        </w:rPr>
        <w:t xml:space="preserve">del Reglamento del Instituto de Transparencia, Acceso a la Información Pública y Protección de Datos Personales del Estado de México, la Comisionada Guadalupe Ramírez Peña, emite </w:t>
      </w:r>
      <w:r w:rsidDel="00000000" w:rsidR="00000000" w:rsidRPr="00000000">
        <w:rPr>
          <w:rFonts w:ascii="Palatino Linotype" w:cs="Palatino Linotype" w:eastAsia="Palatino Linotype" w:hAnsi="Palatino Linotype"/>
          <w:b w:val="1"/>
          <w:sz w:val="24"/>
          <w:szCs w:val="24"/>
          <w:rtl w:val="0"/>
        </w:rPr>
        <w:t xml:space="preserve">VOTO DISIDENTE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sz w:val="24"/>
          <w:szCs w:val="24"/>
          <w:rtl w:val="0"/>
        </w:rPr>
        <w:t xml:space="preserve">02325/INFOEM/IP/RR/2023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el Comisionado Presidente José Martínez Vilchis, conforme siguiente tenor: </w:t>
      </w:r>
      <w:r w:rsidDel="00000000" w:rsidR="00000000" w:rsidRPr="00000000">
        <w:rPr>
          <w:rtl w:val="0"/>
        </w:rPr>
      </w:r>
    </w:p>
    <w:p w:rsidR="00000000" w:rsidDel="00000000" w:rsidP="00000000" w:rsidRDefault="00000000" w:rsidRPr="00000000" w14:paraId="00000004">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5">
      <w:pPr>
        <w:numPr>
          <w:ilvl w:val="0"/>
          <w:numId w:val="4"/>
        </w:numPr>
        <w:spacing w:after="0" w:line="360" w:lineRule="auto"/>
        <w:ind w:left="567" w:hanging="14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Antecedentes.</w:t>
      </w:r>
    </w:p>
    <w:p w:rsidR="00000000" w:rsidDel="00000000" w:rsidP="00000000" w:rsidRDefault="00000000" w:rsidRPr="00000000" w14:paraId="00000006">
      <w:pPr>
        <w:spacing w:after="0" w:line="360" w:lineRule="auto"/>
        <w:ind w:left="567" w:firstLine="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solicitó al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la Gubernatura</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le proporcionará lo siguiente:</w:t>
      </w:r>
    </w:p>
    <w:p w:rsidR="00000000" w:rsidDel="00000000" w:rsidP="00000000" w:rsidRDefault="00000000" w:rsidRPr="00000000" w14:paraId="0000000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9">
      <w:pPr>
        <w:spacing w:after="0" w:line="240" w:lineRule="auto"/>
        <w:ind w:left="851"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“SOLICITO EL MONTO DEL DINERO DE APOYO A ALEJANDRA DEL MORAL” (Sic)</w:t>
      </w:r>
    </w:p>
    <w:p w:rsidR="00000000" w:rsidDel="00000000" w:rsidP="00000000" w:rsidRDefault="00000000" w:rsidRPr="00000000" w14:paraId="0000000A">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otorgó</w:t>
      </w:r>
      <w:r w:rsidDel="00000000" w:rsidR="00000000" w:rsidRPr="00000000">
        <w:rPr>
          <w:rFonts w:ascii="Palatino Linotype" w:cs="Palatino Linotype" w:eastAsia="Palatino Linotype" w:hAnsi="Palatino Linotype"/>
          <w:color w:val="000000"/>
          <w:sz w:val="24"/>
          <w:szCs w:val="24"/>
          <w:rtl w:val="0"/>
        </w:rPr>
        <w:t xml:space="preserve"> respuesta a la solicitud, de la siguiente manera:</w:t>
      </w:r>
    </w:p>
    <w:p w:rsidR="00000000" w:rsidDel="00000000" w:rsidP="00000000" w:rsidRDefault="00000000" w:rsidRPr="00000000" w14:paraId="0000000C">
      <w:pPr>
        <w:spacing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i w:val="1"/>
          <w:color w:val="000000"/>
          <w:sz w:val="24"/>
          <w:szCs w:val="24"/>
          <w:rtl w:val="0"/>
        </w:rPr>
        <w:t xml:space="preserve">0056 respuesta 2023.PDF: </w:t>
      </w:r>
      <w:r w:rsidDel="00000000" w:rsidR="00000000" w:rsidRPr="00000000">
        <w:rPr>
          <w:rFonts w:ascii="Palatino Linotype" w:cs="Palatino Linotype" w:eastAsia="Palatino Linotype" w:hAnsi="Palatino Linotype"/>
          <w:color w:val="000000"/>
          <w:sz w:val="24"/>
          <w:szCs w:val="24"/>
          <w:rtl w:val="0"/>
        </w:rPr>
        <w:t xml:space="preserve"> Oficio número UTG/00107/2023 de fecha 12 de abril de 2023, signado por el Titular de la Unidad de Transparencia de la Gubernatura del Estado de México, mediante el cual informó, en lo medular, lo siguiente: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ind w:left="720" w:firstLine="0"/>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w:t>
      </w:r>
      <w:r w:rsidDel="00000000" w:rsidR="00000000" w:rsidRPr="00000000">
        <w:rPr>
          <w:rFonts w:ascii="Palatino Linotype" w:cs="Palatino Linotype" w:eastAsia="Palatino Linotype" w:hAnsi="Palatino Linotype"/>
          <w:b w:val="1"/>
          <w:i w:val="1"/>
          <w:color w:val="000000"/>
          <w:sz w:val="24"/>
          <w:szCs w:val="24"/>
          <w:rtl w:val="0"/>
        </w:rPr>
        <w:t xml:space="preserve">se</w:t>
      </w:r>
      <w:r w:rsidDel="00000000" w:rsidR="00000000" w:rsidRPr="00000000">
        <w:rPr>
          <w:rFonts w:ascii="Palatino Linotype" w:cs="Palatino Linotype" w:eastAsia="Palatino Linotype" w:hAnsi="Palatino Linotype"/>
          <w:i w:val="1"/>
          <w:color w:val="000000"/>
          <w:sz w:val="24"/>
          <w:szCs w:val="24"/>
          <w:rtl w:val="0"/>
        </w:rPr>
        <w:t xml:space="preserve"> </w:t>
      </w:r>
      <w:r w:rsidDel="00000000" w:rsidR="00000000" w:rsidRPr="00000000">
        <w:rPr>
          <w:rFonts w:ascii="Palatino Linotype" w:cs="Palatino Linotype" w:eastAsia="Palatino Linotype" w:hAnsi="Palatino Linotype"/>
          <w:b w:val="1"/>
          <w:i w:val="1"/>
          <w:color w:val="000000"/>
          <w:sz w:val="24"/>
          <w:szCs w:val="24"/>
          <w:rtl w:val="0"/>
        </w:rPr>
        <w:t xml:space="preserve">realizó una búsqueda exhaustiva dentro de los archivos de la Gubernatura y no se encontró antecedente relativo a lo solicitado,</w:t>
      </w:r>
      <w:r w:rsidDel="00000000" w:rsidR="00000000" w:rsidRPr="00000000">
        <w:rPr>
          <w:rFonts w:ascii="Palatino Linotype" w:cs="Palatino Linotype" w:eastAsia="Palatino Linotype" w:hAnsi="Palatino Linotype"/>
          <w:i w:val="1"/>
          <w:color w:val="000000"/>
          <w:sz w:val="24"/>
          <w:szCs w:val="24"/>
          <w:rtl w:val="0"/>
        </w:rPr>
        <w:t xml:space="preserve"> ya que las atribuciones y competencias de esta dependencia no son generar información sobre el particular.</w:t>
      </w:r>
      <w:r w:rsidDel="00000000" w:rsidR="00000000" w:rsidRPr="00000000">
        <w:rPr>
          <w:rFonts w:ascii="Palatino Linotype" w:cs="Palatino Linotype" w:eastAsia="Palatino Linotype" w:hAnsi="Palatino Linotype"/>
          <w:color w:val="000000"/>
          <w:sz w:val="24"/>
          <w:szCs w:val="24"/>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26"/>
        </w:tabs>
        <w:spacing w:after="0" w:line="360" w:lineRule="auto"/>
        <w:ind w:left="567" w:right="616"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0">
      <w:pPr>
        <w:spacing w:after="240" w:before="8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conocida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interpuso el medio de impugnación citado al rubro, manifestando como motivo de inconformidad, lo siguiente: </w:t>
      </w:r>
    </w:p>
    <w:p w:rsidR="00000000" w:rsidDel="00000000" w:rsidP="00000000" w:rsidRDefault="00000000" w:rsidRPr="00000000" w14:paraId="00000011">
      <w:pPr>
        <w:numPr>
          <w:ilvl w:val="0"/>
          <w:numId w:val="3"/>
        </w:numPr>
        <w:spacing w:after="0" w:line="259" w:lineRule="auto"/>
        <w:ind w:left="720" w:hanging="360"/>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Acto Impugnado: </w:t>
      </w:r>
      <w:r w:rsidDel="00000000" w:rsidR="00000000" w:rsidRPr="00000000">
        <w:rPr>
          <w:rFonts w:ascii="Palatino Linotype" w:cs="Palatino Linotype" w:eastAsia="Palatino Linotype" w:hAnsi="Palatino Linotype"/>
          <w:i w:val="1"/>
          <w:color w:val="000000"/>
          <w:rtl w:val="0"/>
        </w:rPr>
        <w:t xml:space="preserve">“LA RESPUESTA DEL SUJETO OBLIGADO” (Sic).</w:t>
      </w:r>
      <w:r w:rsidDel="00000000" w:rsidR="00000000" w:rsidRPr="00000000">
        <w:rPr>
          <w:rtl w:val="0"/>
        </w:rPr>
      </w:r>
    </w:p>
    <w:p w:rsidR="00000000" w:rsidDel="00000000" w:rsidP="00000000" w:rsidRDefault="00000000" w:rsidRPr="00000000" w14:paraId="00000012">
      <w:pPr>
        <w:spacing w:line="259" w:lineRule="auto"/>
        <w:ind w:left="720" w:firstLine="0"/>
        <w:jc w:val="both"/>
        <w:rPr>
          <w:rFonts w:ascii="Palatino Linotype" w:cs="Palatino Linotype" w:eastAsia="Palatino Linotype" w:hAnsi="Palatino Linotype"/>
          <w:b w:val="1"/>
          <w:sz w:val="26"/>
          <w:szCs w:val="26"/>
        </w:rPr>
      </w:pP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Palatino Linotype" w:cs="Palatino Linotype" w:eastAsia="Palatino Linotype" w:hAnsi="Palatino Linotype"/>
          <w:i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Razones o Motivos de Inconformidad</w:t>
      </w:r>
      <w:r w:rsidDel="00000000" w:rsidR="00000000" w:rsidRPr="00000000">
        <w:rPr>
          <w:rFonts w:ascii="Palatino Linotype" w:cs="Palatino Linotype" w:eastAsia="Palatino Linotype" w:hAnsi="Palatino Linotype"/>
          <w:color w:val="000000"/>
          <w:sz w:val="26"/>
          <w:szCs w:val="26"/>
          <w:rtl w:val="0"/>
        </w:rPr>
        <w:t xml:space="preserve">: </w:t>
      </w:r>
      <w:r w:rsidDel="00000000" w:rsidR="00000000" w:rsidRPr="00000000">
        <w:rPr>
          <w:rFonts w:ascii="Palatino Linotype" w:cs="Palatino Linotype" w:eastAsia="Palatino Linotype" w:hAnsi="Palatino Linotype"/>
          <w:i w:val="1"/>
          <w:color w:val="000000"/>
          <w:rtl w:val="0"/>
        </w:rPr>
        <w:t xml:space="preserve">“A FIN DE AGOTAR EL PRINCIPIO DE DEFINITIVIDAD, EXPRESO QUE, NO SE ADVIERTE QUE HAYA JERCIDO LA ACCION DE BISQUEDA EXAHUSTIVA EN TODA LA ESTRUCUTRA QUE LO CONFORMA.” (Sic)</w:t>
      </w:r>
      <w:r w:rsidDel="00000000" w:rsidR="00000000" w:rsidRPr="00000000">
        <w:rPr>
          <w:rtl w:val="0"/>
        </w:rPr>
      </w:r>
    </w:p>
    <w:p w:rsidR="00000000" w:rsidDel="00000000" w:rsidP="00000000" w:rsidRDefault="00000000" w:rsidRPr="00000000" w14:paraId="00000014">
      <w:pPr>
        <w:widowControl w:val="0"/>
        <w:tabs>
          <w:tab w:val="left" w:leader="none" w:pos="1701"/>
          <w:tab w:val="left" w:leader="none" w:pos="1843"/>
        </w:tabs>
        <w:spacing w:before="3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interpuesto el recurso de revisión, de las constancias que obran en el expediente en el SAIMEX, se advierte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rindió informe justificado de la siguiente manera:</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360" w:lineRule="auto"/>
        <w:ind w:left="720" w:right="-6" w:hanging="36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color w:val="000000"/>
          <w:sz w:val="24"/>
          <w:szCs w:val="24"/>
          <w:rtl w:val="0"/>
        </w:rPr>
        <w:t xml:space="preserve">0056 informe de justificación.PDF: </w:t>
      </w:r>
      <w:r w:rsidDel="00000000" w:rsidR="00000000" w:rsidRPr="00000000">
        <w:rPr>
          <w:rFonts w:ascii="Palatino Linotype" w:cs="Palatino Linotype" w:eastAsia="Palatino Linotype" w:hAnsi="Palatino Linotype"/>
          <w:color w:val="000000"/>
          <w:sz w:val="24"/>
          <w:szCs w:val="24"/>
          <w:rtl w:val="0"/>
        </w:rPr>
        <w:t xml:space="preserve">contante de nueve fojas, en formato PDF, contiene el oficio número UTG/00145/2023 de fecha 17 de mayo de 2023, signado por el Titular de la Unidad de Transparencia de la Gubernatura del Estado de México, mediante el cual informó, en lo medular, que no es competente para conocer de la información por no estar dentro de sus atribuciones</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ind w:left="720" w:right="-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7">
      <w:pPr>
        <w:spacing w:after="0" w:line="360" w:lineRule="auto"/>
        <w:ind w:right="-6"/>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las cosas, conforme al criterio mayoritario se consideró que los motivos de inconformidad aducidos por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eran fundados, y determinó REVOCAR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ordenando lo siguiente:</w:t>
      </w:r>
    </w:p>
    <w:p w:rsidR="00000000" w:rsidDel="00000000" w:rsidP="00000000" w:rsidRDefault="00000000" w:rsidRPr="00000000" w14:paraId="00000018">
      <w:pPr>
        <w:spacing w:after="0" w:line="360" w:lineRule="auto"/>
        <w:ind w:right="-6"/>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ind w:left="1077" w:firstLine="0"/>
        <w:jc w:val="both"/>
        <w:rPr>
          <w:rFonts w:ascii="Palatino Linotype" w:cs="Palatino Linotype" w:eastAsia="Palatino Linotype" w:hAnsi="Palatino Linotype"/>
          <w:i w:val="1"/>
        </w:rPr>
      </w:pPr>
      <w:bookmarkStart w:colFirst="0" w:colLast="0" w:name="_heading=h.1fob9te" w:id="1"/>
      <w:bookmarkEnd w:id="1"/>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SEGUNDO. Se ORDENA al SUJETO OBLIGADO que haga entrega al RECURRENTE, en términos del Considerando CUARTO de esta resolución, a través del Sistema de Acceso a la Información Mexiquense (SAIMEX), de lo siguiente: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ind w:left="107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w:t>
        <w:tab/>
        <w:t xml:space="preserve">Acuerdo mediante el cual el Comité de Transparencia declare la incompetencia para generar la información relativa al apoyo monetario a la servidora pública referida en la solicitud.”</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left="1077" w:firstLine="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360" w:lineRule="auto"/>
        <w:ind w:left="567" w:hanging="283"/>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Razones del Voto Disidente.</w:t>
      </w:r>
    </w:p>
    <w:p w:rsidR="00000000" w:rsidDel="00000000" w:rsidP="00000000" w:rsidRDefault="00000000" w:rsidRPr="00000000" w14:paraId="0000001D">
      <w:pPr>
        <w:spacing w:after="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términos generales es de señalar que no comparto el sentido de la resolución, específicamente, del acuerdo de incompetencia que se ordena, por los argumentos que se exponen a continuación:</w:t>
      </w:r>
    </w:p>
    <w:p w:rsidR="00000000" w:rsidDel="00000000" w:rsidP="00000000" w:rsidRDefault="00000000" w:rsidRPr="00000000" w14:paraId="0000001E">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F">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Ante ello, la ponencia resolutora determinó lo siguiente:</w:t>
      </w:r>
    </w:p>
    <w:p w:rsidR="00000000" w:rsidDel="00000000" w:rsidP="00000000" w:rsidRDefault="00000000" w:rsidRPr="00000000" w14:paraId="00000020">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1">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i w:val="1"/>
          <w:rtl w:val="0"/>
        </w:rPr>
        <w:t xml:space="preserve">Por otro lado, el Manual General de Organización de la Gubernatura establece las funciones de cada área del Sujeto Obligado, tal como se transcribe:</w:t>
      </w:r>
    </w:p>
    <w:p w:rsidR="00000000" w:rsidDel="00000000" w:rsidP="00000000" w:rsidRDefault="00000000" w:rsidRPr="00000000" w14:paraId="00000022">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SECRETARÍA PARTICULAR </w:t>
      </w:r>
    </w:p>
    <w:p w:rsidR="00000000" w:rsidDel="00000000" w:rsidP="00000000" w:rsidRDefault="00000000" w:rsidRPr="00000000" w14:paraId="00000023">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OBJETIVO: Contribuir al eficiente desarrollo de las funciones del titular del Ejecutivo Estatal, mediante la organización y coordinación de las actividades propias de su cargo, así como mantenerlo informado sobre los compromisos oficiales contraídos. </w:t>
      </w:r>
    </w:p>
    <w:p w:rsidR="00000000" w:rsidDel="00000000" w:rsidP="00000000" w:rsidRDefault="00000000" w:rsidRPr="00000000" w14:paraId="00000024">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FUNCIONES: </w:t>
      </w:r>
    </w:p>
    <w:p w:rsidR="00000000" w:rsidDel="00000000" w:rsidP="00000000" w:rsidRDefault="00000000" w:rsidRPr="00000000" w14:paraId="00000025">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Programar, previo acuerdo con el titular del Ejecutivo Estatal, lo referente a las solicitudes de audiencias, acuerdos, reuniones de trabajo, visitas, giras, entrevistas y demás eventos en los que el C. Gobernador deba participar, a fin de calendarizar y coordinar la realización de sus actividades. </w:t>
      </w:r>
    </w:p>
    <w:p w:rsidR="00000000" w:rsidDel="00000000" w:rsidP="00000000" w:rsidRDefault="00000000" w:rsidRPr="00000000" w14:paraId="00000026">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Atender las solicitudes de audiencia personales y por escrito, que los ciudadanos formulen al titular del Ejecutivo Estatal. </w:t>
      </w:r>
    </w:p>
    <w:p w:rsidR="00000000" w:rsidDel="00000000" w:rsidP="00000000" w:rsidRDefault="00000000" w:rsidRPr="00000000" w14:paraId="00000027">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Registrar en la agenda del titular del Ejecutivo Estatal, los compromisos derivados de sus funciones. </w:t>
      </w:r>
    </w:p>
    <w:p w:rsidR="00000000" w:rsidDel="00000000" w:rsidP="00000000" w:rsidRDefault="00000000" w:rsidRPr="00000000" w14:paraId="00000028">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Acordar periódicamente con el C. Gobernador, a fin de enterarlo de los asuntos que le sean planteados en forma verbal o por escrito. </w:t>
      </w:r>
    </w:p>
    <w:p w:rsidR="00000000" w:rsidDel="00000000" w:rsidP="00000000" w:rsidRDefault="00000000" w:rsidRPr="00000000" w14:paraId="00000029">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Preparar las reuniones de trabajo del C. Gobernador con el C. Presidente de la República y con funcionarios de las dependencias de las diferentes instancias de Gobierno, proporcionándole la información necesaria para apoyar la adecuada toma de decisiones. </w:t>
      </w:r>
    </w:p>
    <w:p w:rsidR="00000000" w:rsidDel="00000000" w:rsidP="00000000" w:rsidRDefault="00000000" w:rsidRPr="00000000" w14:paraId="0000002A">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Coordinar, dirigir y controlar las actividades de las diferentes unidades administrativas adscritas a la Secretaria Particular.</w:t>
      </w:r>
    </w:p>
    <w:p w:rsidR="00000000" w:rsidDel="00000000" w:rsidP="00000000" w:rsidRDefault="00000000" w:rsidRPr="00000000" w14:paraId="0000002B">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Coordinar los mecanismos de seguimiento a las instrucciones giradas por el C. Gobernador, tanto en las giras y eventos, como en la documentación que le sea presentada en audiencias y acuerdos. </w:t>
      </w:r>
    </w:p>
    <w:p w:rsidR="00000000" w:rsidDel="00000000" w:rsidP="00000000" w:rsidRDefault="00000000" w:rsidRPr="00000000" w14:paraId="0000002C">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Coordinar la elaboración de los programas de actividades y supervisar que todo evento en el que participe el C. Gobernador se realice conforme a lo previsto. </w:t>
      </w:r>
    </w:p>
    <w:p w:rsidR="00000000" w:rsidDel="00000000" w:rsidP="00000000" w:rsidRDefault="00000000" w:rsidRPr="00000000" w14:paraId="0000002D">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Supervisar, con base en el programa de giras del C. Gobernador, la oportuna atención de los requerimientos para cada una de ellas, y coordinarse con las áreas correspondientes. </w:t>
      </w:r>
    </w:p>
    <w:p w:rsidR="00000000" w:rsidDel="00000000" w:rsidP="00000000" w:rsidRDefault="00000000" w:rsidRPr="00000000" w14:paraId="0000002E">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Recibir y turnar las instrucciones del C. Gobernador a los titulares de las dependencias, realizando su seguimiento a fin de verificar su cumplimiento. </w:t>
      </w:r>
    </w:p>
    <w:p w:rsidR="00000000" w:rsidDel="00000000" w:rsidP="00000000" w:rsidRDefault="00000000" w:rsidRPr="00000000" w14:paraId="0000002F">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Establecer comunicación y coordinarse con los funcionarios designados por el C. Gobernador para que asistan en su representación a diversos actos y/o eventos. </w:t>
      </w:r>
    </w:p>
    <w:p w:rsidR="00000000" w:rsidDel="00000000" w:rsidP="00000000" w:rsidRDefault="00000000" w:rsidRPr="00000000" w14:paraId="00000030">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Apoyar con oportunidad, eficacia y eficiencia los asuntos que atienda directamente el titular del Ejecutivo Estatal, garantizando el cumplimiento de los acuerdos y decisiones que dicte en cada caso.</w:t>
      </w:r>
    </w:p>
    <w:p w:rsidR="00000000" w:rsidDel="00000000" w:rsidP="00000000" w:rsidRDefault="00000000" w:rsidRPr="00000000" w14:paraId="00000031">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 Establecer coordinación con autoridades federales, estatales y municipales, cuando las funciones propias del C. Gobernador así lo requieran. </w:t>
      </w:r>
    </w:p>
    <w:p w:rsidR="00000000" w:rsidDel="00000000" w:rsidP="00000000" w:rsidRDefault="00000000" w:rsidRPr="00000000" w14:paraId="00000032">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Controlar y tramitar la correspondencia dirigida al C. Gobernador, así como analizar la información y llevar el control de la gestión de los compromisos del mismo. </w:t>
      </w:r>
    </w:p>
    <w:p w:rsidR="00000000" w:rsidDel="00000000" w:rsidP="00000000" w:rsidRDefault="00000000" w:rsidRPr="00000000" w14:paraId="00000033">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Desarrollar las demás funciones inherentes al área de su competencia y las que le encomiende el C. Gobernador.</w:t>
      </w:r>
    </w:p>
    <w:p w:rsidR="00000000" w:rsidDel="00000000" w:rsidP="00000000" w:rsidRDefault="00000000" w:rsidRPr="00000000" w14:paraId="00000034">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SECRETARÍA PARTICULAR ADJUNTA </w:t>
      </w:r>
    </w:p>
    <w:p w:rsidR="00000000" w:rsidDel="00000000" w:rsidP="00000000" w:rsidRDefault="00000000" w:rsidRPr="00000000" w14:paraId="00000035">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OBJETIVO: Apoyar al Secretario Particular del C. Gobernador del Estado, en la atención y tramitación de los asuntos que le confiere. </w:t>
      </w:r>
    </w:p>
    <w:p w:rsidR="00000000" w:rsidDel="00000000" w:rsidP="00000000" w:rsidRDefault="00000000" w:rsidRPr="00000000" w14:paraId="00000036">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FUNCIONES: </w:t>
      </w:r>
    </w:p>
    <w:p w:rsidR="00000000" w:rsidDel="00000000" w:rsidP="00000000" w:rsidRDefault="00000000" w:rsidRPr="00000000" w14:paraId="00000037">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Coordinar y atender los asuntos, así como desempeñar las comisiones que el Secretario Particular del C. Gobernador le encomiende. </w:t>
      </w:r>
    </w:p>
    <w:p w:rsidR="00000000" w:rsidDel="00000000" w:rsidP="00000000" w:rsidRDefault="00000000" w:rsidRPr="00000000" w14:paraId="00000038">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Apoyar al Secretario Particular del C. Gobernador en la planeación, coordinación, organización y supervisión de los programas para la celebración de los actos públicos y privados, que preside el titular del Poder Ejecutivo. </w:t>
      </w:r>
    </w:p>
    <w:p w:rsidR="00000000" w:rsidDel="00000000" w:rsidP="00000000" w:rsidRDefault="00000000" w:rsidRPr="00000000" w14:paraId="00000039">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Coadyuvar en el desarrollo de las audiencias que le sean delegadas por el Secretario Particular. </w:t>
      </w:r>
    </w:p>
    <w:p w:rsidR="00000000" w:rsidDel="00000000" w:rsidP="00000000" w:rsidRDefault="00000000" w:rsidRPr="00000000" w14:paraId="0000003A">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Efectuar el seguimiento e informar al Secretario Particular del C. Gobernador, sobre el cumplimiento de los acuerdos y asuntos turnados a las diversas instancias gubernamentales, así como a los diferentes sectores de la sociedad. </w:t>
      </w:r>
    </w:p>
    <w:p w:rsidR="00000000" w:rsidDel="00000000" w:rsidP="00000000" w:rsidRDefault="00000000" w:rsidRPr="00000000" w14:paraId="0000003B">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Supervisar la adecuada y oportuna atención de demandas y solicitudes planteadas al C. Gobernador. </w:t>
      </w:r>
    </w:p>
    <w:p w:rsidR="00000000" w:rsidDel="00000000" w:rsidP="00000000" w:rsidRDefault="00000000" w:rsidRPr="00000000" w14:paraId="0000003C">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Supervisar que los apoyos que se requieran para el desarrollo de los actos, eventos y ceremonias en que participe el C. Gobernador, se proporcionen de manera eficiente oportuna y en los términos requeridos. </w:t>
      </w:r>
    </w:p>
    <w:p w:rsidR="00000000" w:rsidDel="00000000" w:rsidP="00000000" w:rsidRDefault="00000000" w:rsidRPr="00000000" w14:paraId="0000003D">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Vigilar la recepción, trámite y control de la correspondencia dirigida al titular del Ejecutivo Estatal. </w:t>
      </w:r>
    </w:p>
    <w:p w:rsidR="00000000" w:rsidDel="00000000" w:rsidP="00000000" w:rsidRDefault="00000000" w:rsidRPr="00000000" w14:paraId="0000003E">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Supervisar que las audiencias públicas se desarrollen conforme a las normas y lineamientos que determine el titular del Ejecutivo Estatal, garantizando óptimos resultados. </w:t>
      </w:r>
    </w:p>
    <w:p w:rsidR="00000000" w:rsidDel="00000000" w:rsidP="00000000" w:rsidRDefault="00000000" w:rsidRPr="00000000" w14:paraId="0000003F">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Suplir al Secretario Particular del C. Gobernador en sus ausencias para la atención del despacho de los asuntos a su cargo. </w:t>
      </w:r>
    </w:p>
    <w:p w:rsidR="00000000" w:rsidDel="00000000" w:rsidP="00000000" w:rsidRDefault="00000000" w:rsidRPr="00000000" w14:paraId="00000040">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Desarrollar las demás funciones inherentes al área de su competencia y las que le encomiende el Secretario Particular del C. Gobernador.</w:t>
      </w:r>
    </w:p>
    <w:p w:rsidR="00000000" w:rsidDel="00000000" w:rsidP="00000000" w:rsidRDefault="00000000" w:rsidRPr="00000000" w14:paraId="00000041">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SECRETARÍA PRIVADA </w:t>
      </w:r>
    </w:p>
    <w:p w:rsidR="00000000" w:rsidDel="00000000" w:rsidP="00000000" w:rsidRDefault="00000000" w:rsidRPr="00000000" w14:paraId="00000042">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OBJETIVO: Brindar atención directa al C. Gobernador en las actividades de carácter privado, supervisando su desarrollo y realizando su seguimiento.</w:t>
      </w:r>
    </w:p>
    <w:p w:rsidR="00000000" w:rsidDel="00000000" w:rsidP="00000000" w:rsidRDefault="00000000" w:rsidRPr="00000000" w14:paraId="00000043">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FUNCIONES: </w:t>
      </w:r>
    </w:p>
    <w:p w:rsidR="00000000" w:rsidDel="00000000" w:rsidP="00000000" w:rsidRDefault="00000000" w:rsidRPr="00000000" w14:paraId="00000044">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Atender los asuntos privados que le encomiende el C. Gobernador. </w:t>
      </w:r>
    </w:p>
    <w:p w:rsidR="00000000" w:rsidDel="00000000" w:rsidP="00000000" w:rsidRDefault="00000000" w:rsidRPr="00000000" w14:paraId="00000045">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Procurar atención a las personas que asisten a audiencia con el titular del Ejecutivo Estatal. </w:t>
      </w:r>
    </w:p>
    <w:p w:rsidR="00000000" w:rsidDel="00000000" w:rsidP="00000000" w:rsidRDefault="00000000" w:rsidRPr="00000000" w14:paraId="00000046">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Supervisar que las actividades oficiales que presida el C. Gobernador, se realicen conforme al protocolo que para el efecto corresponda. </w:t>
      </w:r>
    </w:p>
    <w:p w:rsidR="00000000" w:rsidDel="00000000" w:rsidP="00000000" w:rsidRDefault="00000000" w:rsidRPr="00000000" w14:paraId="00000047">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Asistir al C. Gobernador en las reuniones de trabajo que se realicen en recintos oficiales. </w:t>
      </w:r>
    </w:p>
    <w:p w:rsidR="00000000" w:rsidDel="00000000" w:rsidP="00000000" w:rsidRDefault="00000000" w:rsidRPr="00000000" w14:paraId="00000048">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Supervisar el estado que guardan las oficinas del C. Gobernador y gestionar ante las instancias correspondientes la dotación de los suministros y servicios que requieran. </w:t>
      </w:r>
    </w:p>
    <w:p w:rsidR="00000000" w:rsidDel="00000000" w:rsidP="00000000" w:rsidRDefault="00000000" w:rsidRPr="00000000" w14:paraId="00000049">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Coordinar las actividades que se realizan en la oficina de Casa Estado de México, confirmando que la dotación de los recursos humanos y materiales, sea la óptima para el desarrollo de las mismas. </w:t>
      </w:r>
    </w:p>
    <w:p w:rsidR="00000000" w:rsidDel="00000000" w:rsidP="00000000" w:rsidRDefault="00000000" w:rsidRPr="00000000" w14:paraId="0000004A">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Formular oportunamente las misivas de respuesta a las atenciones recibidas por el C. Gobernador y los integrantes de su familia. </w:t>
      </w:r>
    </w:p>
    <w:p w:rsidR="00000000" w:rsidDel="00000000" w:rsidP="00000000" w:rsidRDefault="00000000" w:rsidRPr="00000000" w14:paraId="0000004B">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Mantener el registro y control sobre la correspondencia privada del C. Gobernador y, en su caso, canalizarla a las instancias correspondientes para su atención. </w:t>
      </w:r>
    </w:p>
    <w:p w:rsidR="00000000" w:rsidDel="00000000" w:rsidP="00000000" w:rsidRDefault="00000000" w:rsidRPr="00000000" w14:paraId="0000004C">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Actualizar los directorios de consulta permanente del titular del Ejecutivo Estatal. </w:t>
      </w:r>
    </w:p>
    <w:p w:rsidR="00000000" w:rsidDel="00000000" w:rsidP="00000000" w:rsidRDefault="00000000" w:rsidRPr="00000000" w14:paraId="0000004D">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Coordinar el protocolo de compromisos con carácter institucional y personales del C. Gobernador en los recintos oficiales. </w:t>
      </w:r>
    </w:p>
    <w:p w:rsidR="00000000" w:rsidDel="00000000" w:rsidP="00000000" w:rsidRDefault="00000000" w:rsidRPr="00000000" w14:paraId="0000004E">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Atender las instrucciones y responsabilidades que le encomiende el titular del Ejecutivo Estatal. </w:t>
      </w:r>
    </w:p>
    <w:p w:rsidR="00000000" w:rsidDel="00000000" w:rsidP="00000000" w:rsidRDefault="00000000" w:rsidRPr="00000000" w14:paraId="0000004F">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Desarrollar las demás funciones inherentes al área de su competencia.</w:t>
      </w:r>
    </w:p>
    <w:p w:rsidR="00000000" w:rsidDel="00000000" w:rsidP="00000000" w:rsidRDefault="00000000" w:rsidRPr="00000000" w14:paraId="00000050">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SECRETARÍA AUXILIAR </w:t>
      </w:r>
    </w:p>
    <w:p w:rsidR="00000000" w:rsidDel="00000000" w:rsidP="00000000" w:rsidRDefault="00000000" w:rsidRPr="00000000" w14:paraId="00000051">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OBJETIVO: Coadyuvar en las actividades que realiza el C. Gobernador en giras, eventos, reuniones u otras, mediante el otorgamiento oportuno de apoyos informativos, de comunicación y de atención directa, así como instruir el seguimiento de los asuntos que le sean turnados por el titular del Ejecutivo. </w:t>
      </w:r>
    </w:p>
    <w:p w:rsidR="00000000" w:rsidDel="00000000" w:rsidP="00000000" w:rsidRDefault="00000000" w:rsidRPr="00000000" w14:paraId="00000052">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FUNCIONES: </w:t>
      </w:r>
    </w:p>
    <w:p w:rsidR="00000000" w:rsidDel="00000000" w:rsidP="00000000" w:rsidRDefault="00000000" w:rsidRPr="00000000" w14:paraId="00000053">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Asistir al C. Gobernador en sus giras, reuniones y demás eventos en los que participe. </w:t>
      </w:r>
    </w:p>
    <w:p w:rsidR="00000000" w:rsidDel="00000000" w:rsidP="00000000" w:rsidRDefault="00000000" w:rsidRPr="00000000" w14:paraId="00000054">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Integrar la información y documentos que requiera el C. Gobernador en las actividades que realiza. </w:t>
      </w:r>
    </w:p>
    <w:p w:rsidR="00000000" w:rsidDel="00000000" w:rsidP="00000000" w:rsidRDefault="00000000" w:rsidRPr="00000000" w14:paraId="00000055">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Atender y canalizar a las instancias correspondientes, a las personas que instruya el C. Gobernador. </w:t>
      </w:r>
    </w:p>
    <w:p w:rsidR="00000000" w:rsidDel="00000000" w:rsidP="00000000" w:rsidRDefault="00000000" w:rsidRPr="00000000" w14:paraId="00000056">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Tramitar los asuntos que el C. Gobernador le encomiende y realizar el seguimiento en su atención. </w:t>
      </w:r>
    </w:p>
    <w:p w:rsidR="00000000" w:rsidDel="00000000" w:rsidP="00000000" w:rsidRDefault="00000000" w:rsidRPr="00000000" w14:paraId="00000057">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Revisar, analizar y resumir la información emitida en los medios de comunicación y órganos institucionales del Gobierno Estatal y Federal, para hacerla del conocimiento del titular del Ejecutivo y de la Secretaría Particular. </w:t>
      </w:r>
    </w:p>
    <w:p w:rsidR="00000000" w:rsidDel="00000000" w:rsidP="00000000" w:rsidRDefault="00000000" w:rsidRPr="00000000" w14:paraId="00000058">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Mantener comunicación permanente con las áreas competentes para coordinarse en el desarrollo de giras de trabajo y eventos, puntualizando la forma y los tiempos de éstas, y las necesidades de información o de apoyos materiales que se requieran. </w:t>
      </w:r>
    </w:p>
    <w:p w:rsidR="00000000" w:rsidDel="00000000" w:rsidP="00000000" w:rsidRDefault="00000000" w:rsidRPr="00000000" w14:paraId="00000059">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Remitir a las instancias correspondientes las solicitudes y demandas de la población, recibidas por el C. Gobernador en los actos en que participa. </w:t>
      </w:r>
    </w:p>
    <w:p w:rsidR="00000000" w:rsidDel="00000000" w:rsidP="00000000" w:rsidRDefault="00000000" w:rsidRPr="00000000" w14:paraId="0000005A">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tab/>
        <w:t xml:space="preserve">Desarrollar las demás funciones inherentes al área de su competencia y las que determine el titular del Ejecutivo y el Secretario Particular del C. Gobernador.</w:t>
      </w:r>
    </w:p>
    <w:p w:rsidR="00000000" w:rsidDel="00000000" w:rsidP="00000000" w:rsidRDefault="00000000" w:rsidRPr="00000000" w14:paraId="0000005B">
      <w:pPr>
        <w:spacing w:line="360" w:lineRule="auto"/>
        <w:ind w:left="567" w:right="61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C">
      <w:pPr>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lo anterior, se advierte que las áreas con las que cuenta el Sujeto Obligado tienen como objetivo principal apoyar, coordinar, desarrollar, efectuar, supervisar, vigilar y brindar atención al Gobernador en sus actividades públicas y privadas.</w:t>
      </w:r>
    </w:p>
    <w:p w:rsidR="00000000" w:rsidDel="00000000" w:rsidP="00000000" w:rsidRDefault="00000000" w:rsidRPr="00000000" w14:paraId="0000005D">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E">
      <w:pPr>
        <w:spacing w:after="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Respecto a la Declaración de Incompetencia la Ley de Transparencia y Acceso a la Información Pública del Estado de México, establece, en los artículos 49, fracción II y 167, lo siguiente: </w:t>
      </w:r>
    </w:p>
    <w:p w:rsidR="00000000" w:rsidDel="00000000" w:rsidP="00000000" w:rsidRDefault="00000000" w:rsidRPr="00000000" w14:paraId="0000005F">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0">
      <w:pPr>
        <w:tabs>
          <w:tab w:val="left" w:leader="none" w:pos="851"/>
        </w:tabs>
        <w:spacing w:after="0" w:line="36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Fonts w:ascii="Palatino Linotype" w:cs="Palatino Linotype" w:eastAsia="Palatino Linotype" w:hAnsi="Palatino Linotype"/>
          <w:b w:val="1"/>
          <w:i w:val="1"/>
          <w:sz w:val="20"/>
          <w:szCs w:val="20"/>
          <w:rtl w:val="0"/>
        </w:rPr>
        <w:t xml:space="preserve">Artículo 49.</w:t>
      </w:r>
      <w:r w:rsidDel="00000000" w:rsidR="00000000" w:rsidRPr="00000000">
        <w:rPr>
          <w:rFonts w:ascii="Palatino Linotype" w:cs="Palatino Linotype" w:eastAsia="Palatino Linotype" w:hAnsi="Palatino Linotype"/>
          <w:i w:val="1"/>
          <w:sz w:val="20"/>
          <w:szCs w:val="20"/>
          <w:rtl w:val="0"/>
        </w:rPr>
        <w:t xml:space="preserve"> </w:t>
      </w:r>
      <w:r w:rsidDel="00000000" w:rsidR="00000000" w:rsidRPr="00000000">
        <w:rPr>
          <w:rFonts w:ascii="Palatino Linotype" w:cs="Palatino Linotype" w:eastAsia="Palatino Linotype" w:hAnsi="Palatino Linotype"/>
          <w:b w:val="1"/>
          <w:i w:val="1"/>
          <w:sz w:val="20"/>
          <w:szCs w:val="20"/>
          <w:rtl w:val="0"/>
        </w:rPr>
        <w:t xml:space="preserve">Los Comités de Transparencia</w:t>
      </w:r>
      <w:r w:rsidDel="00000000" w:rsidR="00000000" w:rsidRPr="00000000">
        <w:rPr>
          <w:rFonts w:ascii="Palatino Linotype" w:cs="Palatino Linotype" w:eastAsia="Palatino Linotype" w:hAnsi="Palatino Linotype"/>
          <w:i w:val="1"/>
          <w:sz w:val="20"/>
          <w:szCs w:val="20"/>
          <w:rtl w:val="0"/>
        </w:rPr>
        <w:t xml:space="preserve"> tendrán las siguientes atribuciones:</w:t>
      </w:r>
    </w:p>
    <w:p w:rsidR="00000000" w:rsidDel="00000000" w:rsidP="00000000" w:rsidRDefault="00000000" w:rsidRPr="00000000" w14:paraId="00000061">
      <w:pPr>
        <w:tabs>
          <w:tab w:val="left" w:leader="none" w:pos="851"/>
        </w:tabs>
        <w:spacing w:after="0" w:line="36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w:t>
      </w:r>
    </w:p>
    <w:p w:rsidR="00000000" w:rsidDel="00000000" w:rsidP="00000000" w:rsidRDefault="00000000" w:rsidRPr="00000000" w14:paraId="00000062">
      <w:pPr>
        <w:tabs>
          <w:tab w:val="left" w:leader="none" w:pos="851"/>
        </w:tabs>
        <w:spacing w:after="120" w:line="240" w:lineRule="auto"/>
        <w:ind w:left="851" w:right="902" w:firstLine="0"/>
        <w:jc w:val="both"/>
        <w:rPr>
          <w:rFonts w:ascii="Palatino Linotype" w:cs="Palatino Linotype" w:eastAsia="Palatino Linotype" w:hAnsi="Palatino Linotype"/>
          <w:b w:val="1"/>
          <w:i w:val="1"/>
          <w:sz w:val="20"/>
          <w:szCs w:val="20"/>
          <w:u w:val="single"/>
        </w:rPr>
      </w:pPr>
      <w:r w:rsidDel="00000000" w:rsidR="00000000" w:rsidRPr="00000000">
        <w:rPr>
          <w:rFonts w:ascii="Palatino Linotype" w:cs="Palatino Linotype" w:eastAsia="Palatino Linotype" w:hAnsi="Palatino Linotype"/>
          <w:b w:val="1"/>
          <w:i w:val="1"/>
          <w:sz w:val="20"/>
          <w:szCs w:val="20"/>
          <w:rtl w:val="0"/>
        </w:rPr>
        <w:t xml:space="preserve">II.</w:t>
      </w: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Fonts w:ascii="Palatino Linotype" w:cs="Palatino Linotype" w:eastAsia="Palatino Linotype" w:hAnsi="Palatino Linotype"/>
          <w:b w:val="1"/>
          <w:i w:val="1"/>
          <w:sz w:val="20"/>
          <w:szCs w:val="20"/>
          <w:rtl w:val="0"/>
        </w:rPr>
        <w:t xml:space="preserve">Confirmar, modificar o revocar</w:t>
      </w:r>
      <w:r w:rsidDel="00000000" w:rsidR="00000000" w:rsidRPr="00000000">
        <w:rPr>
          <w:rFonts w:ascii="Palatino Linotype" w:cs="Palatino Linotype" w:eastAsia="Palatino Linotype" w:hAnsi="Palatino Linotype"/>
          <w:i w:val="1"/>
          <w:sz w:val="20"/>
          <w:szCs w:val="20"/>
          <w:rtl w:val="0"/>
        </w:rPr>
        <w:t xml:space="preserve"> las determinaciones que en materia de ampliación del plazo de respuesta, clasificación de la información </w:t>
      </w:r>
      <w:r w:rsidDel="00000000" w:rsidR="00000000" w:rsidRPr="00000000">
        <w:rPr>
          <w:rFonts w:ascii="Palatino Linotype" w:cs="Palatino Linotype" w:eastAsia="Palatino Linotype" w:hAnsi="Palatino Linotype"/>
          <w:b w:val="1"/>
          <w:i w:val="1"/>
          <w:sz w:val="20"/>
          <w:szCs w:val="20"/>
          <w:rtl w:val="0"/>
        </w:rPr>
        <w:t xml:space="preserve">y declaración</w:t>
      </w:r>
      <w:r w:rsidDel="00000000" w:rsidR="00000000" w:rsidRPr="00000000">
        <w:rPr>
          <w:rFonts w:ascii="Palatino Linotype" w:cs="Palatino Linotype" w:eastAsia="Palatino Linotype" w:hAnsi="Palatino Linotype"/>
          <w:i w:val="1"/>
          <w:sz w:val="20"/>
          <w:szCs w:val="20"/>
          <w:rtl w:val="0"/>
        </w:rPr>
        <w:t xml:space="preserve"> de inexistencia o </w:t>
      </w:r>
      <w:r w:rsidDel="00000000" w:rsidR="00000000" w:rsidRPr="00000000">
        <w:rPr>
          <w:rFonts w:ascii="Palatino Linotype" w:cs="Palatino Linotype" w:eastAsia="Palatino Linotype" w:hAnsi="Palatino Linotype"/>
          <w:b w:val="1"/>
          <w:i w:val="1"/>
          <w:sz w:val="20"/>
          <w:szCs w:val="20"/>
          <w:rtl w:val="0"/>
        </w:rPr>
        <w:t xml:space="preserve">de incompetencia realicen los titulares de las áreas de los sujetos obligados;</w:t>
      </w:r>
      <w:r w:rsidDel="00000000" w:rsidR="00000000" w:rsidRPr="00000000">
        <w:rPr>
          <w:rtl w:val="0"/>
        </w:rPr>
      </w:r>
    </w:p>
    <w:p w:rsidR="00000000" w:rsidDel="00000000" w:rsidP="00000000" w:rsidRDefault="00000000" w:rsidRPr="00000000" w14:paraId="00000063">
      <w:pPr>
        <w:tabs>
          <w:tab w:val="left" w:leader="none" w:pos="851"/>
        </w:tabs>
        <w:spacing w:after="120" w:before="120" w:line="24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w:t>
      </w:r>
    </w:p>
    <w:p w:rsidR="00000000" w:rsidDel="00000000" w:rsidP="00000000" w:rsidRDefault="00000000" w:rsidRPr="00000000" w14:paraId="00000064">
      <w:pPr>
        <w:tabs>
          <w:tab w:val="left" w:leader="none" w:pos="851"/>
        </w:tabs>
        <w:spacing w:after="120" w:before="120" w:line="24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167</w:t>
      </w:r>
      <w:r w:rsidDel="00000000" w:rsidR="00000000" w:rsidRPr="00000000">
        <w:rPr>
          <w:rFonts w:ascii="Palatino Linotype" w:cs="Palatino Linotype" w:eastAsia="Palatino Linotype" w:hAnsi="Palatino Linotype"/>
          <w:i w:val="1"/>
          <w:sz w:val="20"/>
          <w:szCs w:val="20"/>
          <w:rtl w:val="0"/>
        </w:rPr>
        <w:t xml:space="preserve">. </w:t>
      </w:r>
      <w:r w:rsidDel="00000000" w:rsidR="00000000" w:rsidRPr="00000000">
        <w:rPr>
          <w:rFonts w:ascii="Palatino Linotype" w:cs="Palatino Linotype" w:eastAsia="Palatino Linotype" w:hAnsi="Palatino Linotype"/>
          <w:b w:val="1"/>
          <w:i w:val="1"/>
          <w:sz w:val="20"/>
          <w:szCs w:val="20"/>
          <w:rtl w:val="0"/>
        </w:rPr>
        <w:t xml:space="preserve">Cuando las unidades de transparencia determinen la notoria incompetencia</w:t>
      </w:r>
      <w:r w:rsidDel="00000000" w:rsidR="00000000" w:rsidRPr="00000000">
        <w:rPr>
          <w:rFonts w:ascii="Palatino Linotype" w:cs="Palatino Linotype" w:eastAsia="Palatino Linotype" w:hAnsi="Palatino Linotype"/>
          <w:i w:val="1"/>
          <w:sz w:val="20"/>
          <w:szCs w:val="20"/>
          <w:rtl w:val="0"/>
        </w:rPr>
        <w:t xml:space="preserve"> por parte de los sujetos obligados, dentro del ámbito de aplicación, para atender la solicitud de acceso a la información, </w:t>
      </w:r>
      <w:r w:rsidDel="00000000" w:rsidR="00000000" w:rsidRPr="00000000">
        <w:rPr>
          <w:rFonts w:ascii="Palatino Linotype" w:cs="Palatino Linotype" w:eastAsia="Palatino Linotype" w:hAnsi="Palatino Linotype"/>
          <w:b w:val="1"/>
          <w:i w:val="1"/>
          <w:sz w:val="20"/>
          <w:szCs w:val="20"/>
          <w:rtl w:val="0"/>
        </w:rPr>
        <w:t xml:space="preserve">deberán comunicarlo al solicitante, dentro de los tres días hábiles posteriores a la recepción de la solicitud</w:t>
      </w:r>
      <w:r w:rsidDel="00000000" w:rsidR="00000000" w:rsidRPr="00000000">
        <w:rPr>
          <w:rFonts w:ascii="Palatino Linotype" w:cs="Palatino Linotype" w:eastAsia="Palatino Linotype" w:hAnsi="Palatino Linotype"/>
          <w:i w:val="1"/>
          <w:sz w:val="20"/>
          <w:szCs w:val="20"/>
          <w:rtl w:val="0"/>
        </w:rPr>
        <w:t xml:space="preserve"> y, </w:t>
      </w:r>
      <w:r w:rsidDel="00000000" w:rsidR="00000000" w:rsidRPr="00000000">
        <w:rPr>
          <w:rFonts w:ascii="Palatino Linotype" w:cs="Palatino Linotype" w:eastAsia="Palatino Linotype" w:hAnsi="Palatino Linotype"/>
          <w:b w:val="1"/>
          <w:i w:val="1"/>
          <w:sz w:val="20"/>
          <w:szCs w:val="20"/>
          <w:rtl w:val="0"/>
        </w:rPr>
        <w:t xml:space="preserve">en su caso orientar al solicitante, el o los sujetos obligados competentes.” (Sic)</w:t>
      </w:r>
    </w:p>
    <w:p w:rsidR="00000000" w:rsidDel="00000000" w:rsidP="00000000" w:rsidRDefault="00000000" w:rsidRPr="00000000" w14:paraId="00000065">
      <w:pPr>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6">
      <w:pPr>
        <w:tabs>
          <w:tab w:val="left" w:leader="none" w:pos="142"/>
          <w:tab w:val="left" w:leader="none" w:pos="284"/>
        </w:tabs>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De los preceptos citados se desprende que es atribución del Comité de Transparencia confirmar, modificar o revocar, en su caso, la declaración de incompetencia,</w:t>
      </w:r>
      <w:r w:rsidDel="00000000" w:rsidR="00000000" w:rsidRPr="00000000">
        <w:rPr>
          <w:rFonts w:ascii="Palatino Linotype" w:cs="Palatino Linotype" w:eastAsia="Palatino Linotype" w:hAnsi="Palatino Linotype"/>
          <w:b w:val="1"/>
          <w:sz w:val="24"/>
          <w:szCs w:val="24"/>
          <w:rtl w:val="0"/>
        </w:rPr>
        <w:t xml:space="preserve"> en aquellos casos en los que no se trate de una notoria incompetencia. </w:t>
      </w:r>
    </w:p>
    <w:p w:rsidR="00000000" w:rsidDel="00000000" w:rsidP="00000000" w:rsidRDefault="00000000" w:rsidRPr="00000000" w14:paraId="00000067">
      <w:pPr>
        <w:tabs>
          <w:tab w:val="left" w:leader="none" w:pos="142"/>
          <w:tab w:val="left" w:leader="none" w:pos="284"/>
        </w:tabs>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68">
      <w:pPr>
        <w:tabs>
          <w:tab w:val="left" w:leader="none" w:pos="142"/>
          <w:tab w:val="left" w:leader="none" w:pos="284"/>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 sujeto obligado para dar atención a la solicitud de información siga siendo notoria. </w:t>
      </w:r>
    </w:p>
    <w:p w:rsidR="00000000" w:rsidDel="00000000" w:rsidP="00000000" w:rsidRDefault="00000000" w:rsidRPr="00000000" w14:paraId="00000069">
      <w:pPr>
        <w:tabs>
          <w:tab w:val="left" w:leader="none" w:pos="142"/>
          <w:tab w:val="left" w:leader="none" w:pos="284"/>
        </w:tabs>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A">
      <w:pPr>
        <w:tabs>
          <w:tab w:val="left" w:leader="none" w:pos="142"/>
          <w:tab w:val="left" w:leader="none" w:pos="284"/>
        </w:tabs>
        <w:spacing w:after="0" w:line="360" w:lineRule="auto"/>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rtl w:val="0"/>
        </w:rPr>
        <w:t xml:space="preserve">En otras palabras, la Ley de la Materia confiere a las Unidades de Transparencia la posibilidad de notificar la incompetencia cuando ésta sea notoria, siendo innecesario que dicha circunstancia sea sometida a consideración de los integrantes del Comité de Transparencia </w:t>
      </w:r>
      <w:r w:rsidDel="00000000" w:rsidR="00000000" w:rsidRPr="00000000">
        <w:rPr>
          <w:rFonts w:ascii="Palatino Linotype" w:cs="Palatino Linotype" w:eastAsia="Palatino Linotype" w:hAnsi="Palatino Linotype"/>
          <w:sz w:val="24"/>
          <w:szCs w:val="24"/>
          <w:u w:val="single"/>
          <w:rtl w:val="0"/>
        </w:rPr>
        <w:t xml:space="preserve">para su aprobación. </w:t>
      </w:r>
    </w:p>
    <w:p w:rsidR="00000000" w:rsidDel="00000000" w:rsidP="00000000" w:rsidRDefault="00000000" w:rsidRPr="00000000" w14:paraId="0000006B">
      <w:pPr>
        <w:tabs>
          <w:tab w:val="left" w:leader="none" w:pos="142"/>
          <w:tab w:val="left" w:leader="none" w:pos="284"/>
        </w:tabs>
        <w:spacing w:after="0" w:line="360" w:lineRule="auto"/>
        <w:jc w:val="both"/>
        <w:rPr>
          <w:rFonts w:ascii="Palatino Linotype" w:cs="Palatino Linotype" w:eastAsia="Palatino Linotype" w:hAnsi="Palatino Linotype"/>
          <w:sz w:val="24"/>
          <w:szCs w:val="24"/>
          <w:u w:val="single"/>
        </w:rPr>
      </w:pPr>
      <w:r w:rsidDel="00000000" w:rsidR="00000000" w:rsidRPr="00000000">
        <w:rPr>
          <w:rtl w:val="0"/>
        </w:rPr>
      </w:r>
    </w:p>
    <w:p w:rsidR="00000000" w:rsidDel="00000000" w:rsidP="00000000" w:rsidRDefault="00000000" w:rsidRPr="00000000" w14:paraId="0000006C">
      <w:pPr>
        <w:spacing w:after="0" w:line="360" w:lineRule="auto"/>
        <w:ind w:right="18"/>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sustento de lo anterior, resulta aplicable el Criterio 20/20, emitido por el Instituto Nacional de Transparencia, Acceso a la Información, y Protección de Datos Personales, INAI, que lleva por rubro y texto los siguientes:  </w:t>
      </w:r>
    </w:p>
    <w:p w:rsidR="00000000" w:rsidDel="00000000" w:rsidP="00000000" w:rsidRDefault="00000000" w:rsidRPr="00000000" w14:paraId="0000006D">
      <w:pPr>
        <w:spacing w:after="0" w:line="360" w:lineRule="auto"/>
        <w:ind w:right="18"/>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76" w:lineRule="auto"/>
        <w:ind w:left="851" w:right="90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color w:val="000000"/>
          <w:rtl w:val="0"/>
        </w:rPr>
        <w:t xml:space="preserve">“Declaración de incompetencia por parte del Comité, cuando no sea notoria o manifiesta.</w:t>
      </w:r>
      <w:r w:rsidDel="00000000" w:rsidR="00000000" w:rsidRPr="00000000">
        <w:rPr>
          <w:rFonts w:ascii="Palatino Linotype" w:cs="Palatino Linotype" w:eastAsia="Palatino Linotype" w:hAnsi="Palatino Linotype"/>
          <w:i w:val="1"/>
          <w:color w:val="000000"/>
          <w:rtl w:val="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Transparencia.”(Sic)</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360" w:lineRule="auto"/>
        <w:ind w:left="851" w:right="900" w:firstLine="0"/>
        <w:jc w:val="both"/>
        <w:rPr>
          <w:rFonts w:ascii="Palatino Linotype" w:cs="Palatino Linotype" w:eastAsia="Palatino Linotype" w:hAnsi="Palatino Linotype"/>
          <w:i w:val="1"/>
          <w:color w:val="000000"/>
          <w:sz w:val="20"/>
          <w:szCs w:val="20"/>
        </w:rPr>
      </w:pPr>
      <w:r w:rsidDel="00000000" w:rsidR="00000000" w:rsidRPr="00000000">
        <w:rPr>
          <w:rtl w:val="0"/>
        </w:rPr>
      </w:r>
    </w:p>
    <w:p w:rsidR="00000000" w:rsidDel="00000000" w:rsidP="00000000" w:rsidRDefault="00000000" w:rsidRPr="00000000" w14:paraId="00000070">
      <w:pPr>
        <w:tabs>
          <w:tab w:val="left" w:leader="none" w:pos="142"/>
          <w:tab w:val="left" w:leader="none" w:pos="284"/>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duda razonable sobre la administración del documento materia de la solicitud de información</w:t>
      </w:r>
      <w:r w:rsidDel="00000000" w:rsidR="00000000" w:rsidRPr="00000000">
        <w:rPr>
          <w:rFonts w:ascii="Palatino Linotype" w:cs="Palatino Linotype" w:eastAsia="Palatino Linotype" w:hAnsi="Palatino Linotype"/>
          <w:sz w:val="24"/>
          <w:szCs w:val="24"/>
          <w:rtl w:val="0"/>
        </w:rPr>
        <w:t xml:space="preserve">, como se lee enseguida:</w:t>
      </w:r>
    </w:p>
    <w:p w:rsidR="00000000" w:rsidDel="00000000" w:rsidP="00000000" w:rsidRDefault="00000000" w:rsidRPr="00000000" w14:paraId="00000071">
      <w:pPr>
        <w:tabs>
          <w:tab w:val="left" w:leader="none" w:pos="142"/>
          <w:tab w:val="left" w:leader="none" w:pos="284"/>
        </w:tabs>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2">
      <w:pPr>
        <w:spacing w:after="0" w:line="276"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“DECLARATORIA DE INCOMPETENCIA DEL SUJETO OBLIGADO. SUPUESTO PARA CONFIRMARLA POR ACUERDO DEL COMITÉ DE TRANSPARENCIA. </w:t>
      </w:r>
      <w:r w:rsidDel="00000000" w:rsidR="00000000" w:rsidRPr="00000000">
        <w:rPr>
          <w:rFonts w:ascii="Palatino Linotype" w:cs="Palatino Linotype" w:eastAsia="Palatino Linotype" w:hAnsi="Palatino Linotype"/>
          <w:i w:val="1"/>
          <w:rtl w:val="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Del="00000000" w:rsidR="00000000" w:rsidRPr="00000000">
        <w:rPr>
          <w:rFonts w:ascii="Palatino Linotype" w:cs="Palatino Linotype" w:eastAsia="Palatino Linotype" w:hAnsi="Palatino Linotype"/>
          <w:b w:val="1"/>
          <w:i w:val="1"/>
          <w:rtl w:val="0"/>
        </w:rPr>
        <w:t xml:space="preserve">al ejercer el derecho de acceso a la información pública cabe la posibilidad de que existan atribuciones concurrentes entre dos o más Sujetos Obligados que </w:t>
      </w:r>
      <w:r w:rsidDel="00000000" w:rsidR="00000000" w:rsidRPr="00000000">
        <w:rPr>
          <w:rFonts w:ascii="Palatino Linotype" w:cs="Palatino Linotype" w:eastAsia="Palatino Linotype" w:hAnsi="Palatino Linotype"/>
          <w:b w:val="1"/>
          <w:i w:val="1"/>
          <w:u w:val="single"/>
          <w:rtl w:val="0"/>
        </w:rPr>
        <w:t xml:space="preserve">impiden determinar dentro del término legal de tres días hábiles</w:t>
      </w:r>
      <w:r w:rsidDel="00000000" w:rsidR="00000000" w:rsidRPr="00000000">
        <w:rPr>
          <w:rFonts w:ascii="Palatino Linotype" w:cs="Palatino Linotype" w:eastAsia="Palatino Linotype" w:hAnsi="Palatino Linotype"/>
          <w:b w:val="1"/>
          <w:i w:val="1"/>
          <w:rtl w:val="0"/>
        </w:rPr>
        <w:t xml:space="preserve">, si se posee o no la información por el Sujeto Obligado requerid</w:t>
      </w:r>
      <w:r w:rsidDel="00000000" w:rsidR="00000000" w:rsidRPr="00000000">
        <w:rPr>
          <w:rFonts w:ascii="Palatino Linotype" w:cs="Palatino Linotype" w:eastAsia="Palatino Linotype" w:hAnsi="Palatino Linotype"/>
          <w:i w:val="1"/>
          <w:rtl w:val="0"/>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solicitud.”(Sic)</w:t>
      </w:r>
    </w:p>
    <w:p w:rsidR="00000000" w:rsidDel="00000000" w:rsidP="00000000" w:rsidRDefault="00000000" w:rsidRPr="00000000" w14:paraId="00000073">
      <w:pPr>
        <w:spacing w:after="0" w:line="276" w:lineRule="auto"/>
        <w:ind w:left="851" w:right="90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4">
      <w:pPr>
        <w:tabs>
          <w:tab w:val="left" w:leader="none" w:pos="142"/>
          <w:tab w:val="left" w:leader="none" w:pos="284"/>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consecuencia, el Organismo Público Descentralizado para la Prestación de los Servicios de Agua Potable y Sistema Municipal para el Desarrollo Integral de la Familia, son Sujetos Obligados diversos; consecuentemente, se advierte que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resulta incompetente para tener en sus archivos la información relativa a sus directorios, por ello la Suscrita estima que no resultaba procedente ordenar la emisión del acuerdo de incompetencia.</w:t>
      </w:r>
    </w:p>
    <w:p w:rsidR="00000000" w:rsidDel="00000000" w:rsidP="00000000" w:rsidRDefault="00000000" w:rsidRPr="00000000" w14:paraId="00000075">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6">
      <w:pPr>
        <w:tabs>
          <w:tab w:val="left" w:leader="none" w:pos="142"/>
          <w:tab w:val="left" w:leader="none" w:pos="284"/>
        </w:tabs>
        <w:spacing w:after="0" w:line="360" w:lineRule="auto"/>
        <w:jc w:val="both"/>
        <w:rPr>
          <w:rFonts w:ascii="Palatino Linotype" w:cs="Palatino Linotype" w:eastAsia="Palatino Linotype" w:hAnsi="Palatino Linotype"/>
          <w:sz w:val="24"/>
          <w:szCs w:val="24"/>
        </w:rPr>
      </w:pPr>
      <w:bookmarkStart w:colFirst="0" w:colLast="0" w:name="_heading=h.gjdgxs" w:id="2"/>
      <w:bookmarkEnd w:id="2"/>
      <w:r w:rsidDel="00000000" w:rsidR="00000000" w:rsidRPr="00000000">
        <w:rPr>
          <w:rFonts w:ascii="Palatino Linotype" w:cs="Palatino Linotype" w:eastAsia="Palatino Linotype" w:hAnsi="Palatino Linotype"/>
          <w:sz w:val="24"/>
          <w:szCs w:val="24"/>
          <w:rtl w:val="0"/>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no obtendrá la información que es de su interés por esta vía, en virtud de que la propia ponencia ha determinado que el </w:t>
      </w:r>
      <w:r w:rsidDel="00000000" w:rsidR="00000000" w:rsidRPr="00000000">
        <w:rPr>
          <w:rFonts w:ascii="Palatino Linotype" w:cs="Palatino Linotype" w:eastAsia="Palatino Linotype" w:hAnsi="Palatino Linotype"/>
          <w:b w:val="1"/>
          <w:i w:val="1"/>
          <w:sz w:val="24"/>
          <w:szCs w:val="24"/>
          <w:u w:val="single"/>
          <w:rtl w:val="0"/>
        </w:rPr>
        <w:t xml:space="preserve">Ente Recurrido es notoriamente incompetente para conocer de la información requerida respecto a dicho ente, </w:t>
      </w:r>
      <w:r w:rsidDel="00000000" w:rsidR="00000000" w:rsidRPr="00000000">
        <w:rPr>
          <w:rFonts w:ascii="Palatino Linotype" w:cs="Palatino Linotype" w:eastAsia="Palatino Linotype" w:hAnsi="Palatino Linotype"/>
          <w:sz w:val="24"/>
          <w:szCs w:val="24"/>
          <w:rtl w:val="0"/>
        </w:rPr>
        <w:t xml:space="preserve">motivo por el que se debio confirmas o socresee.</w:t>
      </w:r>
    </w:p>
    <w:p w:rsidR="00000000" w:rsidDel="00000000" w:rsidP="00000000" w:rsidRDefault="00000000" w:rsidRPr="00000000" w14:paraId="00000077">
      <w:pPr>
        <w:tabs>
          <w:tab w:val="left" w:leader="none" w:pos="142"/>
          <w:tab w:val="left" w:leader="none" w:pos="284"/>
        </w:tabs>
        <w:spacing w:after="0" w:line="360" w:lineRule="auto"/>
        <w:jc w:val="both"/>
        <w:rPr>
          <w:rFonts w:ascii="Palatino Linotype" w:cs="Palatino Linotype" w:eastAsia="Palatino Linotype" w:hAnsi="Palatino Linotype"/>
          <w:b w:val="1"/>
          <w:i w:val="1"/>
          <w:sz w:val="24"/>
          <w:szCs w:val="24"/>
          <w:u w:val="single"/>
        </w:rPr>
      </w:pPr>
      <w:r w:rsidDel="00000000" w:rsidR="00000000" w:rsidRPr="00000000">
        <w:rPr>
          <w:rtl w:val="0"/>
        </w:rPr>
      </w:r>
    </w:p>
    <w:p w:rsidR="00000000" w:rsidDel="00000000" w:rsidP="00000000" w:rsidRDefault="00000000" w:rsidRPr="00000000" w14:paraId="00000078">
      <w:pPr>
        <w:tabs>
          <w:tab w:val="left" w:leader="none" w:pos="142"/>
          <w:tab w:val="left" w:leader="none" w:pos="284"/>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000000" w:rsidDel="00000000" w:rsidP="00000000" w:rsidRDefault="00000000" w:rsidRPr="00000000" w14:paraId="00000079">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A">
      <w:pPr>
        <w:spacing w:after="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anteriores que la Suscrita no comparte el sentido de la resolución, y formula el presente voto disidente.</w:t>
      </w:r>
    </w:p>
    <w:p w:rsidR="00000000" w:rsidDel="00000000" w:rsidP="00000000" w:rsidRDefault="00000000" w:rsidRPr="00000000" w14:paraId="0000007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D">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E">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0">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1">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8">
      <w:pPr>
        <w:rPr/>
      </w:pPr>
      <w:bookmarkStart w:colFirst="0" w:colLast="0" w:name="_heading=h.30j0zll" w:id="3"/>
      <w:bookmarkEnd w:id="3"/>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headerReference r:id="rId7" w:type="default"/>
      <w:pgSz w:h="15840" w:w="12240" w:orient="portrait"/>
      <w:pgMar w:bottom="2836" w:top="1871" w:left="1985" w:right="1327" w:header="709" w:footer="5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-645793</wp:posOffset>
          </wp:positionH>
          <wp:positionV relativeFrom="paragraph">
            <wp:posOffset>-433702</wp:posOffset>
          </wp:positionV>
          <wp:extent cx="7510145" cy="9883775"/>
          <wp:effectExtent b="0" l="0" r="0" t="0"/>
          <wp:wrapNone/>
          <wp:docPr id="9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145" cy="9883775"/>
                  </a:xfrm>
                  <a:prstGeom prst="rect"/>
                  <a:ln/>
                </pic:spPr>
              </pic:pic>
            </a:graphicData>
          </a:graphic>
        </wp:anchor>
      </w:drawing>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DISIDENTE.</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 DE REVISIÓN: 02325/INFOEM/IP/RR/2023.</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Palatino Linotype" w:cs="Palatino Linotype" w:eastAsia="Palatino Linotype" w:hAnsi="Palatino Linotype"/>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0DB9"/>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B60DB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60DB9"/>
    <w:rPr>
      <w:rFonts w:ascii="Calibri" w:cs="Calibri" w:eastAsia="Calibri" w:hAnsi="Calibri"/>
      <w:lang w:eastAsia="es-MX"/>
    </w:rPr>
  </w:style>
  <w:style w:type="paragraph" w:styleId="Piedepgina">
    <w:name w:val="footer"/>
    <w:basedOn w:val="Normal"/>
    <w:link w:val="PiedepginaCar"/>
    <w:uiPriority w:val="99"/>
    <w:unhideWhenUsed w:val="1"/>
    <w:rsid w:val="00B60DB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60DB9"/>
    <w:rPr>
      <w:rFonts w:ascii="Calibri" w:cs="Calibri" w:eastAsia="Calibri" w:hAnsi="Calibri"/>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val="1"/>
    <w:rsid w:val="00B60DB9"/>
    <w:pPr>
      <w:spacing w:after="0" w:line="240" w:lineRule="auto"/>
      <w:ind w:left="708"/>
    </w:pPr>
    <w:rPr>
      <w:rFonts w:ascii="Times New Roman" w:cs="Times New Roman" w:eastAsia="Times New Roman"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val="1"/>
    <w:locked w:val="1"/>
    <w:rsid w:val="00B60DB9"/>
    <w:rPr>
      <w:rFonts w:ascii="Times New Roman" w:cs="Times New Roman" w:eastAsia="Times New Roman" w:hAnsi="Times New Roman"/>
      <w:sz w:val="24"/>
      <w:szCs w:val="24"/>
      <w:lang w:eastAsia="es-ES" w:val="es-E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VSC/O0mRom0mPlaRWVNFbZb8Q==">CgMxLjAyCWguM3pueXNoNzIJaC4xZm9iOXRlMghoLmdqZGd4czIJaC4zMGowemxsOAByITFUb2lublY3R2VlaS1HeGJXZUNNLVVaWFRjWnE2YTlfbg==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2023-11-06T15:26:00Z</dcterms:created>
  <dc:creator>USUARIO</dc:creator>
</cp:coreProperties>
</file>