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7D23F" w14:textId="77777777" w:rsidR="00C0034A" w:rsidRDefault="00C0034A" w:rsidP="006534BB">
      <w:pPr>
        <w:spacing w:after="0" w:line="360" w:lineRule="auto"/>
        <w:ind w:right="49"/>
        <w:jc w:val="both"/>
        <w:rPr>
          <w:rFonts w:ascii="Palatino Linotype" w:hAnsi="Palatino Linotype" w:cs="Tahoma"/>
          <w:b/>
        </w:rPr>
      </w:pPr>
    </w:p>
    <w:p w14:paraId="0CD08A86" w14:textId="66431B49" w:rsidR="006534BB" w:rsidRDefault="006534BB" w:rsidP="006534BB">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b/>
        </w:rPr>
        <w:t xml:space="preserve"> QUE FORMULA EL COMISIONADO LUIS GUSTAVO PARRA NORIEGA, A LA RESOLUCIÓN DEL RECURSO DE REVISIÓN </w:t>
      </w:r>
      <w:r>
        <w:rPr>
          <w:rFonts w:ascii="Palatino Linotype" w:hAnsi="Palatino Linotype" w:cs="Tahoma"/>
          <w:b/>
        </w:rPr>
        <w:t xml:space="preserve">15875/INFOEM/IP/RR/2022 </w:t>
      </w:r>
      <w:r w:rsidRPr="00C0034A">
        <w:rPr>
          <w:rFonts w:ascii="Palatino Linotype" w:hAnsi="Palatino Linotype" w:cs="Tahoma"/>
          <w:b/>
          <w:caps/>
        </w:rPr>
        <w:t>y acumulado</w:t>
      </w:r>
      <w:r w:rsidRPr="00807C88">
        <w:rPr>
          <w:rFonts w:ascii="Palatino Linotype" w:hAnsi="Palatino Linotype" w:cs="Tahoma"/>
          <w:b/>
        </w:rPr>
        <w:t xml:space="preserve">, PROMOVIDO EN CONTRA </w:t>
      </w:r>
      <w:r>
        <w:rPr>
          <w:rFonts w:ascii="Palatino Linotype" w:hAnsi="Palatino Linotype" w:cs="Tahoma"/>
          <w:b/>
        </w:rPr>
        <w:t xml:space="preserve">DE LA </w:t>
      </w:r>
      <w:r>
        <w:rPr>
          <w:rFonts w:ascii="Palatino Linotype" w:eastAsia="Times New Roman" w:hAnsi="Palatino Linotype" w:cs="Arial"/>
          <w:b/>
          <w:color w:val="000000" w:themeColor="text1"/>
        </w:rPr>
        <w:t>UNIVERSIDAD AUTÓNOMA DEL ESTADO DE MÉXICO.</w:t>
      </w:r>
    </w:p>
    <w:p w14:paraId="375EF46C" w14:textId="77777777" w:rsidR="006534BB" w:rsidRDefault="006534BB" w:rsidP="006534BB">
      <w:pPr>
        <w:spacing w:after="0" w:line="360" w:lineRule="auto"/>
        <w:ind w:right="49"/>
        <w:jc w:val="both"/>
        <w:rPr>
          <w:rFonts w:ascii="Palatino Linotype" w:hAnsi="Palatino Linotype" w:cs="Tahoma"/>
        </w:rPr>
      </w:pPr>
    </w:p>
    <w:p w14:paraId="50D3A07C" w14:textId="18812AA3" w:rsidR="006534BB" w:rsidRPr="00807C88" w:rsidRDefault="006534BB" w:rsidP="006534BB">
      <w:pPr>
        <w:spacing w:after="0" w:line="360" w:lineRule="auto"/>
        <w:ind w:right="49"/>
        <w:jc w:val="both"/>
        <w:rPr>
          <w:rFonts w:ascii="Palatino Linotype" w:hAnsi="Palatino Linotype" w:cs="Tahoma"/>
          <w:b/>
        </w:rPr>
      </w:pPr>
      <w:r w:rsidRPr="007D004A">
        <w:rPr>
          <w:rFonts w:ascii="Palatino Linotype" w:hAnsi="Palatino Linotype" w:cs="Tahoma"/>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w:t>
      </w:r>
      <w:r>
        <w:rPr>
          <w:rFonts w:ascii="Palatino Linotype" w:hAnsi="Palatino Linotype" w:cs="Tahoma"/>
        </w:rPr>
        <w:t>I</w:t>
      </w:r>
      <w:r w:rsidRPr="007D004A">
        <w:rPr>
          <w:rFonts w:ascii="Palatino Linotype" w:hAnsi="Palatino Linotype" w:cs="Tahoma"/>
        </w:rPr>
        <w:t xml:space="preserve">X, 45, 48, fracción </w:t>
      </w:r>
      <w:r>
        <w:rPr>
          <w:rFonts w:ascii="Palatino Linotype" w:hAnsi="Palatino Linotype" w:cs="Tahoma"/>
        </w:rPr>
        <w:t>I</w:t>
      </w:r>
      <w:r w:rsidRPr="007D004A">
        <w:rPr>
          <w:rFonts w:ascii="Palatino Linotype" w:hAnsi="Palatino Linotype" w:cs="Tahoma"/>
        </w:rPr>
        <w:t xml:space="preserve">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Pr>
          <w:rFonts w:ascii="Palatino Linotype" w:hAnsi="Palatino Linotype" w:cs="Arial"/>
          <w:b/>
          <w:lang w:val="es-MX"/>
        </w:rPr>
        <w:t>15875/INFOEM/IP/RR/2022 y acumulado</w:t>
      </w:r>
      <w:r w:rsidRPr="00807C88">
        <w:rPr>
          <w:rFonts w:ascii="Palatino Linotype" w:hAnsi="Palatino Linotype" w:cs="Tahoma"/>
          <w:b/>
          <w:lang w:val="es-ES_tradnl"/>
        </w:rPr>
        <w:t>.</w:t>
      </w:r>
    </w:p>
    <w:p w14:paraId="61C0994D" w14:textId="77777777" w:rsidR="006534BB" w:rsidRDefault="006534BB" w:rsidP="006534BB">
      <w:pPr>
        <w:spacing w:after="0" w:line="360" w:lineRule="auto"/>
        <w:ind w:right="49"/>
        <w:jc w:val="both"/>
        <w:rPr>
          <w:rFonts w:ascii="Palatino Linotype" w:hAnsi="Palatino Linotype" w:cs="Tahoma"/>
        </w:rPr>
      </w:pPr>
    </w:p>
    <w:p w14:paraId="34C5FA29" w14:textId="00C59ECD" w:rsidR="006534BB" w:rsidRPr="00766F5B" w:rsidRDefault="006534BB" w:rsidP="006534BB">
      <w:pPr>
        <w:spacing w:after="0" w:line="360" w:lineRule="auto"/>
        <w:ind w:right="49"/>
        <w:jc w:val="both"/>
        <w:rPr>
          <w:rFonts w:ascii="Palatino Linotype" w:hAnsi="Palatino Linotype" w:cs="Tahoma"/>
          <w:b/>
        </w:rPr>
      </w:pPr>
      <w:r w:rsidRPr="00807C88">
        <w:rPr>
          <w:rFonts w:ascii="Palatino Linotype" w:hAnsi="Palatino Linotype" w:cs="Tahoma"/>
        </w:rPr>
        <w:t>Como se desprende de la Resolución en comento, el Particular solicitó</w:t>
      </w:r>
      <w:r>
        <w:rPr>
          <w:rFonts w:ascii="Palatino Linotype" w:hAnsi="Palatino Linotype" w:cs="Tahoma"/>
        </w:rPr>
        <w:t xml:space="preserve"> constancias laborales</w:t>
      </w:r>
      <w:r w:rsidR="003901F1">
        <w:rPr>
          <w:rFonts w:ascii="Palatino Linotype" w:hAnsi="Palatino Linotype" w:cs="Tahoma"/>
        </w:rPr>
        <w:t xml:space="preserve"> de dos catedráticos</w:t>
      </w:r>
      <w:r>
        <w:rPr>
          <w:rFonts w:ascii="Palatino Linotype" w:hAnsi="Palatino Linotype" w:cs="Tahoma"/>
        </w:rPr>
        <w:t xml:space="preserve"> a la Universida</w:t>
      </w:r>
      <w:r w:rsidR="003901F1">
        <w:rPr>
          <w:rFonts w:ascii="Palatino Linotype" w:hAnsi="Palatino Linotype" w:cs="Tahoma"/>
        </w:rPr>
        <w:t>d Autónoma del Estado de México</w:t>
      </w:r>
      <w:r>
        <w:rPr>
          <w:rFonts w:ascii="Palatino Linotype" w:hAnsi="Palatino Linotype" w:cs="Tahoma"/>
        </w:rPr>
        <w:t xml:space="preserve">. En respuesta, el Sujeto Obligado señaló que el documento al que prende acceder correspondía a un trámite, ya que de conformidad con el artículo </w:t>
      </w:r>
      <w:r w:rsidRPr="006534BB">
        <w:rPr>
          <w:rFonts w:ascii="Palatino Linotype" w:hAnsi="Palatino Linotype" w:cs="Tahoma"/>
          <w:lang w:val="es-ES_tradnl"/>
        </w:rPr>
        <w:t>artículo 132, fracción VIII de la Ley Federal del Trabajo, el documento s</w:t>
      </w:r>
      <w:r w:rsidR="003901F1">
        <w:rPr>
          <w:rFonts w:ascii="Palatino Linotype" w:hAnsi="Palatino Linotype" w:cs="Tahoma"/>
          <w:lang w:val="es-ES_tradnl"/>
        </w:rPr>
        <w:t>ó</w:t>
      </w:r>
      <w:r w:rsidRPr="006534BB">
        <w:rPr>
          <w:rFonts w:ascii="Palatino Linotype" w:hAnsi="Palatino Linotype" w:cs="Tahoma"/>
          <w:lang w:val="es-ES_tradnl"/>
        </w:rPr>
        <w:t>lo se debe expedir a solicitud del trabajador</w:t>
      </w:r>
      <w:r>
        <w:rPr>
          <w:rFonts w:ascii="Palatino Linotype" w:hAnsi="Palatino Linotype" w:cs="Tahoma"/>
          <w:lang w:val="es-ES_tradnl"/>
        </w:rPr>
        <w:t xml:space="preserve">. En esos términos, </w:t>
      </w:r>
      <w:r w:rsidR="003901F1">
        <w:rPr>
          <w:rFonts w:ascii="Palatino Linotype" w:hAnsi="Palatino Linotype" w:cs="Tahoma"/>
          <w:lang w:val="es-ES_tradnl"/>
        </w:rPr>
        <w:t>la Ponencia resolutora determinó</w:t>
      </w:r>
      <w:r>
        <w:rPr>
          <w:rFonts w:ascii="Palatino Linotype" w:hAnsi="Palatino Linotype" w:cs="Tahoma"/>
          <w:lang w:val="es-ES_tradnl"/>
        </w:rPr>
        <w:t xml:space="preserve"> confirmar la respuesta del Ente Recurrido</w:t>
      </w:r>
      <w:r w:rsidR="00E15906">
        <w:rPr>
          <w:rFonts w:ascii="Palatino Linotype" w:hAnsi="Palatino Linotype" w:cs="Tahoma"/>
          <w:lang w:val="es-ES_tradnl"/>
        </w:rPr>
        <w:t xml:space="preserve">, ya que acorde con el estudio realizado corresponde a un trámite especifico, </w:t>
      </w:r>
      <w:r>
        <w:rPr>
          <w:rFonts w:ascii="Palatino Linotype" w:hAnsi="Palatino Linotype" w:cs="Tahoma"/>
        </w:rPr>
        <w:t xml:space="preserve">razón por la cual, difiero del sentido de la resolución, </w:t>
      </w:r>
      <w:r w:rsidR="00D50C41">
        <w:rPr>
          <w:rFonts w:ascii="Palatino Linotype" w:hAnsi="Palatino Linotype" w:cs="Tahoma"/>
        </w:rPr>
        <w:t xml:space="preserve">ya que </w:t>
      </w:r>
      <w:r w:rsidR="003901F1">
        <w:rPr>
          <w:rFonts w:ascii="Palatino Linotype" w:hAnsi="Palatino Linotype" w:cs="Tahoma"/>
        </w:rPr>
        <w:t xml:space="preserve">justamente el particular no solicitó que se </w:t>
      </w:r>
      <w:r w:rsidR="00766F5B">
        <w:rPr>
          <w:rFonts w:ascii="Palatino Linotype" w:hAnsi="Palatino Linotype" w:cs="Tahoma"/>
        </w:rPr>
        <w:t xml:space="preserve">le </w:t>
      </w:r>
      <w:r w:rsidR="003901F1">
        <w:rPr>
          <w:rFonts w:ascii="Palatino Linotype" w:hAnsi="Palatino Linotype" w:cs="Tahoma"/>
        </w:rPr>
        <w:t xml:space="preserve">expidieran los documentos, sino que se </w:t>
      </w:r>
      <w:r w:rsidR="003901F1" w:rsidRPr="00766F5B">
        <w:rPr>
          <w:rFonts w:ascii="Palatino Linotype" w:hAnsi="Palatino Linotype" w:cs="Tahoma"/>
          <w:b/>
        </w:rPr>
        <w:t>entregaran, en caso de haber sido generadas a solicitud de los catedráti</w:t>
      </w:r>
      <w:r w:rsidR="00766F5B">
        <w:rPr>
          <w:rFonts w:ascii="Palatino Linotype" w:hAnsi="Palatino Linotype" w:cs="Tahoma"/>
          <w:b/>
        </w:rPr>
        <w:t>cos, las constancias requeridas, por lo que para la atención de esta solicitud se debió hacer la búsqueda exhaustiva y razonable de la información, lo que en la especie, nunca sucedió.</w:t>
      </w:r>
    </w:p>
    <w:p w14:paraId="71696A9C" w14:textId="77777777" w:rsidR="00B72320" w:rsidRDefault="00B72320" w:rsidP="006534BB">
      <w:pPr>
        <w:spacing w:after="0" w:line="360" w:lineRule="auto"/>
        <w:ind w:right="49"/>
        <w:jc w:val="both"/>
        <w:rPr>
          <w:rFonts w:ascii="Palatino Linotype" w:hAnsi="Palatino Linotype" w:cs="Tahoma"/>
        </w:rPr>
      </w:pPr>
    </w:p>
    <w:p w14:paraId="742BE319" w14:textId="33614783" w:rsidR="00B72320" w:rsidRDefault="00B72320" w:rsidP="006534BB">
      <w:pPr>
        <w:spacing w:after="0" w:line="360" w:lineRule="auto"/>
        <w:ind w:right="49"/>
        <w:jc w:val="both"/>
        <w:rPr>
          <w:rFonts w:ascii="Palatino Linotype" w:hAnsi="Palatino Linotype" w:cs="Tahoma"/>
        </w:rPr>
      </w:pPr>
      <w:r>
        <w:rPr>
          <w:rFonts w:ascii="Palatino Linotype" w:hAnsi="Palatino Linotype" w:cs="Tahoma"/>
        </w:rPr>
        <w:t>En efecto, la manera de garantizar el acceso a la información, como derecho humano, es revisar si los documentos solicitados fueron generados o por algún motivo obran en los archivos de los sujetos obligados, por lo que, en el asunto que nos ocupa, tanto el Sujeto Obligado como este Organismo Garante debió favorecer la búsqueda de los documentos solicitados y no indicar al Particular la vía para generarlos.</w:t>
      </w:r>
    </w:p>
    <w:p w14:paraId="3BE09FDA" w14:textId="77777777" w:rsidR="00B72320" w:rsidRDefault="00B72320" w:rsidP="006534BB">
      <w:pPr>
        <w:spacing w:after="0" w:line="360" w:lineRule="auto"/>
        <w:ind w:right="49"/>
        <w:jc w:val="both"/>
        <w:rPr>
          <w:rFonts w:ascii="Palatino Linotype" w:hAnsi="Palatino Linotype" w:cs="Tahoma"/>
        </w:rPr>
      </w:pPr>
    </w:p>
    <w:p w14:paraId="1F0461CF" w14:textId="61F0E40B" w:rsidR="003C58CF" w:rsidRPr="00F12506" w:rsidRDefault="00B72320" w:rsidP="006534BB">
      <w:pPr>
        <w:spacing w:after="0" w:line="360" w:lineRule="auto"/>
        <w:ind w:right="49"/>
        <w:jc w:val="both"/>
        <w:rPr>
          <w:rFonts w:ascii="Palatino Linotype" w:hAnsi="Palatino Linotype" w:cs="Tahoma"/>
        </w:rPr>
      </w:pPr>
      <w:r>
        <w:rPr>
          <w:rFonts w:ascii="Palatino Linotype" w:hAnsi="Palatino Linotype" w:cs="Tahoma"/>
        </w:rPr>
        <w:t>E</w:t>
      </w:r>
      <w:r w:rsidR="0085548A">
        <w:rPr>
          <w:rFonts w:ascii="Palatino Linotype" w:hAnsi="Palatino Linotype" w:cs="Tahoma"/>
        </w:rPr>
        <w:t xml:space="preserve">l Procedimiento </w:t>
      </w:r>
      <w:r w:rsidR="00A754B0">
        <w:rPr>
          <w:rFonts w:ascii="Palatino Linotype" w:hAnsi="Palatino Linotype" w:cs="Tahoma"/>
        </w:rPr>
        <w:t xml:space="preserve">de Acceso a la Información Pública se encuentra </w:t>
      </w:r>
      <w:r w:rsidR="0055215D">
        <w:rPr>
          <w:rFonts w:ascii="Palatino Linotype" w:hAnsi="Palatino Linotype" w:cs="Tahoma"/>
        </w:rPr>
        <w:t xml:space="preserve">regulado </w:t>
      </w:r>
      <w:r w:rsidR="00620EFA">
        <w:rPr>
          <w:rFonts w:ascii="Palatino Linotype" w:hAnsi="Palatino Linotype" w:cs="Tahoma"/>
        </w:rPr>
        <w:t>por los artículos 150</w:t>
      </w:r>
      <w:r w:rsidR="001F39C0">
        <w:rPr>
          <w:rFonts w:ascii="Palatino Linotype" w:hAnsi="Palatino Linotype" w:cs="Tahoma"/>
        </w:rPr>
        <w:t xml:space="preserve"> al 175 de la Ley de Transparencia y Acceso a la Información Pública del Estado de México y </w:t>
      </w:r>
      <w:r w:rsidR="00EE19E7">
        <w:rPr>
          <w:rFonts w:ascii="Palatino Linotype" w:hAnsi="Palatino Linotype" w:cs="Tahoma"/>
        </w:rPr>
        <w:t>M</w:t>
      </w:r>
      <w:r w:rsidR="001F39C0">
        <w:rPr>
          <w:rFonts w:ascii="Palatino Linotype" w:hAnsi="Palatino Linotype" w:cs="Tahoma"/>
        </w:rPr>
        <w:t>unicipios</w:t>
      </w:r>
      <w:r w:rsidR="00907196">
        <w:rPr>
          <w:rFonts w:ascii="Palatino Linotype" w:hAnsi="Palatino Linotype" w:cs="Tahoma"/>
        </w:rPr>
        <w:t xml:space="preserve">, así, </w:t>
      </w:r>
      <w:r w:rsidR="00F12506">
        <w:rPr>
          <w:rFonts w:ascii="Palatino Linotype" w:hAnsi="Palatino Linotype" w:cs="Tahoma"/>
        </w:rPr>
        <w:t xml:space="preserve">dentro del </w:t>
      </w:r>
      <w:r w:rsidR="00F12506" w:rsidRPr="00F12506">
        <w:rPr>
          <w:rFonts w:ascii="Palatino Linotype" w:hAnsi="Palatino Linotype" w:cs="Tahoma"/>
        </w:rPr>
        <w:t xml:space="preserve">conjunto de formalidades y actos </w:t>
      </w:r>
      <w:r w:rsidR="00EE19E7">
        <w:rPr>
          <w:rFonts w:ascii="Palatino Linotype" w:hAnsi="Palatino Linotype" w:cs="Tahoma"/>
        </w:rPr>
        <w:t xml:space="preserve">que se prevé dentro del procedimiento </w:t>
      </w:r>
      <w:r w:rsidR="00A9464C">
        <w:rPr>
          <w:rFonts w:ascii="Palatino Linotype" w:hAnsi="Palatino Linotype" w:cs="Tahoma"/>
        </w:rPr>
        <w:t>es</w:t>
      </w:r>
      <w:r w:rsidR="00263499">
        <w:rPr>
          <w:rFonts w:ascii="Palatino Linotype" w:hAnsi="Palatino Linotype" w:cs="Tahoma"/>
        </w:rPr>
        <w:t xml:space="preserve">, lo que en la </w:t>
      </w:r>
      <w:r w:rsidR="00DC0B9F">
        <w:rPr>
          <w:rFonts w:ascii="Palatino Linotype" w:hAnsi="Palatino Linotype" w:cs="Tahoma"/>
        </w:rPr>
        <w:t>materia</w:t>
      </w:r>
      <w:r w:rsidR="00263499">
        <w:rPr>
          <w:rFonts w:ascii="Palatino Linotype" w:hAnsi="Palatino Linotype" w:cs="Tahoma"/>
        </w:rPr>
        <w:t xml:space="preserve"> se le denomina el </w:t>
      </w:r>
      <w:r w:rsidR="00DC0B9F">
        <w:rPr>
          <w:rFonts w:ascii="Palatino Linotype" w:hAnsi="Palatino Linotype" w:cs="Tahoma"/>
        </w:rPr>
        <w:t>“</w:t>
      </w:r>
      <w:r w:rsidR="00263499" w:rsidRPr="00263499">
        <w:rPr>
          <w:rFonts w:ascii="Palatino Linotype" w:hAnsi="Palatino Linotype" w:cs="Tahoma"/>
          <w:b/>
          <w:bCs/>
        </w:rPr>
        <w:t>procedimiento de búsqueda</w:t>
      </w:r>
      <w:r w:rsidR="00DC0B9F">
        <w:rPr>
          <w:rFonts w:ascii="Palatino Linotype" w:hAnsi="Palatino Linotype" w:cs="Tahoma"/>
        </w:rPr>
        <w:t xml:space="preserve">” el cual tiene sustento en </w:t>
      </w:r>
      <w:r w:rsidR="003C58CF">
        <w:rPr>
          <w:rFonts w:ascii="Palatino Linotype" w:hAnsi="Palatino Linotype" w:cs="Tahoma"/>
        </w:rPr>
        <w:t xml:space="preserve">los artículos 131 de la Ley General de Transparencia y Acceso a la Información Pública y 162 de la </w:t>
      </w:r>
      <w:r w:rsidR="003C58CF" w:rsidRPr="003C58CF">
        <w:rPr>
          <w:rFonts w:ascii="Palatino Linotype" w:hAnsi="Palatino Linotype" w:cs="Tahoma"/>
        </w:rPr>
        <w:t>Ley de Transparencia y Acceso a la Información Pública</w:t>
      </w:r>
      <w:r w:rsidR="00EE19E7">
        <w:rPr>
          <w:rFonts w:ascii="Palatino Linotype" w:hAnsi="Palatino Linotype" w:cs="Tahoma"/>
        </w:rPr>
        <w:t xml:space="preserve"> del Estado de México y Municipios</w:t>
      </w:r>
      <w:r w:rsidR="00E0357D">
        <w:rPr>
          <w:rFonts w:ascii="Palatino Linotype" w:hAnsi="Palatino Linotype" w:cs="Tahoma"/>
        </w:rPr>
        <w:t xml:space="preserve">. </w:t>
      </w:r>
    </w:p>
    <w:p w14:paraId="3947EFE0" w14:textId="77777777" w:rsidR="00F12506" w:rsidRDefault="00F12506" w:rsidP="006534BB">
      <w:pPr>
        <w:spacing w:after="0" w:line="360" w:lineRule="auto"/>
        <w:ind w:right="49"/>
        <w:jc w:val="both"/>
        <w:rPr>
          <w:rFonts w:ascii="Palatino Linotype" w:hAnsi="Palatino Linotype" w:cs="Tahoma"/>
        </w:rPr>
      </w:pPr>
    </w:p>
    <w:p w14:paraId="437FA423" w14:textId="0509945A" w:rsidR="00F12506" w:rsidRDefault="00047731" w:rsidP="006534BB">
      <w:pPr>
        <w:spacing w:after="0" w:line="360" w:lineRule="auto"/>
        <w:ind w:right="49"/>
        <w:jc w:val="both"/>
        <w:rPr>
          <w:rFonts w:ascii="Palatino Linotype" w:hAnsi="Palatino Linotype" w:cs="Tahoma"/>
        </w:rPr>
      </w:pPr>
      <w:r>
        <w:rPr>
          <w:rFonts w:ascii="Palatino Linotype" w:hAnsi="Palatino Linotype" w:cs="Tahoma"/>
        </w:rPr>
        <w:t xml:space="preserve">Este procedimiento de búsqueda implica que </w:t>
      </w:r>
      <w:r w:rsidR="004A5A38">
        <w:rPr>
          <w:rFonts w:ascii="Palatino Linotype" w:hAnsi="Palatino Linotype" w:cs="Tahoma"/>
        </w:rPr>
        <w:t xml:space="preserve">las Unidades de Transparencia de los sujetos obligados deberán garantizar que las solicitudes </w:t>
      </w:r>
      <w:r w:rsidR="008E1A3A">
        <w:rPr>
          <w:rFonts w:ascii="Palatino Linotype" w:hAnsi="Palatino Linotype" w:cs="Tahoma"/>
        </w:rPr>
        <w:t xml:space="preserve">se turnen a todas las áreas competentes que cuenten con la información o deban tenerla de acuerdo a sus facultades, competencias </w:t>
      </w:r>
      <w:r w:rsidR="0077390F">
        <w:rPr>
          <w:rFonts w:ascii="Palatino Linotype" w:hAnsi="Palatino Linotype" w:cs="Tahoma"/>
        </w:rPr>
        <w:t xml:space="preserve">y funciones, con el objeto de que realicen una búsqueda exhaustiva y razonable de la información solicitada. </w:t>
      </w:r>
    </w:p>
    <w:p w14:paraId="1C44DB87" w14:textId="77777777" w:rsidR="006534BB" w:rsidRPr="00E27227" w:rsidRDefault="006534BB" w:rsidP="006534BB">
      <w:pPr>
        <w:spacing w:after="0" w:line="360" w:lineRule="auto"/>
        <w:jc w:val="both"/>
        <w:rPr>
          <w:rFonts w:ascii="Palatino Linotype" w:eastAsia="Times New Roman" w:hAnsi="Palatino Linotype" w:cs="Tahoma"/>
          <w:bCs/>
          <w:iCs/>
          <w:highlight w:val="yellow"/>
          <w:lang w:val="es-MX" w:eastAsia="es-ES"/>
        </w:rPr>
      </w:pPr>
    </w:p>
    <w:p w14:paraId="18A680D1" w14:textId="77777777" w:rsidR="006534BB" w:rsidRPr="00E27227" w:rsidRDefault="006534BB" w:rsidP="006534BB">
      <w:pPr>
        <w:spacing w:after="0" w:line="360" w:lineRule="auto"/>
        <w:jc w:val="both"/>
        <w:rPr>
          <w:rFonts w:ascii="Palatino Linotype" w:eastAsia="Times New Roman" w:hAnsi="Palatino Linotype" w:cs="Arial"/>
          <w:b/>
          <w:bCs/>
          <w:lang w:val="es-MX" w:eastAsia="es-ES"/>
        </w:rPr>
      </w:pPr>
      <w:r w:rsidRPr="00E27227">
        <w:rPr>
          <w:rFonts w:ascii="Palatino Linotype" w:eastAsia="Times New Roman" w:hAnsi="Palatino Linotype" w:cs="Arial"/>
          <w:bCs/>
          <w:lang w:val="es-MX" w:eastAsia="es-ES"/>
        </w:rPr>
        <w:t xml:space="preserve">Sobre lo anterior, según Jarquín, Soledad (2019), en el “Diccionario de Transparencia y Acceso a la Información Pública” (p. 68), </w:t>
      </w:r>
      <w:r w:rsidRPr="00E27227">
        <w:rPr>
          <w:rFonts w:ascii="Palatino Linotype" w:eastAsia="Times New Roman" w:hAnsi="Palatino Linotype" w:cs="Arial"/>
          <w:b/>
          <w:bCs/>
          <w:lang w:val="es-MX" w:eastAsia="es-ES"/>
        </w:rPr>
        <w:t>la búsqueda exhaustiva</w:t>
      </w:r>
      <w:r w:rsidRPr="00E27227">
        <w:rPr>
          <w:rFonts w:ascii="Palatino Linotype" w:eastAsia="Times New Roman" w:hAnsi="Palatino Linotype" w:cs="Arial"/>
          <w:bCs/>
          <w:lang w:val="es-MX" w:eastAsia="es-ES"/>
        </w:rPr>
        <w:t xml:space="preserve"> es la obligación del área administrativa del Sujeto Obligado que cuenta o puede contar con la información requerida, la cual consiste en localizar toda aquella que atienda la solicitud, </w:t>
      </w:r>
      <w:r w:rsidRPr="00E27227">
        <w:rPr>
          <w:rFonts w:ascii="Palatino Linotype" w:eastAsia="Times New Roman" w:hAnsi="Palatino Linotype" w:cs="Arial"/>
          <w:b/>
          <w:bCs/>
          <w:lang w:val="es-MX" w:eastAsia="es-ES"/>
        </w:rPr>
        <w:t>hasta agotar por completo las posibilidades de indagación.</w:t>
      </w:r>
    </w:p>
    <w:p w14:paraId="4E8D7E7D" w14:textId="77777777" w:rsidR="006534BB" w:rsidRPr="00E27227" w:rsidRDefault="006534BB" w:rsidP="006534BB">
      <w:pPr>
        <w:spacing w:after="0" w:line="360" w:lineRule="auto"/>
        <w:jc w:val="both"/>
        <w:rPr>
          <w:rFonts w:ascii="Palatino Linotype" w:eastAsia="Times New Roman" w:hAnsi="Palatino Linotype" w:cs="Arial"/>
          <w:b/>
          <w:bCs/>
          <w:lang w:val="es-MX" w:eastAsia="es-ES"/>
        </w:rPr>
      </w:pPr>
      <w:r w:rsidRPr="00E27227">
        <w:rPr>
          <w:rFonts w:ascii="Palatino Linotype" w:eastAsia="Times New Roman" w:hAnsi="Palatino Linotype" w:cs="Arial"/>
          <w:bCs/>
          <w:lang w:val="es-MX" w:eastAsia="es-ES"/>
        </w:rPr>
        <w:lastRenderedPageBreak/>
        <w:t xml:space="preserve">Además, según Calero, Natalia (2016), en la “Ley General de Transparencia y Acceso a la Información Pública Comentada” (p. 408), para que exista una búsqueda exhaustiva y razonable, se debe hacer una </w:t>
      </w:r>
      <w:r w:rsidRPr="00E27227">
        <w:rPr>
          <w:rFonts w:ascii="Palatino Linotype" w:eastAsia="Times New Roman" w:hAnsi="Palatino Linotype" w:cs="Arial"/>
          <w:b/>
          <w:bCs/>
          <w:lang w:val="es-MX" w:eastAsia="es-ES"/>
        </w:rPr>
        <w:t xml:space="preserve">indagación consiente y minuciosa en sus archivos físicos y electrónicos. </w:t>
      </w:r>
    </w:p>
    <w:p w14:paraId="253A601F" w14:textId="77777777" w:rsidR="006534BB" w:rsidRPr="00E27227" w:rsidRDefault="006534BB" w:rsidP="006534BB">
      <w:pPr>
        <w:spacing w:after="0" w:line="360" w:lineRule="auto"/>
        <w:jc w:val="both"/>
        <w:rPr>
          <w:rFonts w:ascii="Palatino Linotype" w:eastAsia="Times New Roman" w:hAnsi="Palatino Linotype" w:cs="Tahoma"/>
          <w:lang w:val="es-MX" w:eastAsia="es-ES"/>
        </w:rPr>
      </w:pPr>
    </w:p>
    <w:p w14:paraId="4B864F84" w14:textId="77777777" w:rsidR="006534BB" w:rsidRPr="00E27227" w:rsidRDefault="006534BB" w:rsidP="006534BB">
      <w:pPr>
        <w:spacing w:after="0" w:line="360" w:lineRule="auto"/>
        <w:jc w:val="both"/>
        <w:rPr>
          <w:rFonts w:ascii="Palatino Linotype" w:eastAsia="Times New Roman" w:hAnsi="Palatino Linotype" w:cs="Tahoma"/>
          <w:b/>
          <w:lang w:val="es-MX" w:eastAsia="es-ES"/>
        </w:rPr>
      </w:pPr>
      <w:r w:rsidRPr="00E27227">
        <w:rPr>
          <w:rFonts w:ascii="Palatino Linotype" w:eastAsia="Times New Roman" w:hAnsi="Palatino Linotype" w:cs="Tahoma"/>
          <w:lang w:val="es-MX" w:eastAsia="es-ES"/>
        </w:rPr>
        <w:t xml:space="preserve">Conforme a lo anterior, para poder acreditar el carácter exhaustivo de la búsqueda realizada por los Sujetos Obligados, se deben motivar las razones por las que se buscó la información en determinadas áreas, </w:t>
      </w:r>
      <w:r w:rsidRPr="00E27227">
        <w:rPr>
          <w:rFonts w:ascii="Palatino Linotype" w:eastAsia="Times New Roman" w:hAnsi="Palatino Linotype" w:cs="Tahoma"/>
          <w:b/>
          <w:lang w:val="es-MX" w:eastAsia="es-ES"/>
        </w:rPr>
        <w:t>los criterios de búsqueda utilizados y demás circunstancias que fueron tomadas en cuenta.</w:t>
      </w:r>
    </w:p>
    <w:p w14:paraId="7AA55504" w14:textId="77777777" w:rsidR="006534BB" w:rsidRPr="00E27227" w:rsidRDefault="006534BB" w:rsidP="006534BB">
      <w:pPr>
        <w:spacing w:after="0" w:line="360" w:lineRule="auto"/>
        <w:jc w:val="both"/>
        <w:rPr>
          <w:rFonts w:ascii="Palatino Linotype" w:eastAsia="Times New Roman" w:hAnsi="Palatino Linotype" w:cs="Tahoma"/>
          <w:lang w:val="es-MX" w:eastAsia="es-ES"/>
        </w:rPr>
      </w:pPr>
    </w:p>
    <w:p w14:paraId="33BB6108" w14:textId="77777777" w:rsidR="006534BB" w:rsidRPr="00E27227" w:rsidRDefault="006534BB" w:rsidP="006534BB">
      <w:pPr>
        <w:spacing w:after="0" w:line="360" w:lineRule="auto"/>
        <w:jc w:val="both"/>
        <w:rPr>
          <w:rFonts w:ascii="Palatino Linotype" w:eastAsia="Times New Roman" w:hAnsi="Palatino Linotype" w:cs="Tahoma"/>
          <w:lang w:val="es-MX" w:eastAsia="es-ES"/>
        </w:rPr>
      </w:pPr>
      <w:r w:rsidRPr="00E27227">
        <w:rPr>
          <w:rFonts w:ascii="Palatino Linotype" w:eastAsia="Times New Roman" w:hAnsi="Palatino Linotype" w:cs="Tahoma"/>
          <w:lang w:val="es-MX" w:eastAsia="es-ES"/>
        </w:rPr>
        <w:t>Por lo cual, se considera que para que los Sujetos Obligado justifiquen que realizaron una búsqueda exhaustiva y razonable, deben indicar de manera clara, lo siguiente:</w:t>
      </w:r>
    </w:p>
    <w:p w14:paraId="36863D02" w14:textId="77777777" w:rsidR="006534BB" w:rsidRPr="00E27227" w:rsidRDefault="006534BB" w:rsidP="006534BB">
      <w:pPr>
        <w:spacing w:after="0" w:line="360" w:lineRule="auto"/>
        <w:jc w:val="both"/>
        <w:rPr>
          <w:rFonts w:ascii="Palatino Linotype" w:eastAsia="Times New Roman" w:hAnsi="Palatino Linotype" w:cs="Tahoma"/>
          <w:lang w:val="es-MX" w:eastAsia="es-ES"/>
        </w:rPr>
      </w:pPr>
    </w:p>
    <w:p w14:paraId="56DF4C0B" w14:textId="0019B288" w:rsidR="006534BB" w:rsidRDefault="006534BB" w:rsidP="006534BB">
      <w:pPr>
        <w:numPr>
          <w:ilvl w:val="0"/>
          <w:numId w:val="1"/>
        </w:numPr>
        <w:spacing w:after="0" w:line="360" w:lineRule="auto"/>
        <w:contextualSpacing/>
        <w:jc w:val="both"/>
        <w:rPr>
          <w:rFonts w:ascii="Palatino Linotype" w:eastAsia="Times New Roman" w:hAnsi="Palatino Linotype" w:cs="Tahoma"/>
          <w:lang w:val="es-MX" w:eastAsia="es-ES"/>
        </w:rPr>
      </w:pPr>
      <w:r w:rsidRPr="00E27227">
        <w:rPr>
          <w:rFonts w:ascii="Palatino Linotype" w:eastAsia="Times New Roman" w:hAnsi="Palatino Linotype" w:cs="Tahoma"/>
          <w:lang w:val="es-MX" w:eastAsia="es-ES"/>
        </w:rPr>
        <w:t>Las áreas donde se buscó la información</w:t>
      </w:r>
      <w:r w:rsidR="00A805FD" w:rsidRPr="00AD0A25">
        <w:rPr>
          <w:rFonts w:ascii="Palatino Linotype" w:eastAsia="Times New Roman" w:hAnsi="Palatino Linotype" w:cs="Tahoma"/>
          <w:lang w:val="es-MX" w:eastAsia="es-ES"/>
        </w:rPr>
        <w:t>;</w:t>
      </w:r>
    </w:p>
    <w:p w14:paraId="7DFD74E5" w14:textId="33437E70" w:rsidR="00832346" w:rsidRDefault="00832346" w:rsidP="006534BB">
      <w:pPr>
        <w:numPr>
          <w:ilvl w:val="0"/>
          <w:numId w:val="1"/>
        </w:numPr>
        <w:spacing w:after="0" w:line="360" w:lineRule="auto"/>
        <w:contextualSpacing/>
        <w:jc w:val="both"/>
        <w:rPr>
          <w:rFonts w:ascii="Palatino Linotype" w:eastAsia="Times New Roman" w:hAnsi="Palatino Linotype" w:cs="Tahoma"/>
          <w:lang w:val="es-MX" w:eastAsia="es-ES"/>
        </w:rPr>
      </w:pPr>
      <w:r w:rsidRPr="00E27227">
        <w:rPr>
          <w:rFonts w:ascii="Palatino Linotype" w:eastAsia="Times New Roman" w:hAnsi="Palatino Linotype" w:cs="Tahoma"/>
          <w:lang w:val="es-MX" w:eastAsia="es-ES"/>
        </w:rPr>
        <w:t>Los criterios de búsqueda utilizados</w:t>
      </w:r>
      <w:r w:rsidRPr="00AD0A25">
        <w:rPr>
          <w:rFonts w:ascii="Palatino Linotype" w:eastAsia="Times New Roman" w:hAnsi="Palatino Linotype" w:cs="Tahoma"/>
          <w:lang w:val="es-MX" w:eastAsia="es-ES"/>
        </w:rPr>
        <w:t xml:space="preserve"> con base en su propia organización y en la que establece la ley de archivos</w:t>
      </w:r>
      <w:r w:rsidR="002F7326">
        <w:rPr>
          <w:rFonts w:ascii="Palatino Linotype" w:eastAsia="Times New Roman" w:hAnsi="Palatino Linotype" w:cs="Tahoma"/>
          <w:lang w:val="es-MX" w:eastAsia="es-ES"/>
        </w:rPr>
        <w:t>;</w:t>
      </w:r>
    </w:p>
    <w:p w14:paraId="4F75256D" w14:textId="031AB94D" w:rsidR="006534BB" w:rsidRDefault="006534BB" w:rsidP="006534BB">
      <w:pPr>
        <w:numPr>
          <w:ilvl w:val="0"/>
          <w:numId w:val="1"/>
        </w:numPr>
        <w:spacing w:after="0" w:line="360" w:lineRule="auto"/>
        <w:contextualSpacing/>
        <w:jc w:val="both"/>
        <w:rPr>
          <w:rFonts w:ascii="Palatino Linotype" w:eastAsia="Times New Roman" w:hAnsi="Palatino Linotype" w:cs="Tahoma"/>
          <w:lang w:val="es-MX" w:eastAsia="es-ES"/>
        </w:rPr>
      </w:pPr>
      <w:r w:rsidRPr="00E27227">
        <w:rPr>
          <w:rFonts w:ascii="Palatino Linotype" w:eastAsia="Times New Roman" w:hAnsi="Palatino Linotype" w:cs="Tahoma"/>
          <w:lang w:val="es-MX" w:eastAsia="es-ES"/>
        </w:rPr>
        <w:t>Tipo de archivos buscados (físicos o electrónicos</w:t>
      </w:r>
      <w:r w:rsidR="002F7326">
        <w:rPr>
          <w:rFonts w:ascii="Palatino Linotype" w:eastAsia="Times New Roman" w:hAnsi="Palatino Linotype" w:cs="Tahoma"/>
          <w:lang w:val="es-MX" w:eastAsia="es-ES"/>
        </w:rPr>
        <w:t>) y;</w:t>
      </w:r>
    </w:p>
    <w:p w14:paraId="443357E7" w14:textId="2BA81E43" w:rsidR="006534BB" w:rsidRPr="00E27227" w:rsidRDefault="006534BB" w:rsidP="006534BB">
      <w:pPr>
        <w:numPr>
          <w:ilvl w:val="0"/>
          <w:numId w:val="1"/>
        </w:numPr>
        <w:spacing w:after="0" w:line="360" w:lineRule="auto"/>
        <w:contextualSpacing/>
        <w:jc w:val="both"/>
        <w:rPr>
          <w:rFonts w:ascii="Palatino Linotype" w:eastAsia="Times New Roman" w:hAnsi="Palatino Linotype" w:cs="Tahoma"/>
          <w:lang w:val="es-MX" w:eastAsia="es-ES"/>
        </w:rPr>
      </w:pPr>
      <w:r w:rsidRPr="00E27227">
        <w:rPr>
          <w:rFonts w:ascii="Palatino Linotype" w:eastAsia="Times New Roman" w:hAnsi="Palatino Linotype" w:cs="Tahoma"/>
          <w:lang w:val="es-MX" w:eastAsia="es-ES"/>
        </w:rPr>
        <w:t>Las circunstancias que fueron tomadas en cuenta.</w:t>
      </w:r>
    </w:p>
    <w:p w14:paraId="00C010BD" w14:textId="77777777" w:rsidR="006534BB" w:rsidRPr="00E27227" w:rsidRDefault="006534BB" w:rsidP="006534BB">
      <w:pPr>
        <w:spacing w:after="0" w:line="360" w:lineRule="auto"/>
        <w:ind w:right="-93"/>
        <w:jc w:val="both"/>
        <w:rPr>
          <w:rFonts w:ascii="Palatino Linotype" w:eastAsia="Calibri" w:hAnsi="Palatino Linotype" w:cs="Tahoma"/>
          <w:bCs/>
          <w:lang w:val="es-MX"/>
        </w:rPr>
      </w:pPr>
    </w:p>
    <w:p w14:paraId="1CF90632" w14:textId="56C8641E" w:rsidR="004D4830" w:rsidRDefault="00DB36A7" w:rsidP="006534BB">
      <w:pPr>
        <w:spacing w:after="0" w:line="360" w:lineRule="auto"/>
        <w:ind w:right="49"/>
        <w:jc w:val="both"/>
        <w:rPr>
          <w:rFonts w:ascii="Palatino Linotype" w:hAnsi="Palatino Linotype" w:cs="Tahoma"/>
          <w:lang w:val="es-MX"/>
        </w:rPr>
      </w:pPr>
      <w:r>
        <w:rPr>
          <w:rFonts w:ascii="Palatino Linotype" w:hAnsi="Palatino Linotype" w:cs="Tahoma"/>
        </w:rPr>
        <w:t xml:space="preserve">A mayor abundamiento de lo anterior, </w:t>
      </w:r>
      <w:r w:rsidR="00CE516B" w:rsidRPr="00AD0A25">
        <w:rPr>
          <w:rFonts w:ascii="Palatino Linotype" w:hAnsi="Palatino Linotype" w:cs="Tahoma"/>
        </w:rPr>
        <w:t>la Corte Interamericana de Derechos Humanos (en adelante Corte IDH)</w:t>
      </w:r>
      <w:r w:rsidR="002E18C0" w:rsidRPr="00AD0A25">
        <w:rPr>
          <w:rFonts w:ascii="Palatino Linotype" w:hAnsi="Palatino Linotype" w:cs="Tahoma"/>
        </w:rPr>
        <w:t xml:space="preserve"> </w:t>
      </w:r>
      <w:r w:rsidR="00774529" w:rsidRPr="00AD0A25">
        <w:rPr>
          <w:rFonts w:ascii="Palatino Linotype" w:hAnsi="Palatino Linotype" w:cs="Tahoma"/>
        </w:rPr>
        <w:t xml:space="preserve">estableció en el </w:t>
      </w:r>
      <w:r w:rsidR="00774529" w:rsidRPr="00AD0A25">
        <w:rPr>
          <w:rFonts w:ascii="Palatino Linotype" w:hAnsi="Palatino Linotype" w:cs="Tahoma"/>
          <w:lang w:val="es-MX"/>
        </w:rPr>
        <w:t>caso Gomes Lund y otros (“Guerrilha do Araguaia”) vs Brasil,</w:t>
      </w:r>
      <w:r w:rsidR="004D4830" w:rsidRPr="00AD0A25">
        <w:rPr>
          <w:rFonts w:ascii="Palatino Linotype" w:hAnsi="Palatino Linotype" w:cs="Tahoma"/>
          <w:lang w:val="es-MX"/>
        </w:rPr>
        <w:t xml:space="preserve"> </w:t>
      </w:r>
      <w:r w:rsidR="00873D2B">
        <w:rPr>
          <w:rFonts w:ascii="Palatino Linotype" w:hAnsi="Palatino Linotype" w:cs="Tahoma"/>
          <w:lang w:val="es-MX"/>
        </w:rPr>
        <w:t>h</w:t>
      </w:r>
      <w:bookmarkStart w:id="0" w:name="_GoBack"/>
      <w:bookmarkEnd w:id="0"/>
      <w:r w:rsidR="00050BC6">
        <w:rPr>
          <w:rFonts w:ascii="Palatino Linotype" w:hAnsi="Palatino Linotype" w:cs="Tahoma"/>
          <w:lang w:val="es-MX"/>
        </w:rPr>
        <w:t xml:space="preserve">a establecido sobre el procedimiento de búsqueda </w:t>
      </w:r>
      <w:r w:rsidR="003D22C1" w:rsidRPr="00AD0A25">
        <w:rPr>
          <w:rFonts w:ascii="Palatino Linotype" w:hAnsi="Palatino Linotype" w:cs="Tahoma"/>
          <w:lang w:val="es-MX"/>
        </w:rPr>
        <w:t>lo siguiente:</w:t>
      </w:r>
    </w:p>
    <w:p w14:paraId="04B4BCBE" w14:textId="77777777" w:rsidR="004D4830" w:rsidRDefault="004D4830" w:rsidP="006534BB">
      <w:pPr>
        <w:spacing w:after="0" w:line="360" w:lineRule="auto"/>
        <w:ind w:right="49"/>
        <w:jc w:val="both"/>
        <w:rPr>
          <w:rFonts w:ascii="Palatino Linotype" w:hAnsi="Palatino Linotype" w:cs="Tahoma"/>
          <w:lang w:val="es-MX"/>
        </w:rPr>
      </w:pPr>
    </w:p>
    <w:p w14:paraId="7CC61BD9" w14:textId="41314FD7" w:rsidR="004D4830" w:rsidRPr="00C423EC" w:rsidRDefault="003D22C1" w:rsidP="00C423EC">
      <w:pPr>
        <w:spacing w:after="0" w:line="360" w:lineRule="auto"/>
        <w:ind w:left="567" w:right="567"/>
        <w:jc w:val="both"/>
        <w:rPr>
          <w:rFonts w:ascii="Palatino Linotype" w:hAnsi="Palatino Linotype" w:cs="Tahoma"/>
          <w:i/>
          <w:iCs/>
          <w:sz w:val="20"/>
          <w:szCs w:val="20"/>
          <w:lang w:val="es-MX"/>
        </w:rPr>
      </w:pPr>
      <w:r w:rsidRPr="00C423EC">
        <w:rPr>
          <w:rFonts w:ascii="Palatino Linotype" w:hAnsi="Palatino Linotype" w:cs="Tahoma"/>
          <w:i/>
          <w:iCs/>
          <w:sz w:val="20"/>
          <w:szCs w:val="20"/>
        </w:rPr>
        <w:t xml:space="preserve">211. A criterio de este Tribunal, el Estado no puede ampararse en la falta de prueba de la existencia de los documentos solicitados sino que, por el contrario, debe fundamentar la negativa a proveerlos, demostrando que ha adoptado todas las medidas a su alcance para comprobar que, efectivamente, la información solicitada no existía. Resulta esencial que, para garantizar el derecho a la información, los </w:t>
      </w:r>
      <w:r w:rsidRPr="00C423EC">
        <w:rPr>
          <w:rFonts w:ascii="Palatino Linotype" w:hAnsi="Palatino Linotype" w:cs="Tahoma"/>
          <w:i/>
          <w:iCs/>
          <w:sz w:val="20"/>
          <w:szCs w:val="20"/>
        </w:rPr>
        <w:lastRenderedPageBreak/>
        <w:t>poderes públicos actúen de buena fe y realicen diligentemente las acciones necesarias para asegurar la efectividad de ese derecho</w:t>
      </w:r>
      <w:r w:rsidR="00C423EC">
        <w:rPr>
          <w:rFonts w:ascii="Palatino Linotype" w:hAnsi="Palatino Linotype" w:cs="Tahoma"/>
          <w:i/>
          <w:iCs/>
          <w:sz w:val="20"/>
          <w:szCs w:val="20"/>
        </w:rPr>
        <w:t>.</w:t>
      </w:r>
    </w:p>
    <w:p w14:paraId="58FBB889" w14:textId="77777777" w:rsidR="003D22C1" w:rsidRDefault="003D22C1" w:rsidP="006534BB">
      <w:pPr>
        <w:spacing w:after="0" w:line="360" w:lineRule="auto"/>
        <w:ind w:right="49"/>
        <w:jc w:val="both"/>
        <w:rPr>
          <w:rFonts w:ascii="Palatino Linotype" w:hAnsi="Palatino Linotype" w:cs="Tahoma"/>
          <w:lang w:val="es-MX"/>
        </w:rPr>
      </w:pPr>
    </w:p>
    <w:p w14:paraId="225CED6E" w14:textId="77777777" w:rsidR="00AD27B9" w:rsidRDefault="005F43D9" w:rsidP="005D3BFF">
      <w:pPr>
        <w:spacing w:after="0" w:line="360" w:lineRule="auto"/>
        <w:ind w:right="49"/>
        <w:jc w:val="both"/>
        <w:rPr>
          <w:rFonts w:ascii="Palatino Linotype" w:hAnsi="Palatino Linotype" w:cs="Tahoma"/>
        </w:rPr>
      </w:pPr>
      <w:r>
        <w:rPr>
          <w:rFonts w:ascii="Palatino Linotype" w:hAnsi="Palatino Linotype" w:cs="Tahoma"/>
          <w:lang w:val="es-MX"/>
        </w:rPr>
        <w:t>En conclusión</w:t>
      </w:r>
      <w:r w:rsidR="001C4465">
        <w:rPr>
          <w:rFonts w:ascii="Palatino Linotype" w:hAnsi="Palatino Linotype" w:cs="Tahoma"/>
          <w:lang w:val="es-MX"/>
        </w:rPr>
        <w:t xml:space="preserve">, el </w:t>
      </w:r>
      <w:r w:rsidR="001C4465" w:rsidRPr="009D0CF8">
        <w:rPr>
          <w:rFonts w:ascii="Palatino Linotype" w:hAnsi="Palatino Linotype" w:cs="Tahoma"/>
          <w:lang w:val="es-MX"/>
        </w:rPr>
        <w:t>garantizar el derecho a la información</w:t>
      </w:r>
      <w:r w:rsidR="001C4465">
        <w:rPr>
          <w:rFonts w:ascii="Palatino Linotype" w:hAnsi="Palatino Linotype" w:cs="Tahoma"/>
          <w:lang w:val="es-MX"/>
        </w:rPr>
        <w:t xml:space="preserve"> implica que los sujetos obligados adopten medidas a su alcance para comprobar que</w:t>
      </w:r>
      <w:r w:rsidR="001C4465" w:rsidRPr="000100F6">
        <w:rPr>
          <w:rFonts w:ascii="Palatino Linotype" w:hAnsi="Palatino Linotype" w:cs="Tahoma"/>
          <w:i/>
          <w:iCs/>
        </w:rPr>
        <w:t xml:space="preserve">, </w:t>
      </w:r>
      <w:r w:rsidR="001C4465" w:rsidRPr="00241B42">
        <w:rPr>
          <w:rFonts w:ascii="Palatino Linotype" w:hAnsi="Palatino Linotype" w:cs="Tahoma"/>
        </w:rPr>
        <w:t xml:space="preserve">la información solicitada no </w:t>
      </w:r>
      <w:r w:rsidR="001C4465">
        <w:rPr>
          <w:rFonts w:ascii="Palatino Linotype" w:hAnsi="Palatino Linotype" w:cs="Tahoma"/>
        </w:rPr>
        <w:t>existe dentro de los archivos del Sujeto Obligado, esta actualice algún supuesto de clasificación, se encuentre disponible para su consulta en algún medio electrónico, o que se declare la incompetencia del sujeto obligado</w:t>
      </w:r>
      <w:r w:rsidR="00677763">
        <w:rPr>
          <w:rFonts w:ascii="Palatino Linotype" w:hAnsi="Palatino Linotype" w:cs="Tahoma"/>
        </w:rPr>
        <w:t xml:space="preserve">. Esto implica que </w:t>
      </w:r>
      <w:r w:rsidR="001C4465">
        <w:rPr>
          <w:rFonts w:ascii="Palatino Linotype" w:hAnsi="Palatino Linotype" w:cs="Tahoma"/>
        </w:rPr>
        <w:t xml:space="preserve">debe agotarse necesariamente el </w:t>
      </w:r>
      <w:r w:rsidR="001C4465" w:rsidRPr="00A27941">
        <w:rPr>
          <w:rFonts w:ascii="Palatino Linotype" w:hAnsi="Palatino Linotype" w:cs="Tahoma"/>
        </w:rPr>
        <w:t>“</w:t>
      </w:r>
      <w:r w:rsidR="001C4465" w:rsidRPr="00A27941">
        <w:rPr>
          <w:rFonts w:ascii="Palatino Linotype" w:hAnsi="Palatino Linotype" w:cs="Tahoma"/>
          <w:b/>
          <w:bCs/>
        </w:rPr>
        <w:t>procedimiento de búsqueda</w:t>
      </w:r>
      <w:r w:rsidR="001C4465" w:rsidRPr="00A27941">
        <w:rPr>
          <w:rFonts w:ascii="Palatino Linotype" w:hAnsi="Palatino Linotype" w:cs="Tahoma"/>
        </w:rPr>
        <w:t>”</w:t>
      </w:r>
      <w:r w:rsidR="001C4465">
        <w:rPr>
          <w:rFonts w:ascii="Palatino Linotype" w:hAnsi="Palatino Linotype" w:cs="Tahoma"/>
        </w:rPr>
        <w:t xml:space="preserve"> como una de las formalidades esenciales que rigen el Procedimiento de Acceso a la Información Pública</w:t>
      </w:r>
      <w:r w:rsidR="005D3BFF">
        <w:rPr>
          <w:rFonts w:ascii="Palatino Linotype" w:hAnsi="Palatino Linotype" w:cs="Tahoma"/>
        </w:rPr>
        <w:t xml:space="preserve">. </w:t>
      </w:r>
    </w:p>
    <w:p w14:paraId="68D0ACB2" w14:textId="77777777" w:rsidR="00AD27B9" w:rsidRDefault="00AD27B9" w:rsidP="005D3BFF">
      <w:pPr>
        <w:spacing w:after="0" w:line="360" w:lineRule="auto"/>
        <w:ind w:right="49"/>
        <w:jc w:val="both"/>
        <w:rPr>
          <w:rFonts w:ascii="Palatino Linotype" w:hAnsi="Palatino Linotype" w:cs="Tahoma"/>
        </w:rPr>
      </w:pPr>
    </w:p>
    <w:p w14:paraId="4729FEA8" w14:textId="360133D9" w:rsidR="004A14D1" w:rsidRDefault="006534BB" w:rsidP="005D3BFF">
      <w:pPr>
        <w:spacing w:after="0" w:line="360" w:lineRule="auto"/>
        <w:ind w:right="49"/>
        <w:jc w:val="both"/>
        <w:rPr>
          <w:rFonts w:ascii="Palatino Linotype" w:hAnsi="Palatino Linotype" w:cs="Tahoma"/>
          <w:lang w:val="es-MX"/>
        </w:rPr>
      </w:pPr>
      <w:r w:rsidRPr="00255AA8">
        <w:rPr>
          <w:rFonts w:ascii="Palatino Linotype" w:hAnsi="Palatino Linotype" w:cs="Tahoma"/>
          <w:lang w:val="es-MX"/>
        </w:rPr>
        <w:t>Así, con base en los razonamientos expuestos,</w:t>
      </w:r>
      <w:r>
        <w:rPr>
          <w:rFonts w:ascii="Palatino Linotype" w:hAnsi="Palatino Linotype" w:cs="Tahoma"/>
          <w:lang w:val="es-MX"/>
        </w:rPr>
        <w:t xml:space="preserve"> </w:t>
      </w:r>
      <w:r w:rsidRPr="00255AA8">
        <w:rPr>
          <w:rFonts w:ascii="Palatino Linotype" w:hAnsi="Palatino Linotype" w:cs="Tahoma"/>
          <w:lang w:val="es-MX"/>
        </w:rPr>
        <w:t xml:space="preserve">se emite el Presente </w:t>
      </w:r>
      <w:r w:rsidRPr="00274540">
        <w:rPr>
          <w:rFonts w:ascii="Palatino Linotype" w:hAnsi="Palatino Linotype" w:cs="Tahoma"/>
          <w:b/>
          <w:bCs/>
          <w:lang w:val="es-MX"/>
        </w:rPr>
        <w:t>Voto Disidente.</w:t>
      </w:r>
      <w:r>
        <w:rPr>
          <w:rFonts w:ascii="Palatino Linotype" w:hAnsi="Palatino Linotype" w:cs="Tahoma"/>
          <w:lang w:val="es-MX"/>
        </w:rPr>
        <w:t xml:space="preserve"> -----------</w:t>
      </w:r>
      <w:r w:rsidR="00B72320">
        <w:rPr>
          <w:rFonts w:ascii="Palatino Linotype" w:hAnsi="Palatino Linotype" w:cs="Tahoma"/>
          <w:lang w:val="es-MX"/>
        </w:rPr>
        <w:t>-------------------------------------------------------------------------------------------------------------------------------------------------------------------------------------------------------------------------------------------------------------</w:t>
      </w:r>
      <w:r>
        <w:rPr>
          <w:rFonts w:ascii="Palatino Linotype" w:hAnsi="Palatino Linotype" w:cs="Tahoma"/>
          <w:lang w:val="es-MX"/>
        </w:rPr>
        <w:t>------</w:t>
      </w:r>
      <w:r w:rsidR="004A14D1">
        <w:rPr>
          <w:rFonts w:ascii="Palatino Linotype" w:hAnsi="Palatino Linotype" w:cs="Tahoma"/>
          <w:lang w:val="es-MX"/>
        </w:rPr>
        <w:br w:type="page"/>
      </w:r>
    </w:p>
    <w:p w14:paraId="1F88F887" w14:textId="77777777" w:rsidR="0067671B" w:rsidRDefault="0067671B"/>
    <w:sectPr w:rsidR="0067671B" w:rsidSect="007B2260">
      <w:headerReference w:type="default" r:id="rId7"/>
      <w:footerReference w:type="default" r:id="rId8"/>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2D407" w14:textId="77777777" w:rsidR="00A35E51" w:rsidRDefault="00A35E51" w:rsidP="006534BB">
      <w:pPr>
        <w:spacing w:after="0" w:line="240" w:lineRule="auto"/>
      </w:pPr>
      <w:r>
        <w:separator/>
      </w:r>
    </w:p>
  </w:endnote>
  <w:endnote w:type="continuationSeparator" w:id="0">
    <w:p w14:paraId="011EC58D" w14:textId="77777777" w:rsidR="00A35E51" w:rsidRDefault="00A35E51" w:rsidP="0065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1A9530EA" w14:textId="77777777" w:rsidR="00AD27B9" w:rsidRDefault="00AD27B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73D2B">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3D2B">
              <w:rPr>
                <w:b/>
                <w:bCs/>
                <w:noProof/>
              </w:rPr>
              <w:t>5</w:t>
            </w:r>
            <w:r>
              <w:rPr>
                <w:b/>
                <w:bCs/>
                <w:sz w:val="24"/>
                <w:szCs w:val="24"/>
              </w:rPr>
              <w:fldChar w:fldCharType="end"/>
            </w:r>
          </w:p>
        </w:sdtContent>
      </w:sdt>
    </w:sdtContent>
  </w:sdt>
  <w:p w14:paraId="68824F61" w14:textId="77777777" w:rsidR="00AD27B9" w:rsidRDefault="00AD27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9465" w14:textId="77777777" w:rsidR="00A35E51" w:rsidRDefault="00A35E51" w:rsidP="006534BB">
      <w:pPr>
        <w:spacing w:after="0" w:line="240" w:lineRule="auto"/>
      </w:pPr>
      <w:r>
        <w:separator/>
      </w:r>
    </w:p>
  </w:footnote>
  <w:footnote w:type="continuationSeparator" w:id="0">
    <w:p w14:paraId="7CB6CCA0" w14:textId="77777777" w:rsidR="00A35E51" w:rsidRDefault="00A35E51" w:rsidP="00653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7B2260" w:rsidRPr="007B2260" w14:paraId="3826A243" w14:textId="77777777" w:rsidTr="007B2260">
      <w:trPr>
        <w:trHeight w:val="132"/>
      </w:trPr>
      <w:tc>
        <w:tcPr>
          <w:tcW w:w="2551" w:type="dxa"/>
        </w:tcPr>
        <w:p w14:paraId="3211D421" w14:textId="77777777" w:rsidR="00AD27B9" w:rsidRPr="007B2260" w:rsidRDefault="00AD27B9"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Voto Disidente</w:t>
          </w:r>
        </w:p>
      </w:tc>
      <w:tc>
        <w:tcPr>
          <w:tcW w:w="3544" w:type="dxa"/>
        </w:tcPr>
        <w:p w14:paraId="7103C197" w14:textId="77777777" w:rsidR="00AD27B9" w:rsidRPr="007B2260" w:rsidRDefault="00AD27B9" w:rsidP="007B2260">
          <w:pPr>
            <w:tabs>
              <w:tab w:val="right" w:pos="8838"/>
            </w:tabs>
            <w:ind w:left="-111" w:right="-32"/>
            <w:rPr>
              <w:rFonts w:ascii="Palatino Linotype" w:eastAsia="Calibri" w:hAnsi="Palatino Linotype" w:cs="Tahoma"/>
              <w:lang w:val="es-MX"/>
            </w:rPr>
          </w:pPr>
        </w:p>
      </w:tc>
    </w:tr>
    <w:tr w:rsidR="007B2260" w:rsidRPr="007B2260" w14:paraId="462F6EAB" w14:textId="77777777" w:rsidTr="007B2260">
      <w:trPr>
        <w:trHeight w:val="132"/>
      </w:trPr>
      <w:tc>
        <w:tcPr>
          <w:tcW w:w="2551" w:type="dxa"/>
        </w:tcPr>
        <w:p w14:paraId="3D2BA71A" w14:textId="77777777" w:rsidR="00AD27B9" w:rsidRPr="007B2260" w:rsidRDefault="00AD27B9"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3544" w:type="dxa"/>
        </w:tcPr>
        <w:p w14:paraId="4EB66437" w14:textId="489E34B1" w:rsidR="00AD27B9" w:rsidRPr="007B2260" w:rsidRDefault="006534BB" w:rsidP="006534BB">
          <w:pPr>
            <w:tabs>
              <w:tab w:val="right" w:pos="8838"/>
            </w:tabs>
            <w:ind w:left="-111" w:right="-32"/>
            <w:rPr>
              <w:rFonts w:ascii="Palatino Linotype" w:eastAsia="Calibri" w:hAnsi="Palatino Linotype" w:cs="Tahoma"/>
            </w:rPr>
          </w:pPr>
          <w:r w:rsidRPr="006534BB">
            <w:rPr>
              <w:rFonts w:ascii="Palatino Linotype" w:eastAsia="Calibri" w:hAnsi="Palatino Linotype" w:cs="Tahoma"/>
              <w:lang w:val="es-MX"/>
            </w:rPr>
            <w:t xml:space="preserve">15875/INFOEM/IP/RR/2022 y </w:t>
          </w:r>
          <w:r>
            <w:rPr>
              <w:rFonts w:ascii="Palatino Linotype" w:eastAsia="Calibri" w:hAnsi="Palatino Linotype" w:cs="Tahoma"/>
              <w:lang w:val="es-MX"/>
            </w:rPr>
            <w:t>a</w:t>
          </w:r>
          <w:r w:rsidRPr="006534BB">
            <w:rPr>
              <w:rFonts w:ascii="Palatino Linotype" w:eastAsia="Calibri" w:hAnsi="Palatino Linotype" w:cs="Tahoma"/>
              <w:lang w:val="es-MX"/>
            </w:rPr>
            <w:t>cumulado</w:t>
          </w:r>
        </w:p>
      </w:tc>
    </w:tr>
    <w:tr w:rsidR="007B2260" w:rsidRPr="007B2260" w14:paraId="74C04E67" w14:textId="77777777" w:rsidTr="007B2260">
      <w:trPr>
        <w:trHeight w:val="261"/>
      </w:trPr>
      <w:tc>
        <w:tcPr>
          <w:tcW w:w="2551" w:type="dxa"/>
        </w:tcPr>
        <w:p w14:paraId="24B5640C" w14:textId="77777777" w:rsidR="00AD27B9" w:rsidRPr="007B2260" w:rsidRDefault="00AD27B9"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3544" w:type="dxa"/>
        </w:tcPr>
        <w:p w14:paraId="5DCBF69A" w14:textId="5F601670" w:rsidR="00AD27B9" w:rsidRPr="007B2260" w:rsidRDefault="006534BB" w:rsidP="007B2260">
          <w:pPr>
            <w:tabs>
              <w:tab w:val="right" w:pos="8838"/>
            </w:tabs>
            <w:ind w:left="-111" w:right="-32"/>
            <w:rPr>
              <w:rFonts w:ascii="Palatino Linotype" w:eastAsia="Calibri" w:hAnsi="Palatino Linotype" w:cs="Tahoma"/>
              <w:lang w:val="es-MX"/>
            </w:rPr>
          </w:pPr>
          <w:r w:rsidRPr="006534BB">
            <w:rPr>
              <w:rFonts w:ascii="Palatino Linotype" w:eastAsia="Calibri" w:hAnsi="Palatino Linotype" w:cs="Tahoma"/>
              <w:lang w:val="es-MX"/>
            </w:rPr>
            <w:t>Universidad Autónoma del Estado de México</w:t>
          </w:r>
        </w:p>
      </w:tc>
    </w:tr>
    <w:tr w:rsidR="007B2260" w:rsidRPr="007B2260" w14:paraId="1FEF3004" w14:textId="77777777" w:rsidTr="007B2260">
      <w:trPr>
        <w:trHeight w:val="261"/>
      </w:trPr>
      <w:tc>
        <w:tcPr>
          <w:tcW w:w="2551" w:type="dxa"/>
        </w:tcPr>
        <w:p w14:paraId="108CCB2B" w14:textId="77777777" w:rsidR="00AD27B9" w:rsidRPr="007B2260" w:rsidRDefault="00AD27B9"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3544" w:type="dxa"/>
        </w:tcPr>
        <w:p w14:paraId="5BB3E89A" w14:textId="6F3B14EA" w:rsidR="00AD27B9" w:rsidRPr="007B2260" w:rsidRDefault="006534BB" w:rsidP="007B2260">
          <w:pPr>
            <w:tabs>
              <w:tab w:val="right" w:pos="8838"/>
            </w:tabs>
            <w:ind w:left="-111" w:right="-32"/>
            <w:rPr>
              <w:rFonts w:ascii="Palatino Linotype" w:eastAsia="Calibri" w:hAnsi="Palatino Linotype" w:cs="Tahoma"/>
              <w:bCs/>
              <w:lang w:val="es-MX"/>
            </w:rPr>
          </w:pPr>
          <w:r w:rsidRPr="006534BB">
            <w:rPr>
              <w:rFonts w:ascii="Palatino Linotype" w:eastAsia="Calibri" w:hAnsi="Palatino Linotype" w:cs="Tahoma"/>
              <w:bCs/>
              <w:lang w:val="es-ES_tradnl"/>
            </w:rPr>
            <w:t xml:space="preserve">José Martínez Vilchis </w:t>
          </w:r>
        </w:p>
      </w:tc>
    </w:tr>
  </w:tbl>
  <w:p w14:paraId="3611DBA7" w14:textId="77777777" w:rsidR="00AD27B9" w:rsidRDefault="00AD27B9">
    <w:pPr>
      <w:pStyle w:val="Encabezado"/>
    </w:pPr>
    <w:r>
      <w:rPr>
        <w:noProof/>
        <w:sz w:val="10"/>
        <w:szCs w:val="10"/>
        <w:lang w:val="es-MX" w:eastAsia="es-MX"/>
      </w:rPr>
      <w:drawing>
        <wp:anchor distT="0" distB="0" distL="114300" distR="114300" simplePos="0" relativeHeight="251660288" behindDoc="0" locked="0" layoutInCell="1" allowOverlap="1" wp14:anchorId="3E11CCFB" wp14:editId="4BF19AD1">
          <wp:simplePos x="0" y="0"/>
          <wp:positionH relativeFrom="column">
            <wp:posOffset>-150495</wp:posOffset>
          </wp:positionH>
          <wp:positionV relativeFrom="paragraph">
            <wp:posOffset>-1400175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BB"/>
    <w:rsid w:val="000100F6"/>
    <w:rsid w:val="00047731"/>
    <w:rsid w:val="00050BC6"/>
    <w:rsid w:val="00054B59"/>
    <w:rsid w:val="00070C0C"/>
    <w:rsid w:val="000B2921"/>
    <w:rsid w:val="00121D36"/>
    <w:rsid w:val="001A1E9F"/>
    <w:rsid w:val="001B18B2"/>
    <w:rsid w:val="001C29E6"/>
    <w:rsid w:val="001C4465"/>
    <w:rsid w:val="001C60BE"/>
    <w:rsid w:val="001F39C0"/>
    <w:rsid w:val="00241B42"/>
    <w:rsid w:val="00247EA9"/>
    <w:rsid w:val="00263499"/>
    <w:rsid w:val="002C46E3"/>
    <w:rsid w:val="002E18C0"/>
    <w:rsid w:val="002F7326"/>
    <w:rsid w:val="0034788C"/>
    <w:rsid w:val="003901F1"/>
    <w:rsid w:val="003C58CF"/>
    <w:rsid w:val="003D22C1"/>
    <w:rsid w:val="003D297A"/>
    <w:rsid w:val="004178A2"/>
    <w:rsid w:val="004450D2"/>
    <w:rsid w:val="004609E1"/>
    <w:rsid w:val="00470D43"/>
    <w:rsid w:val="004A14D1"/>
    <w:rsid w:val="004A5A38"/>
    <w:rsid w:val="004D3D2D"/>
    <w:rsid w:val="004D4830"/>
    <w:rsid w:val="004E4C59"/>
    <w:rsid w:val="0055215D"/>
    <w:rsid w:val="005D3BFF"/>
    <w:rsid w:val="005F43D9"/>
    <w:rsid w:val="006118DF"/>
    <w:rsid w:val="00620EFA"/>
    <w:rsid w:val="0064718F"/>
    <w:rsid w:val="006534BB"/>
    <w:rsid w:val="0067671B"/>
    <w:rsid w:val="00677763"/>
    <w:rsid w:val="00707764"/>
    <w:rsid w:val="0074348F"/>
    <w:rsid w:val="00766F5B"/>
    <w:rsid w:val="0077390F"/>
    <w:rsid w:val="00774529"/>
    <w:rsid w:val="007B0856"/>
    <w:rsid w:val="007B75B8"/>
    <w:rsid w:val="00801070"/>
    <w:rsid w:val="0082558D"/>
    <w:rsid w:val="00832346"/>
    <w:rsid w:val="0085548A"/>
    <w:rsid w:val="00873D2B"/>
    <w:rsid w:val="008A1C55"/>
    <w:rsid w:val="008B0510"/>
    <w:rsid w:val="008D6814"/>
    <w:rsid w:val="008E1A3A"/>
    <w:rsid w:val="008E308F"/>
    <w:rsid w:val="00907196"/>
    <w:rsid w:val="009265FD"/>
    <w:rsid w:val="00963427"/>
    <w:rsid w:val="00993756"/>
    <w:rsid w:val="009D0CF8"/>
    <w:rsid w:val="009F1C2F"/>
    <w:rsid w:val="00A2561B"/>
    <w:rsid w:val="00A27941"/>
    <w:rsid w:val="00A34AB2"/>
    <w:rsid w:val="00A35E51"/>
    <w:rsid w:val="00A66D51"/>
    <w:rsid w:val="00A754B0"/>
    <w:rsid w:val="00A805FD"/>
    <w:rsid w:val="00A9464C"/>
    <w:rsid w:val="00AD0A25"/>
    <w:rsid w:val="00AD27B9"/>
    <w:rsid w:val="00AD3DE6"/>
    <w:rsid w:val="00B72320"/>
    <w:rsid w:val="00B82B71"/>
    <w:rsid w:val="00C0034A"/>
    <w:rsid w:val="00C423EC"/>
    <w:rsid w:val="00CC1667"/>
    <w:rsid w:val="00CE516B"/>
    <w:rsid w:val="00D03C3A"/>
    <w:rsid w:val="00D3200E"/>
    <w:rsid w:val="00D50C41"/>
    <w:rsid w:val="00D73B59"/>
    <w:rsid w:val="00D81C01"/>
    <w:rsid w:val="00DB36A7"/>
    <w:rsid w:val="00DC0B9F"/>
    <w:rsid w:val="00DE2C4C"/>
    <w:rsid w:val="00DE7D82"/>
    <w:rsid w:val="00E0357D"/>
    <w:rsid w:val="00E15906"/>
    <w:rsid w:val="00E56D4D"/>
    <w:rsid w:val="00E730FE"/>
    <w:rsid w:val="00E8006C"/>
    <w:rsid w:val="00EE19E7"/>
    <w:rsid w:val="00EF37E0"/>
    <w:rsid w:val="00F12506"/>
    <w:rsid w:val="00F272F9"/>
    <w:rsid w:val="00F57C90"/>
    <w:rsid w:val="00F70948"/>
    <w:rsid w:val="00F971F5"/>
    <w:rsid w:val="00FB2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6010"/>
  <w15:chartTrackingRefBased/>
  <w15:docId w15:val="{27CD07C1-4E11-447B-9BA9-93AFB88C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4BB"/>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34BB"/>
    <w:rPr>
      <w:kern w:val="0"/>
      <w:lang w:val="es-ES"/>
      <w14:ligatures w14:val="none"/>
    </w:rPr>
  </w:style>
  <w:style w:type="paragraph" w:styleId="Piedepgina">
    <w:name w:val="footer"/>
    <w:basedOn w:val="Normal"/>
    <w:link w:val="PiedepginaCar"/>
    <w:uiPriority w:val="99"/>
    <w:unhideWhenUsed/>
    <w:rsid w:val="00653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34BB"/>
    <w:rPr>
      <w:kern w:val="0"/>
      <w:lang w:val="es-ES"/>
      <w14:ligatures w14:val="none"/>
    </w:rPr>
  </w:style>
  <w:style w:type="table" w:styleId="Tablaconcuadrcula">
    <w:name w:val="Table Grid"/>
    <w:basedOn w:val="Tablanormal"/>
    <w:uiPriority w:val="59"/>
    <w:qFormat/>
    <w:rsid w:val="006534BB"/>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F7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7</cp:revision>
  <dcterms:created xsi:type="dcterms:W3CDTF">2023-07-31T17:22:00Z</dcterms:created>
  <dcterms:modified xsi:type="dcterms:W3CDTF">2023-07-31T17:31:00Z</dcterms:modified>
</cp:coreProperties>
</file>