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67" w:rsidRDefault="00CE3765">
      <w:pPr>
        <w:spacing w:after="0" w:line="360" w:lineRule="auto"/>
        <w:ind w:right="139"/>
        <w:jc w:val="both"/>
        <w:rPr>
          <w:rFonts w:ascii="Palatino Linotype" w:eastAsia="Palatino Linotype" w:hAnsi="Palatino Linotype" w:cs="Palatino Linotype"/>
          <w:b/>
        </w:rPr>
      </w:pPr>
      <w:bookmarkStart w:id="0" w:name="_heading=h.30j0zll" w:colFirst="0" w:colLast="0"/>
      <w:bookmarkStart w:id="1" w:name="_GoBack"/>
      <w:bookmarkEnd w:id="0"/>
      <w:bookmarkEnd w:id="1"/>
      <w:r>
        <w:rPr>
          <w:rFonts w:ascii="Palatino Linotype" w:eastAsia="Palatino Linotype" w:hAnsi="Palatino Linotype" w:cs="Palatino Linotype"/>
          <w:b/>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SEGUNDA SESIÓN ORDINARIA CELEBRADA EL DIECIOCHO DE ENERO DE DOS MIL VEINTITRÉS, EN EL RECURSO DE REVISIÓN 08761/INFOEM/IP/RR/2022. </w:t>
      </w:r>
    </w:p>
    <w:p w:rsidR="00182767" w:rsidRDefault="00182767">
      <w:pPr>
        <w:spacing w:after="0" w:line="360" w:lineRule="auto"/>
        <w:ind w:right="139"/>
        <w:jc w:val="both"/>
        <w:rPr>
          <w:rFonts w:ascii="Palatino Linotype" w:eastAsia="Palatino Linotype" w:hAnsi="Palatino Linotype" w:cs="Palatino Linotype"/>
          <w:b/>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 que suscribe, Guadalupe Ramírez Peña, emite </w:t>
      </w:r>
      <w:r>
        <w:rPr>
          <w:rFonts w:ascii="Palatino Linotype" w:eastAsia="Palatino Linotype" w:hAnsi="Palatino Linotype" w:cs="Palatino Linotype"/>
          <w:b/>
        </w:rPr>
        <w:t>VOTO DISIDENTE</w:t>
      </w:r>
      <w:r>
        <w:rPr>
          <w:rFonts w:ascii="Palatino Linotype" w:eastAsia="Palatino Linotype" w:hAnsi="Palatino Linotype" w:cs="Palatino Linotype"/>
        </w:rPr>
        <w:t xml:space="preserve"> respecto a la resolución dictada en el recurso de revisión número </w:t>
      </w:r>
      <w:r>
        <w:rPr>
          <w:rFonts w:ascii="Palatino Linotype" w:eastAsia="Palatino Linotype" w:hAnsi="Palatino Linotype" w:cs="Palatino Linotype"/>
          <w:b/>
        </w:rPr>
        <w:t>08761/INFOEM/IP/RR/2022</w:t>
      </w:r>
      <w:r>
        <w:rPr>
          <w:rFonts w:ascii="Palatino Linotype" w:eastAsia="Palatino Linotype" w:hAnsi="Palatino Linotype" w:cs="Palatino Linotype"/>
        </w:rPr>
        <w:t xml:space="preserve">, pronunciada por el Pleno de este Instituto ante el proyecto presentado por el Comisionado Luis Gustavo Parra Noriega, al tenor siguiente: </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b/>
        </w:rPr>
        <w:t>I. Antecedentes.</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Como quedó debidamente asentado en la resolución, materia del presente voto disidente la pretensión de la persona solicitante, a través de una solicitud de información número </w:t>
      </w:r>
      <w:r>
        <w:rPr>
          <w:rFonts w:ascii="Palatino Linotype" w:eastAsia="Palatino Linotype" w:hAnsi="Palatino Linotype" w:cs="Palatino Linotype"/>
          <w:b/>
        </w:rPr>
        <w:t>00173/VABRAVO/IP/2022</w:t>
      </w:r>
      <w:r>
        <w:rPr>
          <w:rFonts w:ascii="Palatino Linotype" w:eastAsia="Palatino Linotype" w:hAnsi="Palatino Linotype" w:cs="Palatino Linotype"/>
        </w:rPr>
        <w:t xml:space="preserve"> era obtener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información relativa al cargo, salario, título profesional, currículum vitae y nombramiento de dos servidores públicos.   </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mediante el Titular de la Unidad de Información, Planeación, Programación y Evaluación del Sistema Municipal para el Desarrollo Integral </w:t>
      </w:r>
      <w:r>
        <w:rPr>
          <w:rFonts w:ascii="Palatino Linotype" w:eastAsia="Palatino Linotype" w:hAnsi="Palatino Linotype" w:cs="Palatino Linotype"/>
        </w:rPr>
        <w:lastRenderedPageBreak/>
        <w:t>de la Familia de Valle de Bravo refirió que la Coordinación de Recursos Humanos del Sistema DIF no tenía registro de las personas mencionadas.</w:t>
      </w:r>
    </w:p>
    <w:p w:rsidR="00182767" w:rsidRDefault="00182767">
      <w:pPr>
        <w:spacing w:after="0" w:line="360" w:lineRule="auto"/>
        <w:jc w:val="both"/>
        <w:rPr>
          <w:rFonts w:ascii="Palatino Linotype" w:eastAsia="Palatino Linotype" w:hAnsi="Palatino Linotype" w:cs="Palatino Linotype"/>
        </w:rPr>
      </w:pPr>
    </w:p>
    <w:p w:rsidR="00182767" w:rsidRDefault="00CE376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el Particular se inconformó arguyendo que la información la había solicitado al Ayuntamiento, no únicamente al Sistema Municipal. </w:t>
      </w:r>
    </w:p>
    <w:p w:rsidR="00182767" w:rsidRDefault="00182767">
      <w:pPr>
        <w:spacing w:after="0" w:line="360" w:lineRule="auto"/>
        <w:jc w:val="both"/>
        <w:rPr>
          <w:rFonts w:ascii="Palatino Linotype" w:eastAsia="Palatino Linotype" w:hAnsi="Palatino Linotype" w:cs="Palatino Linotype"/>
          <w:b/>
        </w:rPr>
      </w:pPr>
    </w:p>
    <w:p w:rsidR="00182767" w:rsidRDefault="00CE3765">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que, por su parte, el Sujeto Obligado a través del Coordinador de Recursos Humanos del Ayuntamiento mencionó que después de realizada una búsqueda en la Coordinación de Administración no se había encontrado información alguna de las personas referidas en la solicitud de información </w:t>
      </w:r>
    </w:p>
    <w:p w:rsidR="00182767" w:rsidRDefault="00182767">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182767" w:rsidRDefault="00CE3765">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 Ponencia Resolutora consistió en que, derivado de una investigación realizada, se había localizado el Acta de la Segunda Sesión Ordinaria del Comité Interno de Mejora Regulatoria del Sistema Municipal para el Desarrollo Integral de la Familia de Valle de Bravo, en la que se advertían nombres similares a los que había proporcionado el Recurrente en su solicitud de información. </w:t>
      </w:r>
    </w:p>
    <w:p w:rsidR="00182767" w:rsidRDefault="00CE3765">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Sin embargo, también se advirtió que los nombres referidos en la solicitud se encontraban incorrectos, por lo que, la Ponencia Resolutora consideró que el Sujeto Obligado debía efectuar una búsqueda exhaustiva y razonable de la información solicitada de los servidores públicos que constaban en el Acta de la Segunda Sesión Ordinaria del Comité Interno de Mejora Regulatoria y entregarla al Particular. </w:t>
      </w:r>
    </w:p>
    <w:p w:rsidR="00182767" w:rsidRDefault="00182767">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182767" w:rsidRDefault="00CE3765">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Por ello, determinó revocar la respuesta del Ayuntamiento y ordenar lo siguiente:</w:t>
      </w:r>
    </w:p>
    <w:p w:rsidR="00182767" w:rsidRDefault="00182767">
      <w:pPr>
        <w:pBdr>
          <w:top w:val="nil"/>
          <w:left w:val="nil"/>
          <w:bottom w:val="nil"/>
          <w:right w:val="nil"/>
          <w:between w:val="nil"/>
        </w:pBdr>
        <w:spacing w:after="0" w:line="360" w:lineRule="auto"/>
        <w:ind w:right="616"/>
        <w:jc w:val="both"/>
        <w:rPr>
          <w:rFonts w:ascii="Palatino Linotype" w:eastAsia="Palatino Linotype" w:hAnsi="Palatino Linotype" w:cs="Palatino Linotype"/>
        </w:rPr>
      </w:pPr>
    </w:p>
    <w:p w:rsidR="00182767" w:rsidRDefault="00CE3765">
      <w:pPr>
        <w:numPr>
          <w:ilvl w:val="0"/>
          <w:numId w:val="2"/>
        </w:numPr>
        <w:pBdr>
          <w:top w:val="nil"/>
          <w:left w:val="nil"/>
          <w:bottom w:val="nil"/>
          <w:right w:val="nil"/>
          <w:between w:val="nil"/>
        </w:pBdr>
        <w:spacing w:after="0"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Del Director General y Procuradora Municipal de Protección de Niñas, Niños y Adolescentes, del Sistema Municipal para el Desarrollo Integral de la Familia de Valle de Bravo, al nueve de mayo de dos mil veintidós, los documentos donde conste lo siguiente:</w:t>
      </w:r>
    </w:p>
    <w:p w:rsidR="00182767" w:rsidRDefault="00182767">
      <w:pPr>
        <w:spacing w:after="0" w:line="360" w:lineRule="auto"/>
        <w:ind w:right="616"/>
        <w:jc w:val="both"/>
        <w:rPr>
          <w:rFonts w:ascii="Palatino Linotype" w:eastAsia="Palatino Linotype" w:hAnsi="Palatino Linotype" w:cs="Palatino Linotype"/>
          <w:i/>
        </w:rPr>
      </w:pPr>
    </w:p>
    <w:p w:rsidR="00182767" w:rsidRDefault="00CE3765">
      <w:pPr>
        <w:numPr>
          <w:ilvl w:val="0"/>
          <w:numId w:val="1"/>
        </w:numPr>
        <w:pBdr>
          <w:top w:val="nil"/>
          <w:left w:val="nil"/>
          <w:bottom w:val="nil"/>
          <w:right w:val="nil"/>
          <w:between w:val="nil"/>
        </w:pBdr>
        <w:spacing w:after="0"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Cargo;</w:t>
      </w:r>
    </w:p>
    <w:p w:rsidR="00182767" w:rsidRDefault="00CE3765">
      <w:pPr>
        <w:numPr>
          <w:ilvl w:val="0"/>
          <w:numId w:val="1"/>
        </w:numPr>
        <w:pBdr>
          <w:top w:val="nil"/>
          <w:left w:val="nil"/>
          <w:bottom w:val="nil"/>
          <w:right w:val="nil"/>
          <w:between w:val="nil"/>
        </w:pBdr>
        <w:spacing w:after="0"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Remuneraciones y percepciones pagadas, en la primera y segunda quincena de abril de dos mil veintidós;</w:t>
      </w:r>
    </w:p>
    <w:p w:rsidR="00182767" w:rsidRDefault="00CE3765">
      <w:pPr>
        <w:numPr>
          <w:ilvl w:val="0"/>
          <w:numId w:val="1"/>
        </w:numPr>
        <w:pBdr>
          <w:top w:val="nil"/>
          <w:left w:val="nil"/>
          <w:bottom w:val="nil"/>
          <w:right w:val="nil"/>
          <w:between w:val="nil"/>
        </w:pBdr>
        <w:spacing w:after="0"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Título profesional;</w:t>
      </w:r>
    </w:p>
    <w:p w:rsidR="00182767" w:rsidRDefault="00CE3765">
      <w:pPr>
        <w:numPr>
          <w:ilvl w:val="0"/>
          <w:numId w:val="1"/>
        </w:numPr>
        <w:pBdr>
          <w:top w:val="nil"/>
          <w:left w:val="nil"/>
          <w:bottom w:val="nil"/>
          <w:right w:val="nil"/>
          <w:between w:val="nil"/>
        </w:pBdr>
        <w:spacing w:after="0"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Información curricular, y </w:t>
      </w:r>
    </w:p>
    <w:p w:rsidR="00182767" w:rsidRDefault="00CE3765">
      <w:pPr>
        <w:numPr>
          <w:ilvl w:val="0"/>
          <w:numId w:val="1"/>
        </w:numPr>
        <w:pBdr>
          <w:top w:val="nil"/>
          <w:left w:val="nil"/>
          <w:bottom w:val="nil"/>
          <w:right w:val="nil"/>
          <w:between w:val="nil"/>
        </w:pBdr>
        <w:spacing w:after="0"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Nombramiento.</w:t>
      </w:r>
    </w:p>
    <w:p w:rsidR="00182767" w:rsidRDefault="00182767">
      <w:pPr>
        <w:widowControl w:val="0"/>
        <w:spacing w:after="0" w:line="360" w:lineRule="auto"/>
        <w:ind w:right="616"/>
        <w:jc w:val="both"/>
        <w:rPr>
          <w:rFonts w:ascii="Palatino Linotype" w:eastAsia="Palatino Linotype" w:hAnsi="Palatino Linotype" w:cs="Palatino Linotype"/>
          <w:i/>
        </w:rPr>
      </w:pPr>
    </w:p>
    <w:p w:rsidR="00182767" w:rsidRDefault="00CE3765">
      <w:pPr>
        <w:spacing w:line="360" w:lineRule="auto"/>
        <w:ind w:left="426"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w:t>
      </w:r>
      <w:r>
        <w:rPr>
          <w:rFonts w:ascii="Palatino Linotype" w:eastAsia="Palatino Linotype" w:hAnsi="Palatino Linotype" w:cs="Palatino Linotype"/>
          <w:i/>
        </w:rPr>
        <w:lastRenderedPageBreak/>
        <w:t>fracción II de la Ley de Transparencia y Acceso a la Información Pública del Estado de México y Municipios.</w:t>
      </w:r>
    </w:p>
    <w:p w:rsidR="00182767" w:rsidRDefault="00CE3765">
      <w:pPr>
        <w:spacing w:line="360" w:lineRule="auto"/>
        <w:ind w:left="426" w:right="616"/>
        <w:jc w:val="both"/>
        <w:rPr>
          <w:rFonts w:ascii="Palatino Linotype" w:eastAsia="Palatino Linotype" w:hAnsi="Palatino Linotype" w:cs="Palatino Linotype"/>
          <w:i/>
        </w:rPr>
      </w:pPr>
      <w:r>
        <w:rPr>
          <w:rFonts w:ascii="Palatino Linotype" w:eastAsia="Palatino Linotype" w:hAnsi="Palatino Linotype" w:cs="Palatino Linotype"/>
          <w:i/>
        </w:rPr>
        <w:t>Para el caso, que no se localice el Título profesional del Director General referido, al no ser requisito legal, deberá hacerlo del conocimiento del Recurrente, de manera clara y precisa.</w:t>
      </w:r>
    </w:p>
    <w:p w:rsidR="00182767" w:rsidRDefault="00182767">
      <w:pPr>
        <w:pBdr>
          <w:top w:val="nil"/>
          <w:left w:val="nil"/>
          <w:bottom w:val="nil"/>
          <w:right w:val="nil"/>
          <w:between w:val="nil"/>
        </w:pBdr>
        <w:tabs>
          <w:tab w:val="left" w:pos="2670"/>
        </w:tabs>
        <w:spacing w:after="0" w:line="360" w:lineRule="auto"/>
        <w:ind w:right="139"/>
        <w:jc w:val="both"/>
        <w:rPr>
          <w:rFonts w:ascii="Palatino Linotype" w:eastAsia="Palatino Linotype" w:hAnsi="Palatino Linotype" w:cs="Palatino Linotype"/>
        </w:rPr>
      </w:pPr>
    </w:p>
    <w:p w:rsidR="00182767" w:rsidRDefault="00CE3765">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realizo las siguientes consideraciones. </w:t>
      </w:r>
    </w:p>
    <w:p w:rsidR="00182767" w:rsidRDefault="00182767">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II. Razones del Voto Disidente. </w:t>
      </w:r>
    </w:p>
    <w:p w:rsidR="00182767" w:rsidRDefault="00182767">
      <w:pPr>
        <w:spacing w:after="0" w:line="360" w:lineRule="auto"/>
        <w:ind w:right="539"/>
        <w:jc w:val="both"/>
        <w:rPr>
          <w:rFonts w:ascii="Palatino Linotype" w:eastAsia="Palatino Linotype" w:hAnsi="Palatino Linotype" w:cs="Palatino Linotype"/>
          <w:b/>
          <w:highlight w:val="red"/>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generales es de señalar que no se comparte el sentido de la resolución emitida por el Comisionado, debido a que, el Particular realizó una solicitud de información puntualizando dos nombres, situación por la que el Sujeto Obligado realizó una búsqueda de la información y refirió que </w:t>
      </w:r>
      <w:r>
        <w:rPr>
          <w:rFonts w:ascii="Palatino Linotype" w:eastAsia="Palatino Linotype" w:hAnsi="Palatino Linotype" w:cs="Palatino Linotype"/>
          <w:b/>
        </w:rPr>
        <w:t>no se había localizado información al respecto</w:t>
      </w:r>
      <w:r>
        <w:rPr>
          <w:rFonts w:ascii="Palatino Linotype" w:eastAsia="Palatino Linotype" w:hAnsi="Palatino Linotype" w:cs="Palatino Linotype"/>
        </w:rPr>
        <w:t xml:space="preserve">. </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si bien, mediante respuesta se pronunció el servidor público competente del Sistema Municipal DIF, situación por la cual el Particular se inconformó, también lo es que, el Ayuntamiento de Valle de Bravo mediante informe justificado remitió la respuesta del Coordinador de Recursos Humanos del Ayuntamiento, quien también refirió que no había localizado información de las personas mencionadas en la solicitud. </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al haberse pronunciado las áreas administrativas competentes del Sujeto Obligado y al haber referido que no se había localizado información de las personas </w:t>
      </w:r>
      <w:r>
        <w:rPr>
          <w:rFonts w:ascii="Palatino Linotype" w:eastAsia="Palatino Linotype" w:hAnsi="Palatino Linotype" w:cs="Palatino Linotype"/>
        </w:rPr>
        <w:lastRenderedPageBreak/>
        <w:t>mencionadas es que, la Ponencia Resolutora debió sobreseer el Recurso de Revisión, en atención a lo que establece el artículo 12 de la Ley de Transparencia y Acceso a la Información Pública del Estado de México y Municipios, que a la letra señala que:</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rsidR="00182767" w:rsidRDefault="00182767">
      <w:pPr>
        <w:spacing w:after="0" w:line="276" w:lineRule="auto"/>
        <w:ind w:left="567" w:right="900"/>
        <w:jc w:val="both"/>
        <w:rPr>
          <w:rFonts w:ascii="Palatino Linotype" w:eastAsia="Palatino Linotype" w:hAnsi="Palatino Linotype" w:cs="Palatino Linotype"/>
          <w:i/>
        </w:rPr>
      </w:pPr>
    </w:p>
    <w:p w:rsidR="00182767" w:rsidRDefault="00CE3765">
      <w:pPr>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La obligación de proporcionar información no comprende el procesamiento de la misma, ni el presentarla conforme al interés del solicitante; no estarán obligados a generarla, resumirla, efectuar cálculos o practicar investigaciones.</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Por lo que, los sujetos obligados, únicamente están constreñidos a proporcionar la información que obre en sus archivos y en el estado en que esta se encuentre, por lo que, no están obligados a practicar investigaciones.</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al considerar que se debió sobreseer el recurso de revisión, toda vez que el Sujeto Obligado mediante informe justificado atendió la solicitud de información y resarció los agravios hechos valer por el Recurrente; la Suscrita no comparte la resolución emitida y, es por ello que, formula el presente voto disidente. </w:t>
      </w: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182767" w:rsidRDefault="00182767">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bookmarkStart w:id="2" w:name="_heading=h.gjdgxs" w:colFirst="0" w:colLast="0"/>
      <w:bookmarkEnd w:id="2"/>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p w:rsidR="00182767" w:rsidRDefault="00182767">
      <w:pPr>
        <w:spacing w:after="0" w:line="360" w:lineRule="auto"/>
        <w:ind w:right="139"/>
        <w:jc w:val="both"/>
        <w:rPr>
          <w:rFonts w:ascii="Palatino Linotype" w:eastAsia="Palatino Linotype" w:hAnsi="Palatino Linotype" w:cs="Palatino Linotype"/>
        </w:rPr>
      </w:pPr>
    </w:p>
    <w:sectPr w:rsidR="00182767">
      <w:headerReference w:type="default" r:id="rId8"/>
      <w:footerReference w:type="default" r:id="rId9"/>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C54" w:rsidRDefault="00CE3765">
      <w:pPr>
        <w:spacing w:after="0" w:line="240" w:lineRule="auto"/>
      </w:pPr>
      <w:r>
        <w:separator/>
      </w:r>
    </w:p>
  </w:endnote>
  <w:endnote w:type="continuationSeparator" w:id="0">
    <w:p w:rsidR="000E4C54" w:rsidRDefault="00CE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67" w:rsidRDefault="00CE376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1378F0">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1378F0">
      <w:rPr>
        <w:rFonts w:ascii="Times New Roman" w:eastAsia="Times New Roman" w:hAnsi="Times New Roman" w:cs="Times New Roman"/>
        <w:b/>
        <w:noProof/>
        <w:color w:val="000000"/>
        <w:sz w:val="20"/>
        <w:szCs w:val="20"/>
      </w:rPr>
      <w:t>7</w:t>
    </w:r>
    <w:r>
      <w:rPr>
        <w:rFonts w:ascii="Times New Roman" w:eastAsia="Times New Roman" w:hAnsi="Times New Roman" w:cs="Times New Roman"/>
        <w:b/>
        <w:color w:val="000000"/>
        <w:sz w:val="20"/>
        <w:szCs w:val="20"/>
      </w:rPr>
      <w:fldChar w:fldCharType="end"/>
    </w:r>
  </w:p>
  <w:p w:rsidR="00182767" w:rsidRDefault="001827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C54" w:rsidRDefault="00CE3765">
      <w:pPr>
        <w:spacing w:after="0" w:line="240" w:lineRule="auto"/>
      </w:pPr>
      <w:r>
        <w:separator/>
      </w:r>
    </w:p>
  </w:footnote>
  <w:footnote w:type="continuationSeparator" w:id="0">
    <w:p w:rsidR="000E4C54" w:rsidRDefault="00CE3765">
      <w:pPr>
        <w:spacing w:after="0" w:line="240" w:lineRule="auto"/>
      </w:pPr>
      <w:r>
        <w:continuationSeparator/>
      </w:r>
    </w:p>
  </w:footnote>
  <w:footnote w:id="1">
    <w:p w:rsidR="00182767" w:rsidRDefault="00CE3765">
      <w:pPr>
        <w:pBdr>
          <w:top w:val="nil"/>
          <w:left w:val="nil"/>
          <w:bottom w:val="nil"/>
          <w:right w:val="nil"/>
          <w:between w:val="nil"/>
        </w:pBdr>
        <w:spacing w:after="0" w:line="36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82767" w:rsidRDefault="00CE376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67" w:rsidRDefault="00CE376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-749299</wp:posOffset>
          </wp:positionV>
          <wp:extent cx="7510628" cy="988377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182767" w:rsidRDefault="00CE3765">
    <w:pPr>
      <w:pBdr>
        <w:top w:val="nil"/>
        <w:left w:val="nil"/>
        <w:bottom w:val="nil"/>
        <w:right w:val="nil"/>
        <w:between w:val="nil"/>
      </w:pBdr>
      <w:tabs>
        <w:tab w:val="center" w:pos="4419"/>
        <w:tab w:val="right" w:pos="8838"/>
      </w:tabs>
      <w:spacing w:after="0" w:line="240" w:lineRule="auto"/>
      <w:ind w:left="3261"/>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 DE REVISIÓN 08761/INFOEM/IP/RR/2022 </w:t>
    </w:r>
  </w:p>
  <w:p w:rsidR="00182767" w:rsidRDefault="0018276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773F2"/>
    <w:multiLevelType w:val="multilevel"/>
    <w:tmpl w:val="BB401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807172"/>
    <w:multiLevelType w:val="multilevel"/>
    <w:tmpl w:val="DD42B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67"/>
    <w:rsid w:val="000E4C54"/>
    <w:rsid w:val="001378F0"/>
    <w:rsid w:val="00182767"/>
    <w:rsid w:val="007F69BB"/>
    <w:rsid w:val="00CE37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52414-071D-4C0B-9187-4AF5942B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5">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Pr>
  </w:style>
  <w:style w:type="paragraph" w:customStyle="1" w:styleId="Citas">
    <w:name w:val="Citas"/>
    <w:basedOn w:val="Normal"/>
    <w:qFormat/>
    <w:rsid w:val="000365D3"/>
    <w:pPr>
      <w:spacing w:before="240" w:line="360" w:lineRule="auto"/>
      <w:ind w:left="851" w:right="851"/>
      <w:jc w:val="both"/>
    </w:pPr>
    <w:rPr>
      <w:rFonts w:ascii="Palatino Linotype" w:eastAsiaTheme="minorHAnsi" w:hAnsi="Palatino Linotype" w:cs="Arial"/>
      <w:i/>
      <w:lang w:eastAsia="en-US"/>
    </w:rPr>
  </w:style>
  <w:style w:type="character" w:customStyle="1" w:styleId="normaltextrun">
    <w:name w:val="normaltextrun"/>
    <w:basedOn w:val="Fuentedeprrafopredeter"/>
    <w:rsid w:val="0018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xh6z4w82OebdLXVeERJyk6zybQ==">AMUW2mXKNjI54avJEXGE+D0YAXu4DPPCIrRntb26BgR5k+h+dGDOM5aVrOD07lyEMOVJgkxuOMl3t7FoZAGdpPXn829ofOS+zSXucKM1suyH0QjdHPtyVED3aoV02II4TkPviCGbKnYA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1032</Words>
  <Characters>5678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2023-01-23T22:58:00Z</cp:lastPrinted>
  <dcterms:created xsi:type="dcterms:W3CDTF">2023-10-17T19:32:00Z</dcterms:created>
  <dcterms:modified xsi:type="dcterms:W3CDTF">2023-10-17T19:32:00Z</dcterms:modified>
</cp:coreProperties>
</file>