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D6A9" w14:textId="38C9222E" w:rsidR="00E97758" w:rsidRDefault="00E97758" w:rsidP="00E97758">
      <w:pPr>
        <w:spacing w:after="0" w:line="360" w:lineRule="auto"/>
        <w:jc w:val="both"/>
        <w:rPr>
          <w:rFonts w:ascii="Palatino Linotype" w:hAnsi="Palatino Linotype" w:cs="Arial"/>
          <w:b/>
          <w:sz w:val="24"/>
          <w:szCs w:val="24"/>
        </w:rPr>
      </w:pPr>
      <w:r w:rsidRPr="00FB6D9A">
        <w:rPr>
          <w:rFonts w:ascii="Palatino Linotype" w:hAnsi="Palatino Linotype" w:cs="Arial"/>
          <w:b/>
          <w:sz w:val="24"/>
          <w:szCs w:val="24"/>
        </w:rPr>
        <w:t xml:space="preserve">VOTO </w:t>
      </w:r>
      <w:r>
        <w:rPr>
          <w:rFonts w:ascii="Palatino Linotype" w:hAnsi="Palatino Linotype" w:cs="Arial"/>
          <w:b/>
          <w:sz w:val="24"/>
          <w:szCs w:val="24"/>
        </w:rPr>
        <w:t>DISIDENTE</w:t>
      </w:r>
      <w:r w:rsidR="001A1ECB">
        <w:rPr>
          <w:rFonts w:ascii="Palatino Linotype" w:hAnsi="Palatino Linotype" w:cs="Arial"/>
          <w:b/>
          <w:sz w:val="24"/>
          <w:szCs w:val="24"/>
        </w:rPr>
        <w:t xml:space="preserve"> DE LA COMISIONADA</w:t>
      </w:r>
      <w:r w:rsidRPr="00FB6D9A">
        <w:rPr>
          <w:rFonts w:ascii="Palatino Linotype" w:hAnsi="Palatino Linotype" w:cs="Arial"/>
          <w:b/>
          <w:sz w:val="24"/>
          <w:szCs w:val="24"/>
        </w:rPr>
        <w:t xml:space="preserve"> </w:t>
      </w:r>
      <w:r w:rsidR="001A1ECB">
        <w:rPr>
          <w:rFonts w:ascii="Palatino Linotype" w:hAnsi="Palatino Linotype" w:cs="Arial"/>
          <w:b/>
          <w:sz w:val="24"/>
          <w:szCs w:val="24"/>
        </w:rPr>
        <w:t>MARÍA DEL ROSARIO MEJIA AYALA</w:t>
      </w:r>
      <w:r w:rsidR="00627742">
        <w:rPr>
          <w:rFonts w:ascii="Palatino Linotype" w:hAnsi="Palatino Linotype" w:cs="Arial"/>
          <w:b/>
          <w:sz w:val="24"/>
          <w:szCs w:val="24"/>
        </w:rPr>
        <w:t xml:space="preserve"> EN EL RECURSO DE REVISIÓN 13664</w:t>
      </w:r>
      <w:r w:rsidRPr="00FB6D9A">
        <w:rPr>
          <w:rFonts w:ascii="Palatino Linotype" w:hAnsi="Palatino Linotype" w:cs="Arial"/>
          <w:b/>
          <w:sz w:val="24"/>
          <w:szCs w:val="24"/>
        </w:rPr>
        <w:t>/INFOEM/</w:t>
      </w:r>
      <w:r w:rsidR="0032435A">
        <w:rPr>
          <w:rFonts w:ascii="Palatino Linotype" w:hAnsi="Palatino Linotype" w:cs="Arial"/>
          <w:b/>
          <w:sz w:val="24"/>
          <w:szCs w:val="24"/>
        </w:rPr>
        <w:t>IP</w:t>
      </w:r>
      <w:r w:rsidRPr="00FB6D9A">
        <w:rPr>
          <w:rFonts w:ascii="Palatino Linotype" w:hAnsi="Palatino Linotype" w:cs="Arial"/>
          <w:b/>
          <w:sz w:val="24"/>
          <w:szCs w:val="24"/>
        </w:rPr>
        <w:t>/RR/20</w:t>
      </w:r>
      <w:r w:rsidR="00627742">
        <w:rPr>
          <w:rFonts w:ascii="Palatino Linotype" w:hAnsi="Palatino Linotype" w:cs="Arial"/>
          <w:b/>
          <w:sz w:val="24"/>
          <w:szCs w:val="24"/>
        </w:rPr>
        <w:t>22</w:t>
      </w:r>
      <w:r w:rsidR="00E96E8A">
        <w:rPr>
          <w:rFonts w:ascii="Palatino Linotype" w:hAnsi="Palatino Linotype" w:cs="Arial"/>
          <w:b/>
          <w:sz w:val="24"/>
          <w:szCs w:val="24"/>
        </w:rPr>
        <w:t>.</w:t>
      </w:r>
    </w:p>
    <w:p w14:paraId="2724EDEF" w14:textId="77777777" w:rsidR="00E97758" w:rsidRDefault="00E97758" w:rsidP="00E97758">
      <w:pPr>
        <w:spacing w:after="0" w:line="360" w:lineRule="auto"/>
        <w:jc w:val="both"/>
        <w:rPr>
          <w:rFonts w:ascii="Palatino Linotype" w:hAnsi="Palatino Linotype" w:cs="Arial"/>
          <w:b/>
          <w:sz w:val="24"/>
          <w:szCs w:val="24"/>
        </w:rPr>
      </w:pPr>
    </w:p>
    <w:p w14:paraId="030020FA" w14:textId="5A5E6CEB" w:rsidR="00E97758" w:rsidRPr="002A43BC" w:rsidRDefault="00E97758" w:rsidP="0027224D">
      <w:pPr>
        <w:keepNext/>
        <w:keepLines/>
        <w:pBdr>
          <w:top w:val="nil"/>
          <w:left w:val="nil"/>
          <w:bottom w:val="nil"/>
          <w:right w:val="nil"/>
          <w:between w:val="nil"/>
          <w:bar w:val="nil"/>
        </w:pBdr>
        <w:spacing w:after="0" w:line="360" w:lineRule="auto"/>
        <w:jc w:val="center"/>
        <w:outlineLvl w:val="0"/>
        <w:rPr>
          <w:rFonts w:ascii="Palatino Linotype" w:eastAsiaTheme="majorEastAsia" w:hAnsi="Palatino Linotype" w:cstheme="majorBidi"/>
          <w:b/>
          <w:sz w:val="24"/>
          <w:szCs w:val="24"/>
          <w:bdr w:val="nil"/>
        </w:rPr>
      </w:pPr>
      <w:bookmarkStart w:id="0" w:name="_Toc9873529"/>
      <w:bookmarkStart w:id="1" w:name="_Toc21366012"/>
      <w:r w:rsidRPr="002A43BC">
        <w:rPr>
          <w:rFonts w:ascii="Palatino Linotype" w:eastAsiaTheme="majorEastAsia" w:hAnsi="Palatino Linotype" w:cstheme="majorBidi"/>
          <w:b/>
          <w:sz w:val="24"/>
          <w:szCs w:val="24"/>
          <w:bdr w:val="nil"/>
        </w:rPr>
        <w:t>Consideraciones Generales.</w:t>
      </w:r>
      <w:bookmarkEnd w:id="0"/>
      <w:bookmarkEnd w:id="1"/>
    </w:p>
    <w:p w14:paraId="36FDBD56" w14:textId="3085FCB3" w:rsidR="00E97758" w:rsidRPr="00DF6B35" w:rsidRDefault="00196054" w:rsidP="00E97758">
      <w:pPr>
        <w:spacing w:after="0" w:line="360" w:lineRule="auto"/>
        <w:rPr>
          <w:b/>
          <w:bCs/>
        </w:rPr>
      </w:pPr>
      <w:r>
        <w:rPr>
          <w:b/>
          <w:bCs/>
        </w:rPr>
        <w:t xml:space="preserve"> </w:t>
      </w:r>
    </w:p>
    <w:p w14:paraId="3F554DA8" w14:textId="177E9081" w:rsidR="00E97758" w:rsidRPr="00213603" w:rsidRDefault="001A1ECB" w:rsidP="00E97758">
      <w:pPr>
        <w:numPr>
          <w:ilvl w:val="0"/>
          <w:numId w:val="9"/>
        </w:numPr>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Times New Roman" w:hAnsi="Palatino Linotype" w:cs="Arial"/>
          <w:color w:val="000000" w:themeColor="text1"/>
          <w:sz w:val="24"/>
          <w:szCs w:val="24"/>
          <w:bdr w:val="nil"/>
          <w:lang w:val="es-ES_tradnl"/>
        </w:rPr>
        <w:t>S</w:t>
      </w:r>
      <w:r w:rsidR="00E97758" w:rsidRPr="002A43BC">
        <w:rPr>
          <w:rFonts w:ascii="Palatino Linotype" w:eastAsia="Times New Roman" w:hAnsi="Palatino Linotype" w:cs="Arial"/>
          <w:color w:val="000000" w:themeColor="text1"/>
          <w:sz w:val="24"/>
          <w:szCs w:val="24"/>
          <w:bdr w:val="nil"/>
          <w:lang w:val="es-ES_tradnl"/>
        </w:rPr>
        <w:t xml:space="preserve">e </w:t>
      </w:r>
      <w:r>
        <w:rPr>
          <w:rFonts w:ascii="Palatino Linotype" w:eastAsia="Times New Roman" w:hAnsi="Palatino Linotype" w:cs="Arial"/>
          <w:color w:val="000000" w:themeColor="text1"/>
          <w:sz w:val="24"/>
          <w:szCs w:val="24"/>
          <w:bdr w:val="nil"/>
          <w:lang w:val="es-ES_tradnl"/>
        </w:rPr>
        <w:t xml:space="preserve">emite el </w:t>
      </w:r>
      <w:r w:rsidR="00E97758" w:rsidRPr="002A43BC">
        <w:rPr>
          <w:rFonts w:ascii="Palatino Linotype" w:eastAsia="Times New Roman" w:hAnsi="Palatino Linotype" w:cs="Arial"/>
          <w:color w:val="000000" w:themeColor="text1"/>
          <w:sz w:val="24"/>
          <w:szCs w:val="24"/>
          <w:bdr w:val="nil"/>
          <w:lang w:val="es-ES_tradnl"/>
        </w:rPr>
        <w:t xml:space="preserve"> voto disidente de la presente resolución </w:t>
      </w:r>
      <w:r w:rsidR="00213603">
        <w:rPr>
          <w:rFonts w:ascii="Palatino Linotype" w:eastAsia="Times New Roman" w:hAnsi="Palatino Linotype" w:cs="Arial"/>
          <w:color w:val="000000" w:themeColor="text1"/>
          <w:sz w:val="24"/>
          <w:szCs w:val="24"/>
          <w:bdr w:val="nil"/>
          <w:lang w:val="es-ES_tradnl"/>
        </w:rPr>
        <w:t xml:space="preserve"> aprobada por mayoría de votos</w:t>
      </w:r>
      <w:r w:rsidR="00E97758" w:rsidRPr="002A43BC">
        <w:rPr>
          <w:rFonts w:ascii="Palatino Linotype" w:eastAsia="Times New Roman" w:hAnsi="Palatino Linotype" w:cs="Arial"/>
          <w:color w:val="000000" w:themeColor="text1"/>
          <w:sz w:val="24"/>
          <w:szCs w:val="24"/>
          <w:bdr w:val="nil"/>
          <w:lang w:val="es-ES_tradnl"/>
        </w:rPr>
        <w:t xml:space="preserve"> </w:t>
      </w:r>
      <w:r w:rsidR="00E97758" w:rsidRPr="002A43BC">
        <w:rPr>
          <w:rFonts w:ascii="Palatino Linotype" w:eastAsia="Arial Unicode MS" w:hAnsi="Palatino Linotype" w:cs="Arial"/>
          <w:color w:val="000000" w:themeColor="text1"/>
          <w:sz w:val="24"/>
          <w:szCs w:val="24"/>
          <w:bdr w:val="nil"/>
        </w:rPr>
        <w:t xml:space="preserve">por el Pleno del Instituto de Transparencia, Acceso a la Información Pública y Protección de Datos Personales del Estado de México y Municipios, en su </w:t>
      </w:r>
      <w:r>
        <w:rPr>
          <w:rFonts w:ascii="Palatino Linotype" w:eastAsia="Arial Unicode MS" w:hAnsi="Palatino Linotype" w:cs="Arial"/>
          <w:color w:val="000000" w:themeColor="text1"/>
          <w:sz w:val="24"/>
          <w:szCs w:val="24"/>
          <w:bdr w:val="nil"/>
        </w:rPr>
        <w:t>Vigésima</w:t>
      </w:r>
      <w:r w:rsidR="00E97758">
        <w:rPr>
          <w:rFonts w:ascii="Palatino Linotype" w:eastAsia="Arial Unicode MS" w:hAnsi="Palatino Linotype" w:cs="Arial"/>
          <w:color w:val="000000" w:themeColor="text1"/>
          <w:sz w:val="24"/>
          <w:szCs w:val="24"/>
          <w:bdr w:val="nil"/>
        </w:rPr>
        <w:t xml:space="preserve"> </w:t>
      </w:r>
      <w:r w:rsidR="00627742">
        <w:rPr>
          <w:rFonts w:ascii="Palatino Linotype" w:eastAsia="Arial Unicode MS" w:hAnsi="Palatino Linotype" w:cs="Arial"/>
          <w:color w:val="000000" w:themeColor="text1"/>
          <w:sz w:val="24"/>
          <w:szCs w:val="24"/>
          <w:bdr w:val="nil"/>
        </w:rPr>
        <w:t>Segunda</w:t>
      </w:r>
      <w:r w:rsidR="00E97758">
        <w:rPr>
          <w:rFonts w:ascii="Palatino Linotype" w:eastAsia="Arial Unicode MS" w:hAnsi="Palatino Linotype" w:cs="Arial"/>
          <w:color w:val="000000" w:themeColor="text1"/>
          <w:sz w:val="24"/>
          <w:szCs w:val="24"/>
          <w:bdr w:val="nil"/>
        </w:rPr>
        <w:t xml:space="preserve"> </w:t>
      </w:r>
      <w:r>
        <w:rPr>
          <w:rFonts w:ascii="Palatino Linotype" w:eastAsia="Arial Unicode MS" w:hAnsi="Palatino Linotype" w:cs="Arial"/>
          <w:color w:val="000000" w:themeColor="text1"/>
          <w:sz w:val="24"/>
          <w:szCs w:val="24"/>
          <w:bdr w:val="nil"/>
        </w:rPr>
        <w:t>S</w:t>
      </w:r>
      <w:r w:rsidR="00E97758">
        <w:rPr>
          <w:rFonts w:ascii="Palatino Linotype" w:eastAsia="Arial Unicode MS" w:hAnsi="Palatino Linotype" w:cs="Arial"/>
          <w:color w:val="000000" w:themeColor="text1"/>
          <w:sz w:val="24"/>
          <w:szCs w:val="24"/>
          <w:bdr w:val="nil"/>
        </w:rPr>
        <w:t xml:space="preserve">esión Ordinaria de fecha </w:t>
      </w:r>
      <w:r w:rsidR="00627742">
        <w:rPr>
          <w:rFonts w:ascii="Palatino Linotype" w:eastAsia="Arial Unicode MS" w:hAnsi="Palatino Linotype" w:cs="Arial"/>
          <w:color w:val="000000" w:themeColor="text1"/>
          <w:sz w:val="24"/>
          <w:szCs w:val="24"/>
          <w:bdr w:val="nil"/>
        </w:rPr>
        <w:t>catorce</w:t>
      </w:r>
      <w:r>
        <w:rPr>
          <w:rFonts w:ascii="Palatino Linotype" w:eastAsia="Arial Unicode MS" w:hAnsi="Palatino Linotype" w:cs="Arial"/>
          <w:color w:val="000000" w:themeColor="text1"/>
          <w:sz w:val="24"/>
          <w:szCs w:val="24"/>
          <w:bdr w:val="nil"/>
        </w:rPr>
        <w:t xml:space="preserve"> </w:t>
      </w:r>
      <w:r w:rsidR="00E97758" w:rsidRPr="002A43BC">
        <w:rPr>
          <w:rFonts w:ascii="Palatino Linotype" w:eastAsia="Times New Roman" w:hAnsi="Palatino Linotype" w:cs="Arial"/>
          <w:color w:val="000000"/>
          <w:sz w:val="24"/>
          <w:szCs w:val="24"/>
          <w:bdr w:val="nil"/>
          <w:lang w:eastAsia="es-MX"/>
        </w:rPr>
        <w:t>(</w:t>
      </w:r>
      <w:r w:rsidR="00627742">
        <w:rPr>
          <w:rFonts w:ascii="Palatino Linotype" w:eastAsia="Times New Roman" w:hAnsi="Palatino Linotype" w:cs="Arial"/>
          <w:color w:val="000000"/>
          <w:sz w:val="24"/>
          <w:szCs w:val="24"/>
          <w:bdr w:val="nil"/>
          <w:lang w:eastAsia="es-MX"/>
        </w:rPr>
        <w:t>14</w:t>
      </w:r>
      <w:r w:rsidR="00E97758" w:rsidRPr="002A43BC">
        <w:rPr>
          <w:rFonts w:ascii="Palatino Linotype" w:eastAsia="Times New Roman" w:hAnsi="Palatino Linotype" w:cs="Arial"/>
          <w:color w:val="000000"/>
          <w:sz w:val="24"/>
          <w:szCs w:val="24"/>
          <w:bdr w:val="nil"/>
          <w:lang w:eastAsia="es-MX"/>
        </w:rPr>
        <w:t xml:space="preserve">) de </w:t>
      </w:r>
      <w:r>
        <w:rPr>
          <w:rFonts w:ascii="Palatino Linotype" w:eastAsia="Times New Roman" w:hAnsi="Palatino Linotype" w:cs="Arial"/>
          <w:color w:val="000000"/>
          <w:sz w:val="24"/>
          <w:szCs w:val="24"/>
          <w:bdr w:val="nil"/>
          <w:lang w:eastAsia="es-MX"/>
        </w:rPr>
        <w:t>junio</w:t>
      </w:r>
      <w:r w:rsidR="00E97758">
        <w:rPr>
          <w:rFonts w:ascii="Palatino Linotype" w:eastAsia="Times New Roman" w:hAnsi="Palatino Linotype" w:cs="Arial"/>
          <w:color w:val="000000"/>
          <w:sz w:val="24"/>
          <w:szCs w:val="24"/>
          <w:bdr w:val="nil"/>
          <w:lang w:eastAsia="es-MX"/>
        </w:rPr>
        <w:t xml:space="preserve"> de dos mil </w:t>
      </w:r>
      <w:r>
        <w:rPr>
          <w:rFonts w:ascii="Palatino Linotype" w:eastAsia="Times New Roman" w:hAnsi="Palatino Linotype" w:cs="Arial"/>
          <w:color w:val="000000"/>
          <w:sz w:val="24"/>
          <w:szCs w:val="24"/>
          <w:bdr w:val="nil"/>
          <w:lang w:eastAsia="es-MX"/>
        </w:rPr>
        <w:t>veinti</w:t>
      </w:r>
      <w:r w:rsidR="00627742">
        <w:rPr>
          <w:rFonts w:ascii="Palatino Linotype" w:eastAsia="Times New Roman" w:hAnsi="Palatino Linotype" w:cs="Arial"/>
          <w:color w:val="000000"/>
          <w:sz w:val="24"/>
          <w:szCs w:val="24"/>
          <w:bdr w:val="nil"/>
          <w:lang w:eastAsia="es-MX"/>
        </w:rPr>
        <w:t>trés</w:t>
      </w:r>
      <w:r w:rsidR="00E97758" w:rsidRPr="002A43BC">
        <w:rPr>
          <w:rFonts w:ascii="Palatino Linotype" w:eastAsia="Arial Unicode MS" w:hAnsi="Palatino Linotype" w:cs="Arial"/>
          <w:color w:val="000000" w:themeColor="text1"/>
          <w:sz w:val="24"/>
          <w:szCs w:val="24"/>
          <w:bdr w:val="nil"/>
        </w:rPr>
        <w:t>, en el recurso de revisión</w:t>
      </w:r>
      <w:r w:rsidRPr="001A1ECB">
        <w:rPr>
          <w:rFonts w:ascii="Palatino Linotype" w:eastAsia="Arial Unicode MS" w:hAnsi="Palatino Linotype" w:cs="Arial"/>
          <w:b/>
          <w:color w:val="000000" w:themeColor="text1"/>
          <w:sz w:val="24"/>
          <w:szCs w:val="24"/>
          <w:bdr w:val="nil"/>
        </w:rPr>
        <w:t>,</w:t>
      </w:r>
      <w:r>
        <w:rPr>
          <w:rFonts w:ascii="Palatino Linotype" w:eastAsia="Arial Unicode MS" w:hAnsi="Palatino Linotype" w:cs="Arial"/>
          <w:color w:val="000000" w:themeColor="text1"/>
          <w:sz w:val="24"/>
          <w:szCs w:val="24"/>
          <w:bdr w:val="nil"/>
        </w:rPr>
        <w:t xml:space="preserve"> </w:t>
      </w:r>
      <w:r w:rsidR="00E97758" w:rsidRPr="002A43BC">
        <w:rPr>
          <w:rFonts w:ascii="Palatino Linotype" w:eastAsia="Arial Unicode MS" w:hAnsi="Palatino Linotype" w:cs="Times New Roman"/>
          <w:sz w:val="24"/>
          <w:szCs w:val="24"/>
          <w:bdr w:val="nil"/>
        </w:rPr>
        <w:t>en contra de</w:t>
      </w:r>
      <w:r w:rsidR="006E10FC">
        <w:rPr>
          <w:rFonts w:ascii="Palatino Linotype" w:eastAsia="Arial Unicode MS" w:hAnsi="Palatino Linotype" w:cs="Times New Roman"/>
          <w:sz w:val="24"/>
          <w:szCs w:val="24"/>
          <w:bdr w:val="nil"/>
        </w:rPr>
        <w:t xml:space="preserve"> </w:t>
      </w:r>
      <w:r w:rsidR="00E97758">
        <w:rPr>
          <w:rFonts w:ascii="Palatino Linotype" w:eastAsia="Arial Unicode MS" w:hAnsi="Palatino Linotype" w:cs="Times New Roman"/>
          <w:sz w:val="24"/>
          <w:szCs w:val="24"/>
          <w:bdr w:val="nil"/>
        </w:rPr>
        <w:t>l</w:t>
      </w:r>
      <w:r w:rsidR="006E10FC">
        <w:rPr>
          <w:rFonts w:ascii="Palatino Linotype" w:eastAsia="Arial Unicode MS" w:hAnsi="Palatino Linotype" w:cs="Times New Roman"/>
          <w:sz w:val="24"/>
          <w:szCs w:val="24"/>
          <w:bdr w:val="nil"/>
        </w:rPr>
        <w:t>a</w:t>
      </w:r>
      <w:r w:rsidR="00E97758">
        <w:rPr>
          <w:rFonts w:ascii="Palatino Linotype" w:eastAsia="Arial Unicode MS" w:hAnsi="Palatino Linotype" w:cs="Times New Roman"/>
          <w:sz w:val="24"/>
          <w:szCs w:val="24"/>
          <w:bdr w:val="nil"/>
        </w:rPr>
        <w:t xml:space="preserve"> </w:t>
      </w:r>
      <w:r w:rsidR="00E97758">
        <w:rPr>
          <w:rFonts w:ascii="Palatino Linotype" w:eastAsia="Arial Unicode MS" w:hAnsi="Palatino Linotype" w:cs="Times New Roman"/>
          <w:b/>
          <w:sz w:val="24"/>
          <w:szCs w:val="24"/>
          <w:bdr w:val="nil"/>
        </w:rPr>
        <w:t>Fiscalía General de Justicia del Estado de México</w:t>
      </w:r>
      <w:r w:rsidR="00E97758">
        <w:rPr>
          <w:rFonts w:ascii="Palatino Linotype" w:eastAsia="Arial Unicode MS" w:hAnsi="Palatino Linotype" w:cs="Times New Roman"/>
          <w:sz w:val="24"/>
          <w:szCs w:val="24"/>
          <w:bdr w:val="nil"/>
        </w:rPr>
        <w:t xml:space="preserve"> </w:t>
      </w:r>
      <w:r w:rsidR="00E97758" w:rsidRPr="002A43BC">
        <w:rPr>
          <w:rFonts w:ascii="Palatino Linotype" w:eastAsia="Arial Unicode MS" w:hAnsi="Palatino Linotype" w:cs="Arial"/>
          <w:color w:val="000000" w:themeColor="text1"/>
          <w:sz w:val="24"/>
          <w:szCs w:val="24"/>
          <w:bdr w:val="nil"/>
        </w:rPr>
        <w:t xml:space="preserve">procedimiento al que se le asignó el número de expediente </w:t>
      </w:r>
      <w:r w:rsidR="00627742">
        <w:rPr>
          <w:rFonts w:ascii="Palatino Linotype" w:hAnsi="Palatino Linotype" w:cs="Arial"/>
          <w:b/>
          <w:sz w:val="24"/>
          <w:szCs w:val="24"/>
        </w:rPr>
        <w:t>13664</w:t>
      </w:r>
      <w:r w:rsidR="00627742" w:rsidRPr="00FB6D9A">
        <w:rPr>
          <w:rFonts w:ascii="Palatino Linotype" w:hAnsi="Palatino Linotype" w:cs="Arial"/>
          <w:b/>
          <w:sz w:val="24"/>
          <w:szCs w:val="24"/>
        </w:rPr>
        <w:t>/INFOEM/</w:t>
      </w:r>
      <w:r w:rsidR="00627742">
        <w:rPr>
          <w:rFonts w:ascii="Palatino Linotype" w:hAnsi="Palatino Linotype" w:cs="Arial"/>
          <w:b/>
          <w:sz w:val="24"/>
          <w:szCs w:val="24"/>
        </w:rPr>
        <w:t>IP</w:t>
      </w:r>
      <w:r w:rsidR="00627742" w:rsidRPr="00FB6D9A">
        <w:rPr>
          <w:rFonts w:ascii="Palatino Linotype" w:hAnsi="Palatino Linotype" w:cs="Arial"/>
          <w:b/>
          <w:sz w:val="24"/>
          <w:szCs w:val="24"/>
        </w:rPr>
        <w:t>/RR/20</w:t>
      </w:r>
      <w:r w:rsidR="00627742">
        <w:rPr>
          <w:rFonts w:ascii="Palatino Linotype" w:hAnsi="Palatino Linotype" w:cs="Arial"/>
          <w:b/>
          <w:sz w:val="24"/>
          <w:szCs w:val="24"/>
        </w:rPr>
        <w:t>22</w:t>
      </w:r>
      <w:r w:rsidR="0027773D">
        <w:rPr>
          <w:rFonts w:ascii="Palatino Linotype" w:eastAsia="Arial Unicode MS" w:hAnsi="Palatino Linotype" w:cs="Times New Roman"/>
          <w:b/>
          <w:sz w:val="24"/>
          <w:szCs w:val="24"/>
          <w:bdr w:val="nil"/>
        </w:rPr>
        <w:t xml:space="preserve">. </w:t>
      </w:r>
    </w:p>
    <w:p w14:paraId="6FCFE9F9" w14:textId="77777777" w:rsidR="00213603" w:rsidRPr="00213603" w:rsidRDefault="00213603" w:rsidP="00213603">
      <w:pPr>
        <w:spacing w:after="0" w:line="360" w:lineRule="auto"/>
        <w:contextualSpacing/>
        <w:jc w:val="both"/>
        <w:rPr>
          <w:rFonts w:ascii="Palatino Linotype" w:eastAsia="Calibri" w:hAnsi="Palatino Linotype" w:cs="Arial"/>
          <w:sz w:val="24"/>
          <w:szCs w:val="24"/>
          <w:lang w:val="es-ES" w:eastAsia="es-ES"/>
        </w:rPr>
      </w:pPr>
    </w:p>
    <w:p w14:paraId="6056DEF6" w14:textId="77777777" w:rsidR="00627742" w:rsidRDefault="00213603" w:rsidP="00E97758">
      <w:pPr>
        <w:numPr>
          <w:ilvl w:val="0"/>
          <w:numId w:val="9"/>
        </w:numPr>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La resolución aprobada por la mayoría del Pleno de este Órgano Garante determin</w:t>
      </w:r>
      <w:r w:rsidR="00502CAF">
        <w:rPr>
          <w:rFonts w:ascii="Palatino Linotype" w:eastAsia="Calibri" w:hAnsi="Palatino Linotype" w:cs="Arial"/>
          <w:sz w:val="24"/>
          <w:szCs w:val="24"/>
          <w:lang w:val="es-ES" w:eastAsia="es-ES"/>
        </w:rPr>
        <w:t xml:space="preserve">ó procedente </w:t>
      </w:r>
      <w:r w:rsidR="00627742" w:rsidRPr="00627742">
        <w:rPr>
          <w:rFonts w:ascii="Palatino Linotype" w:eastAsia="Calibri" w:hAnsi="Palatino Linotype" w:cs="Arial"/>
          <w:b/>
          <w:sz w:val="24"/>
          <w:szCs w:val="24"/>
          <w:lang w:val="es-ES" w:eastAsia="es-ES"/>
        </w:rPr>
        <w:t>MODIFICAR</w:t>
      </w:r>
      <w:r>
        <w:rPr>
          <w:rFonts w:ascii="Palatino Linotype" w:eastAsia="Calibri" w:hAnsi="Palatino Linotype" w:cs="Arial"/>
          <w:b/>
          <w:bCs/>
          <w:sz w:val="24"/>
          <w:szCs w:val="24"/>
          <w:lang w:val="es-ES" w:eastAsia="es-ES"/>
        </w:rPr>
        <w:t xml:space="preserve"> </w:t>
      </w:r>
      <w:r w:rsidR="00627742">
        <w:rPr>
          <w:rFonts w:ascii="Palatino Linotype" w:eastAsia="Calibri" w:hAnsi="Palatino Linotype" w:cs="Arial"/>
          <w:sz w:val="24"/>
          <w:szCs w:val="24"/>
          <w:lang w:val="es-ES" w:eastAsia="es-ES"/>
        </w:rPr>
        <w:t xml:space="preserve">la respuesta del Sujeto Obligado y ORDENAR la entrega del Acuerdo del Comité de Transparencia mediante el cual se clasifique como información reservada los documentos que den cuenta del espacio médico dónde ocurrió la posible negligencia médica, así como la circunstancia en la que se dio. </w:t>
      </w:r>
    </w:p>
    <w:p w14:paraId="455A2C93" w14:textId="77777777" w:rsidR="00627742" w:rsidRDefault="00627742" w:rsidP="00627742">
      <w:pPr>
        <w:pStyle w:val="Prrafodelista"/>
        <w:rPr>
          <w:rFonts w:ascii="Palatino Linotype" w:eastAsia="Calibri" w:hAnsi="Palatino Linotype" w:cs="Arial"/>
          <w:sz w:val="24"/>
          <w:szCs w:val="24"/>
          <w:lang w:val="es-ES" w:eastAsia="es-ES"/>
        </w:rPr>
      </w:pPr>
    </w:p>
    <w:p w14:paraId="3938782A" w14:textId="7A56EF03" w:rsidR="00213603" w:rsidRPr="00E62187" w:rsidRDefault="00627742" w:rsidP="00E97758">
      <w:pPr>
        <w:numPr>
          <w:ilvl w:val="0"/>
          <w:numId w:val="9"/>
        </w:numPr>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No se comparte el sentido de la resolución por las siguientes cuestiones de hecho y de derechos que sustentan el presente coto disidente.</w:t>
      </w:r>
      <w:r w:rsidR="00213603">
        <w:rPr>
          <w:rFonts w:ascii="Palatino Linotype" w:eastAsia="Calibri" w:hAnsi="Palatino Linotype" w:cs="Arial"/>
          <w:sz w:val="24"/>
          <w:szCs w:val="24"/>
          <w:lang w:val="es-ES" w:eastAsia="es-ES"/>
        </w:rPr>
        <w:t xml:space="preserve"> </w:t>
      </w:r>
    </w:p>
    <w:p w14:paraId="1A88373E" w14:textId="76BBFE2B" w:rsidR="001701E1" w:rsidRDefault="001701E1" w:rsidP="001701E1">
      <w:pPr>
        <w:pBdr>
          <w:top w:val="nil"/>
          <w:left w:val="nil"/>
          <w:bottom w:val="nil"/>
          <w:right w:val="nil"/>
          <w:between w:val="nil"/>
          <w:bar w:val="nil"/>
        </w:pBdr>
        <w:spacing w:after="0" w:line="360" w:lineRule="auto"/>
        <w:rPr>
          <w:rFonts w:ascii="Palatino Linotype" w:eastAsia="Calibri" w:hAnsi="Palatino Linotype" w:cs="Arial"/>
          <w:sz w:val="24"/>
          <w:szCs w:val="24"/>
          <w:lang w:val="es-ES" w:eastAsia="es-ES"/>
        </w:rPr>
      </w:pPr>
    </w:p>
    <w:p w14:paraId="18C9EB35" w14:textId="2D80B8C2" w:rsidR="00964C1E" w:rsidRPr="002A43BC" w:rsidRDefault="00964C1E" w:rsidP="00964C1E">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bookmarkStart w:id="2" w:name="_Toc21366013"/>
      <w:r>
        <w:rPr>
          <w:rFonts w:ascii="Palatino Linotype" w:eastAsiaTheme="majorEastAsia" w:hAnsi="Palatino Linotype" w:cstheme="majorBidi"/>
          <w:b/>
          <w:sz w:val="24"/>
          <w:szCs w:val="24"/>
          <w:bdr w:val="nil"/>
        </w:rPr>
        <w:t>I.</w:t>
      </w:r>
      <w:bookmarkStart w:id="3" w:name="_Toc21366014"/>
      <w:bookmarkEnd w:id="2"/>
      <w:r w:rsidR="001A1ECB">
        <w:rPr>
          <w:rFonts w:ascii="Palatino Linotype" w:eastAsiaTheme="majorEastAsia" w:hAnsi="Palatino Linotype" w:cstheme="majorBidi"/>
          <w:b/>
          <w:sz w:val="24"/>
          <w:szCs w:val="24"/>
          <w:bdr w:val="nil"/>
        </w:rPr>
        <w:t xml:space="preserve"> Las </w:t>
      </w:r>
      <w:r>
        <w:rPr>
          <w:rFonts w:ascii="Palatino Linotype" w:eastAsiaTheme="majorEastAsia" w:hAnsi="Palatino Linotype" w:cstheme="majorBidi"/>
          <w:b/>
          <w:sz w:val="24"/>
          <w:szCs w:val="24"/>
          <w:bdr w:val="nil"/>
        </w:rPr>
        <w:t>restricciones del Derecho de Acceso a la Información.</w:t>
      </w:r>
      <w:bookmarkEnd w:id="3"/>
      <w:r>
        <w:rPr>
          <w:rFonts w:ascii="Palatino Linotype" w:eastAsiaTheme="majorEastAsia" w:hAnsi="Palatino Linotype" w:cstheme="majorBidi"/>
          <w:b/>
          <w:sz w:val="24"/>
          <w:szCs w:val="24"/>
          <w:bdr w:val="nil"/>
        </w:rPr>
        <w:t xml:space="preserve"> </w:t>
      </w:r>
    </w:p>
    <w:p w14:paraId="7AEB57DE" w14:textId="77777777" w:rsidR="00AA2CEC" w:rsidRPr="00964C1E" w:rsidRDefault="00AA2CEC" w:rsidP="004B4437">
      <w:pPr>
        <w:pBdr>
          <w:top w:val="nil"/>
          <w:left w:val="nil"/>
          <w:bottom w:val="nil"/>
          <w:right w:val="nil"/>
          <w:between w:val="nil"/>
          <w:bar w:val="nil"/>
        </w:pBdr>
        <w:spacing w:after="0" w:line="360" w:lineRule="auto"/>
        <w:jc w:val="both"/>
        <w:rPr>
          <w:rFonts w:ascii="Palatino Linotype" w:eastAsia="Calibri" w:hAnsi="Palatino Linotype" w:cs="Arial"/>
          <w:sz w:val="24"/>
          <w:szCs w:val="24"/>
          <w:lang w:eastAsia="es-ES"/>
        </w:rPr>
      </w:pPr>
    </w:p>
    <w:p w14:paraId="1370AF17" w14:textId="4F8930ED" w:rsidR="00C77E23" w:rsidRDefault="00F26763" w:rsidP="00C77E2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Tal y como lo establece la Suprema Corte de Justicia de la Nación, las razones que justifican entender las restricciones y suspensiones a los derechos humanos fuera del exclusivo ámbito procedimental excepcional del artículo 29 constitucional; en primer lugar, se encuentra que: </w:t>
      </w:r>
      <w:r w:rsidRPr="00F26763">
        <w:rPr>
          <w:rFonts w:ascii="Palatino Linotype" w:eastAsia="Calibri" w:hAnsi="Palatino Linotype" w:cs="Arial"/>
          <w:b/>
          <w:bCs/>
          <w:sz w:val="24"/>
          <w:szCs w:val="24"/>
          <w:lang w:val="es-ES" w:eastAsia="es-ES"/>
        </w:rPr>
        <w:t>los derechos fundamentales no son absolutos</w:t>
      </w:r>
      <w:r>
        <w:rPr>
          <w:rFonts w:ascii="Palatino Linotype" w:eastAsia="Calibri" w:hAnsi="Palatino Linotype" w:cs="Arial"/>
          <w:sz w:val="24"/>
          <w:szCs w:val="24"/>
          <w:lang w:val="es-ES" w:eastAsia="es-ES"/>
        </w:rPr>
        <w:t xml:space="preserve">, por lo que han de determinarse cuáles son los límites legítimos a su ejercicio, siendo estas limitaciones individualizadas en el contexto jurídico y fáctico de los asuntos en concreto y cuya determinación de las condiciones de aplicación de los derechos humanos, se cierran en cada categoría de casos por la exigencia de otros principios o normas jurídicas. </w:t>
      </w:r>
    </w:p>
    <w:p w14:paraId="4E3F9A93" w14:textId="77777777" w:rsidR="00F26763" w:rsidRDefault="00F26763" w:rsidP="00F26763">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76AA37A2" w14:textId="6B40F060" w:rsidR="00AA2CEC" w:rsidRPr="00C77E23" w:rsidRDefault="00AA2CEC" w:rsidP="00C77E23">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sidRPr="00C77E23">
        <w:rPr>
          <w:rFonts w:ascii="Palatino Linotype" w:eastAsia="Calibri" w:hAnsi="Palatino Linotype" w:cs="Arial"/>
          <w:sz w:val="24"/>
          <w:szCs w:val="24"/>
          <w:lang w:val="es-ES" w:eastAsia="es-ES"/>
        </w:rPr>
        <w:t>De acuerdo con el artículo 13.</w:t>
      </w:r>
      <w:r w:rsidR="00964C1E" w:rsidRPr="00C77E23">
        <w:rPr>
          <w:rFonts w:ascii="Palatino Linotype" w:eastAsia="Calibri" w:hAnsi="Palatino Linotype" w:cs="Arial"/>
          <w:sz w:val="24"/>
          <w:szCs w:val="24"/>
          <w:lang w:val="es-ES" w:eastAsia="es-ES"/>
        </w:rPr>
        <w:t>2 de la Convención</w:t>
      </w:r>
      <w:r w:rsidR="00F26763">
        <w:rPr>
          <w:rFonts w:ascii="Palatino Linotype" w:eastAsia="Calibri" w:hAnsi="Palatino Linotype" w:cs="Arial"/>
          <w:sz w:val="24"/>
          <w:szCs w:val="24"/>
          <w:lang w:val="es-ES" w:eastAsia="es-ES"/>
        </w:rPr>
        <w:t xml:space="preserve"> Americana, </w:t>
      </w:r>
      <w:r w:rsidR="00964C1E" w:rsidRPr="00C77E23">
        <w:rPr>
          <w:rFonts w:ascii="Palatino Linotype" w:eastAsia="Calibri" w:hAnsi="Palatino Linotype" w:cs="Arial"/>
          <w:sz w:val="24"/>
          <w:szCs w:val="24"/>
          <w:lang w:val="es-ES" w:eastAsia="es-ES"/>
        </w:rPr>
        <w:t xml:space="preserve">se exige el cumplimiento </w:t>
      </w:r>
      <w:r w:rsidR="008C5C3F">
        <w:rPr>
          <w:rFonts w:ascii="Palatino Linotype" w:eastAsia="Calibri" w:hAnsi="Palatino Linotype" w:cs="Arial"/>
          <w:sz w:val="24"/>
          <w:szCs w:val="24"/>
          <w:lang w:val="es-ES" w:eastAsia="es-ES"/>
        </w:rPr>
        <w:t xml:space="preserve">de un test de tres elementos que contiene </w:t>
      </w:r>
      <w:r w:rsidR="00964C1E" w:rsidRPr="00C77E23">
        <w:rPr>
          <w:rFonts w:ascii="Palatino Linotype" w:eastAsia="Calibri" w:hAnsi="Palatino Linotype" w:cs="Arial"/>
          <w:sz w:val="24"/>
          <w:szCs w:val="24"/>
          <w:lang w:val="es-ES" w:eastAsia="es-ES"/>
        </w:rPr>
        <w:t xml:space="preserve">una limitación al derecho a la libertad de expresión sea admisible; </w:t>
      </w:r>
    </w:p>
    <w:p w14:paraId="10299755" w14:textId="269F5D31" w:rsidR="00964C1E" w:rsidRPr="00FE301B" w:rsidRDefault="00964C1E" w:rsidP="004B4437">
      <w:pPr>
        <w:pBdr>
          <w:top w:val="nil"/>
          <w:left w:val="nil"/>
          <w:bottom w:val="nil"/>
          <w:right w:val="nil"/>
          <w:between w:val="nil"/>
          <w:bar w:val="nil"/>
        </w:pBdr>
        <w:spacing w:after="0" w:line="360" w:lineRule="auto"/>
        <w:jc w:val="both"/>
        <w:rPr>
          <w:rFonts w:ascii="Palatino Linotype" w:eastAsia="Calibri" w:hAnsi="Palatino Linotype" w:cs="Arial"/>
          <w:lang w:val="es-ES" w:eastAsia="es-ES"/>
        </w:rPr>
      </w:pPr>
    </w:p>
    <w:p w14:paraId="4AC6D4F3" w14:textId="309089B0" w:rsidR="00964C1E" w:rsidRPr="00FE301B" w:rsidRDefault="00964C1E" w:rsidP="00F26763">
      <w:pPr>
        <w:pStyle w:val="Prrafodelista"/>
        <w:numPr>
          <w:ilvl w:val="0"/>
          <w:numId w:val="15"/>
        </w:numPr>
        <w:pBdr>
          <w:top w:val="nil"/>
          <w:left w:val="nil"/>
          <w:bottom w:val="nil"/>
          <w:right w:val="nil"/>
          <w:between w:val="nil"/>
          <w:bar w:val="nil"/>
        </w:pBdr>
        <w:spacing w:after="0" w:line="360" w:lineRule="auto"/>
        <w:ind w:left="567" w:right="616" w:firstLine="0"/>
        <w:jc w:val="both"/>
        <w:rPr>
          <w:rFonts w:ascii="Palatino Linotype" w:eastAsia="Calibri" w:hAnsi="Palatino Linotype" w:cs="Arial"/>
          <w:lang w:val="es-ES" w:eastAsia="es-ES"/>
        </w:rPr>
      </w:pPr>
      <w:r w:rsidRPr="00FE301B">
        <w:rPr>
          <w:rFonts w:ascii="Palatino Linotype" w:eastAsia="Calibri" w:hAnsi="Palatino Linotype" w:cs="Arial"/>
          <w:lang w:val="es-ES" w:eastAsia="es-ES"/>
        </w:rPr>
        <w:t>La limitación debe haber sido definida en forma precisa clara y a través de una ley formal y material</w:t>
      </w:r>
      <w:r w:rsidR="00F26763" w:rsidRPr="00FE301B">
        <w:rPr>
          <w:rFonts w:ascii="Palatino Linotype" w:eastAsia="Calibri" w:hAnsi="Palatino Linotype" w:cs="Arial"/>
          <w:lang w:val="es-ES" w:eastAsia="es-ES"/>
        </w:rPr>
        <w:t xml:space="preserve">; </w:t>
      </w:r>
    </w:p>
    <w:p w14:paraId="637A3486" w14:textId="4A665D08" w:rsidR="00964C1E" w:rsidRPr="00FE301B" w:rsidRDefault="00964C1E" w:rsidP="00F26763">
      <w:pPr>
        <w:pStyle w:val="Prrafodelista"/>
        <w:numPr>
          <w:ilvl w:val="0"/>
          <w:numId w:val="15"/>
        </w:numPr>
        <w:pBdr>
          <w:top w:val="nil"/>
          <w:left w:val="nil"/>
          <w:bottom w:val="nil"/>
          <w:right w:val="nil"/>
          <w:between w:val="nil"/>
          <w:bar w:val="nil"/>
        </w:pBdr>
        <w:spacing w:after="0" w:line="360" w:lineRule="auto"/>
        <w:ind w:left="567" w:right="616" w:firstLine="0"/>
        <w:jc w:val="both"/>
        <w:rPr>
          <w:rFonts w:ascii="Palatino Linotype" w:eastAsia="Calibri" w:hAnsi="Palatino Linotype" w:cs="Arial"/>
          <w:lang w:val="es-ES" w:eastAsia="es-ES"/>
        </w:rPr>
      </w:pPr>
      <w:r w:rsidRPr="00FE301B">
        <w:rPr>
          <w:rFonts w:ascii="Palatino Linotype" w:eastAsia="Calibri" w:hAnsi="Palatino Linotype" w:cs="Arial"/>
          <w:lang w:val="es-ES" w:eastAsia="es-ES"/>
        </w:rPr>
        <w:t>La limitación debe estar orientada al logro de objetivos imperiosos autorizados por la Convención Americana y;</w:t>
      </w:r>
    </w:p>
    <w:p w14:paraId="3F31D3CA" w14:textId="355275A2" w:rsidR="00964C1E" w:rsidRDefault="00964C1E" w:rsidP="00964C1E">
      <w:pPr>
        <w:pStyle w:val="Prrafodelista"/>
        <w:numPr>
          <w:ilvl w:val="0"/>
          <w:numId w:val="15"/>
        </w:numPr>
        <w:pBdr>
          <w:top w:val="nil"/>
          <w:left w:val="nil"/>
          <w:bottom w:val="nil"/>
          <w:right w:val="nil"/>
          <w:between w:val="nil"/>
          <w:bar w:val="nil"/>
        </w:pBdr>
        <w:spacing w:after="0" w:line="360" w:lineRule="auto"/>
        <w:ind w:left="567" w:right="616" w:firstLine="0"/>
        <w:jc w:val="both"/>
        <w:rPr>
          <w:rFonts w:ascii="Palatino Linotype" w:eastAsia="Calibri" w:hAnsi="Palatino Linotype" w:cs="Arial"/>
          <w:lang w:val="es-ES" w:eastAsia="es-ES"/>
        </w:rPr>
      </w:pPr>
      <w:r w:rsidRPr="00FE301B">
        <w:rPr>
          <w:rFonts w:ascii="Palatino Linotype" w:eastAsia="Calibri" w:hAnsi="Palatino Linotype" w:cs="Arial"/>
          <w:lang w:val="es-ES" w:eastAsia="es-ES"/>
        </w:rPr>
        <w:lastRenderedPageBreak/>
        <w:t>La limitación debe ser necesaria en una sociedad democrática para el logro de los fines imperiosos que se buscan; estrictamente proporcionada a la finalidad perseguida; e idónea para lograr el objetivo imperioso que pretende lograr.</w:t>
      </w:r>
    </w:p>
    <w:p w14:paraId="37778AEA" w14:textId="77777777" w:rsidR="008C5C3F" w:rsidRPr="008A4B0D" w:rsidRDefault="008C5C3F" w:rsidP="008C5C3F">
      <w:pPr>
        <w:pBdr>
          <w:top w:val="nil"/>
          <w:left w:val="nil"/>
          <w:bottom w:val="nil"/>
          <w:right w:val="nil"/>
          <w:between w:val="nil"/>
          <w:bar w:val="nil"/>
        </w:pBdr>
        <w:spacing w:after="0" w:line="360" w:lineRule="auto"/>
        <w:ind w:left="567" w:right="616"/>
        <w:jc w:val="both"/>
        <w:rPr>
          <w:rFonts w:ascii="Palatino Linotype" w:eastAsia="Calibri" w:hAnsi="Palatino Linotype" w:cs="Arial"/>
          <w:lang w:val="es-ES" w:eastAsia="es-ES"/>
        </w:rPr>
      </w:pPr>
    </w:p>
    <w:p w14:paraId="39B29092" w14:textId="2835236B" w:rsidR="00964C1E" w:rsidRPr="002A43BC" w:rsidRDefault="00964C1E" w:rsidP="00964C1E">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bookmarkStart w:id="4" w:name="_Toc21366015"/>
      <w:r>
        <w:rPr>
          <w:rFonts w:ascii="Palatino Linotype" w:eastAsiaTheme="majorEastAsia" w:hAnsi="Palatino Linotype" w:cstheme="majorBidi"/>
          <w:b/>
          <w:sz w:val="24"/>
          <w:szCs w:val="24"/>
          <w:bdr w:val="nil"/>
        </w:rPr>
        <w:t>II. La determinación de la mayoría del Pleno.</w:t>
      </w:r>
      <w:bookmarkEnd w:id="4"/>
    </w:p>
    <w:p w14:paraId="2EC87C76" w14:textId="7C526C61" w:rsidR="00964C1E" w:rsidRDefault="00964C1E" w:rsidP="00964C1E">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727D69AD" w14:textId="1F6E0B89" w:rsidR="002B000F" w:rsidRDefault="00964C1E" w:rsidP="00964C1E">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El Pleno de este Instituto </w:t>
      </w:r>
      <w:r w:rsidR="00B14249">
        <w:rPr>
          <w:rFonts w:ascii="Palatino Linotype" w:eastAsia="Calibri" w:hAnsi="Palatino Linotype" w:cs="Arial"/>
          <w:sz w:val="24"/>
          <w:szCs w:val="24"/>
          <w:lang w:val="es-ES" w:eastAsia="es-ES"/>
        </w:rPr>
        <w:t>sostuvo</w:t>
      </w:r>
      <w:r>
        <w:rPr>
          <w:rFonts w:ascii="Palatino Linotype" w:eastAsia="Calibri" w:hAnsi="Palatino Linotype" w:cs="Arial"/>
          <w:sz w:val="24"/>
          <w:szCs w:val="24"/>
          <w:lang w:val="es-ES" w:eastAsia="es-ES"/>
        </w:rPr>
        <w:t xml:space="preserve"> </w:t>
      </w:r>
      <w:r w:rsidR="001B2FE3">
        <w:rPr>
          <w:rFonts w:ascii="Palatino Linotype" w:eastAsia="Calibri" w:hAnsi="Palatino Linotype" w:cs="Arial"/>
          <w:sz w:val="24"/>
          <w:szCs w:val="24"/>
          <w:lang w:val="es-ES" w:eastAsia="es-ES"/>
        </w:rPr>
        <w:t>que,</w:t>
      </w:r>
      <w:r>
        <w:rPr>
          <w:rFonts w:ascii="Palatino Linotype" w:eastAsia="Calibri" w:hAnsi="Palatino Linotype" w:cs="Arial"/>
          <w:sz w:val="24"/>
          <w:szCs w:val="24"/>
          <w:lang w:val="es-ES" w:eastAsia="es-ES"/>
        </w:rPr>
        <w:t xml:space="preserve"> si bien </w:t>
      </w:r>
      <w:r w:rsidR="008C5C3F">
        <w:rPr>
          <w:rFonts w:ascii="Palatino Linotype" w:eastAsia="Calibri" w:hAnsi="Palatino Linotype" w:cs="Arial"/>
          <w:sz w:val="24"/>
          <w:szCs w:val="24"/>
          <w:lang w:val="es-ES" w:eastAsia="es-ES"/>
        </w:rPr>
        <w:t>las personas</w:t>
      </w:r>
      <w:r>
        <w:rPr>
          <w:rFonts w:ascii="Palatino Linotype" w:eastAsia="Calibri" w:hAnsi="Palatino Linotype" w:cs="Arial"/>
          <w:sz w:val="24"/>
          <w:szCs w:val="24"/>
          <w:lang w:val="es-ES" w:eastAsia="es-ES"/>
        </w:rPr>
        <w:t xml:space="preserve"> tiene</w:t>
      </w:r>
      <w:r w:rsidR="008C5C3F">
        <w:rPr>
          <w:rFonts w:ascii="Palatino Linotype" w:eastAsia="Calibri" w:hAnsi="Palatino Linotype" w:cs="Arial"/>
          <w:sz w:val="24"/>
          <w:szCs w:val="24"/>
          <w:lang w:val="es-ES" w:eastAsia="es-ES"/>
        </w:rPr>
        <w:t>n</w:t>
      </w:r>
      <w:r>
        <w:rPr>
          <w:rFonts w:ascii="Palatino Linotype" w:eastAsia="Calibri" w:hAnsi="Palatino Linotype" w:cs="Arial"/>
          <w:sz w:val="24"/>
          <w:szCs w:val="24"/>
          <w:lang w:val="es-ES" w:eastAsia="es-ES"/>
        </w:rPr>
        <w:t xml:space="preserve"> derecho </w:t>
      </w:r>
      <w:r w:rsidR="00FE301B">
        <w:rPr>
          <w:rFonts w:ascii="Palatino Linotype" w:eastAsia="Calibri" w:hAnsi="Palatino Linotype" w:cs="Arial"/>
          <w:sz w:val="24"/>
          <w:szCs w:val="24"/>
          <w:lang w:val="es-ES" w:eastAsia="es-ES"/>
        </w:rPr>
        <w:t xml:space="preserve">de </w:t>
      </w:r>
      <w:r w:rsidR="002B000F">
        <w:rPr>
          <w:rFonts w:ascii="Palatino Linotype" w:eastAsia="Calibri" w:hAnsi="Palatino Linotype" w:cs="Arial"/>
          <w:sz w:val="24"/>
          <w:szCs w:val="24"/>
          <w:lang w:val="es-ES" w:eastAsia="es-ES"/>
        </w:rPr>
        <w:t>acceder a la información en posesión de los sujetos obligados, este derecho encuentra su limitante en la clasificación de la información, lo cual sucedió en el presente asunto, por el hecho de que al actualizar una causal de reserva por corresponder a un procedimiento en curso de naturaleza penal, por lo que se confirmó el acuerdo emitido por el Comité de Transparencia de la Fiscalía General de Justicia del Estado de México mediante el cual clasif</w:t>
      </w:r>
      <w:r w:rsidR="00627742">
        <w:rPr>
          <w:rFonts w:ascii="Palatino Linotype" w:eastAsia="Calibri" w:hAnsi="Palatino Linotype" w:cs="Arial"/>
          <w:sz w:val="24"/>
          <w:szCs w:val="24"/>
          <w:lang w:val="es-ES" w:eastAsia="es-ES"/>
        </w:rPr>
        <w:t>icó como información reservada el espacio médico y las circunstancias que dieron origen a las negligencias médicas de las 24 carpetas de investigación referidas en respuesta.</w:t>
      </w:r>
    </w:p>
    <w:p w14:paraId="0CD9C276" w14:textId="77777777" w:rsidR="002B000F" w:rsidRDefault="002B000F" w:rsidP="002B000F">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6BB0E899" w14:textId="0EBB4F51" w:rsidR="00627742" w:rsidRDefault="00551216" w:rsidP="00551216">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El estudio de la resolución </w:t>
      </w:r>
      <w:r w:rsidR="00627742">
        <w:rPr>
          <w:rFonts w:ascii="Palatino Linotype" w:eastAsia="Calibri" w:hAnsi="Palatino Linotype" w:cs="Arial"/>
          <w:sz w:val="24"/>
          <w:szCs w:val="24"/>
          <w:lang w:val="es-ES" w:eastAsia="es-ES"/>
        </w:rPr>
        <w:t>se limita a mencionar la normatividad en materia de transparencia a efecto de orientar al Sujeto Obligado para realizar de manera correcta el acuerdo de clasificación debidamente fundamentado.</w:t>
      </w:r>
    </w:p>
    <w:p w14:paraId="094D031E" w14:textId="77777777" w:rsidR="00627742" w:rsidRPr="00627742" w:rsidRDefault="00627742" w:rsidP="00627742">
      <w:pPr>
        <w:pStyle w:val="Prrafodelista"/>
        <w:rPr>
          <w:rFonts w:ascii="Palatino Linotype" w:eastAsia="Calibri" w:hAnsi="Palatino Linotype" w:cs="Arial"/>
          <w:sz w:val="24"/>
          <w:szCs w:val="24"/>
          <w:lang w:val="es-ES" w:eastAsia="es-ES"/>
        </w:rPr>
      </w:pPr>
    </w:p>
    <w:p w14:paraId="4797AC0E" w14:textId="6A331E8D" w:rsidR="0078362A" w:rsidRPr="009F4DB4" w:rsidRDefault="009F4DB4" w:rsidP="009F4DB4">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b/>
          <w:sz w:val="24"/>
          <w:szCs w:val="24"/>
          <w:lang w:val="es-ES" w:eastAsia="es-ES"/>
        </w:rPr>
      </w:pPr>
      <w:r>
        <w:rPr>
          <w:rFonts w:ascii="Palatino Linotype" w:eastAsia="Calibri" w:hAnsi="Palatino Linotype" w:cs="Arial"/>
          <w:sz w:val="24"/>
          <w:szCs w:val="24"/>
          <w:lang w:val="es-ES" w:eastAsia="es-ES"/>
        </w:rPr>
        <w:lastRenderedPageBreak/>
        <w:t>Si bien es cierto, por regla general, cuando exista información que integren las carpetas de investigación debe prevalecer la reserva y sigilo de la información, a efecto de no vulnerar la conducción del procedimiento penal; sin embargo, s</w:t>
      </w:r>
      <w:r w:rsidR="00551216" w:rsidRPr="009F4DB4">
        <w:rPr>
          <w:rFonts w:ascii="Palatino Linotype" w:eastAsia="Calibri" w:hAnsi="Palatino Linotype" w:cs="Arial"/>
          <w:sz w:val="24"/>
          <w:szCs w:val="24"/>
          <w:lang w:val="es-ES" w:eastAsia="es-ES"/>
        </w:rPr>
        <w:t xml:space="preserve">i bien la información forma parte de un proceso seguido en forma de juicio, lo cierto es que, </w:t>
      </w:r>
      <w:r>
        <w:rPr>
          <w:rFonts w:ascii="Palatino Linotype" w:eastAsia="Calibri" w:hAnsi="Palatino Linotype" w:cs="Arial"/>
          <w:sz w:val="24"/>
          <w:szCs w:val="24"/>
          <w:lang w:val="es-ES" w:eastAsia="es-ES"/>
        </w:rPr>
        <w:t xml:space="preserve">al identificarse </w:t>
      </w:r>
      <w:r w:rsidR="00551216" w:rsidRPr="009F4DB4">
        <w:rPr>
          <w:rFonts w:ascii="Palatino Linotype" w:eastAsia="Calibri" w:hAnsi="Palatino Linotype" w:cs="Arial"/>
          <w:sz w:val="24"/>
          <w:szCs w:val="24"/>
          <w:lang w:val="es-ES" w:eastAsia="es-ES"/>
        </w:rPr>
        <w:t xml:space="preserve">posibles vulneraciones graves a derechos humanos, como lo es el derecho a la vida, </w:t>
      </w:r>
      <w:r>
        <w:rPr>
          <w:rFonts w:ascii="Palatino Linotype" w:eastAsia="Calibri" w:hAnsi="Palatino Linotype" w:cs="Arial"/>
          <w:sz w:val="24"/>
          <w:szCs w:val="24"/>
          <w:lang w:val="es-ES" w:eastAsia="es-ES"/>
        </w:rPr>
        <w:t xml:space="preserve">derecho a la salud, a la integridad y seguridad personal, </w:t>
      </w:r>
      <w:r w:rsidRPr="009F4DB4">
        <w:rPr>
          <w:rFonts w:ascii="Palatino Linotype" w:eastAsia="Calibri" w:hAnsi="Palatino Linotype" w:cs="Arial"/>
          <w:b/>
          <w:sz w:val="24"/>
          <w:szCs w:val="24"/>
          <w:lang w:val="es-ES" w:eastAsia="es-ES"/>
        </w:rPr>
        <w:t xml:space="preserve">actualiza </w:t>
      </w:r>
      <w:r w:rsidR="00551216" w:rsidRPr="009F4DB4">
        <w:rPr>
          <w:rFonts w:ascii="Palatino Linotype" w:eastAsia="Calibri" w:hAnsi="Palatino Linotype" w:cs="Arial"/>
          <w:b/>
          <w:sz w:val="24"/>
          <w:szCs w:val="24"/>
          <w:lang w:val="es-ES" w:eastAsia="es-ES"/>
        </w:rPr>
        <w:t>una excepción a la clasificación por reserva, conforme al artículo 142, fracción II de la Ley de Transparencia y Acceso a la Información Pública del Estado de México y Municipios.</w:t>
      </w:r>
    </w:p>
    <w:p w14:paraId="562B54C7" w14:textId="77777777" w:rsidR="008C5C3F" w:rsidRPr="0078362A" w:rsidRDefault="008C5C3F" w:rsidP="0078362A">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1DDB0384" w14:textId="380BCE17" w:rsidR="00265603" w:rsidRPr="0078362A" w:rsidRDefault="00265603" w:rsidP="0078362A">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bookmarkStart w:id="5" w:name="_Toc21366016"/>
      <w:r w:rsidRPr="0078362A">
        <w:rPr>
          <w:rFonts w:ascii="Palatino Linotype" w:eastAsiaTheme="majorEastAsia" w:hAnsi="Palatino Linotype" w:cstheme="majorBidi"/>
          <w:b/>
          <w:sz w:val="24"/>
          <w:szCs w:val="24"/>
          <w:bdr w:val="nil"/>
        </w:rPr>
        <w:t>I</w:t>
      </w:r>
      <w:r w:rsidR="0027224D">
        <w:rPr>
          <w:rFonts w:ascii="Palatino Linotype" w:eastAsiaTheme="majorEastAsia" w:hAnsi="Palatino Linotype" w:cstheme="majorBidi"/>
          <w:b/>
          <w:sz w:val="24"/>
          <w:szCs w:val="24"/>
          <w:bdr w:val="nil"/>
        </w:rPr>
        <w:t>II</w:t>
      </w:r>
      <w:r w:rsidRPr="0078362A">
        <w:rPr>
          <w:rFonts w:ascii="Palatino Linotype" w:eastAsiaTheme="majorEastAsia" w:hAnsi="Palatino Linotype" w:cstheme="majorBidi"/>
          <w:b/>
          <w:sz w:val="24"/>
          <w:szCs w:val="24"/>
          <w:bdr w:val="nil"/>
        </w:rPr>
        <w:t>. La obstaculiz</w:t>
      </w:r>
      <w:r w:rsidR="008A4B0D">
        <w:rPr>
          <w:rFonts w:ascii="Palatino Linotype" w:eastAsiaTheme="majorEastAsia" w:hAnsi="Palatino Linotype" w:cstheme="majorBidi"/>
          <w:b/>
          <w:sz w:val="24"/>
          <w:szCs w:val="24"/>
          <w:bdr w:val="nil"/>
        </w:rPr>
        <w:t>a</w:t>
      </w:r>
      <w:r w:rsidRPr="0078362A">
        <w:rPr>
          <w:rFonts w:ascii="Palatino Linotype" w:eastAsiaTheme="majorEastAsia" w:hAnsi="Palatino Linotype" w:cstheme="majorBidi"/>
          <w:b/>
          <w:sz w:val="24"/>
          <w:szCs w:val="24"/>
          <w:bdr w:val="nil"/>
        </w:rPr>
        <w:t>ción de actuaciones judiciales</w:t>
      </w:r>
      <w:bookmarkEnd w:id="5"/>
      <w:r w:rsidR="005224AF">
        <w:rPr>
          <w:rFonts w:ascii="Palatino Linotype" w:eastAsiaTheme="majorEastAsia" w:hAnsi="Palatino Linotype" w:cstheme="majorBidi"/>
          <w:b/>
          <w:sz w:val="24"/>
          <w:szCs w:val="24"/>
          <w:bdr w:val="nil"/>
        </w:rPr>
        <w:t>.</w:t>
      </w:r>
      <w:r w:rsidRPr="0078362A">
        <w:rPr>
          <w:rFonts w:ascii="Palatino Linotype" w:eastAsiaTheme="majorEastAsia" w:hAnsi="Palatino Linotype" w:cstheme="majorBidi"/>
          <w:b/>
          <w:sz w:val="24"/>
          <w:szCs w:val="24"/>
          <w:bdr w:val="nil"/>
        </w:rPr>
        <w:t xml:space="preserve"> </w:t>
      </w:r>
    </w:p>
    <w:p w14:paraId="51C7CFFF" w14:textId="79833BD4" w:rsidR="00265603" w:rsidRDefault="00265603" w:rsidP="004B4437">
      <w:pPr>
        <w:pBdr>
          <w:top w:val="nil"/>
          <w:left w:val="nil"/>
          <w:bottom w:val="nil"/>
          <w:right w:val="nil"/>
          <w:between w:val="nil"/>
          <w:bar w:val="nil"/>
        </w:pBdr>
        <w:spacing w:after="0" w:line="360" w:lineRule="auto"/>
        <w:jc w:val="both"/>
        <w:rPr>
          <w:rFonts w:ascii="Palatino Linotype" w:eastAsiaTheme="majorEastAsia" w:hAnsi="Palatino Linotype" w:cstheme="majorBidi"/>
          <w:b/>
          <w:sz w:val="24"/>
          <w:szCs w:val="24"/>
          <w:bdr w:val="nil"/>
        </w:rPr>
      </w:pPr>
    </w:p>
    <w:p w14:paraId="6EBC15AE" w14:textId="70CF1A51" w:rsidR="00773410" w:rsidRPr="00781609" w:rsidRDefault="00265603" w:rsidP="004B4437">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Theme="majorEastAsia" w:hAnsi="Palatino Linotype" w:cstheme="majorBidi"/>
          <w:bCs/>
          <w:sz w:val="24"/>
          <w:szCs w:val="24"/>
          <w:bdr w:val="nil"/>
        </w:rPr>
      </w:pPr>
      <w:r w:rsidRPr="0078362A">
        <w:rPr>
          <w:rFonts w:ascii="Palatino Linotype" w:eastAsiaTheme="majorEastAsia" w:hAnsi="Palatino Linotype" w:cstheme="majorBidi"/>
          <w:bCs/>
          <w:sz w:val="24"/>
          <w:szCs w:val="24"/>
          <w:bdr w:val="nil"/>
        </w:rPr>
        <w:t xml:space="preserve">En </w:t>
      </w:r>
      <w:r w:rsidR="0078362A" w:rsidRPr="0078362A">
        <w:rPr>
          <w:rFonts w:ascii="Palatino Linotype" w:eastAsiaTheme="majorEastAsia" w:hAnsi="Palatino Linotype" w:cstheme="majorBidi"/>
          <w:bCs/>
          <w:sz w:val="24"/>
          <w:szCs w:val="24"/>
          <w:bdr w:val="nil"/>
        </w:rPr>
        <w:t>el presente</w:t>
      </w:r>
      <w:r w:rsidRPr="0078362A">
        <w:rPr>
          <w:rFonts w:ascii="Palatino Linotype" w:eastAsiaTheme="majorEastAsia" w:hAnsi="Palatino Linotype" w:cstheme="majorBidi"/>
          <w:bCs/>
          <w:sz w:val="24"/>
          <w:szCs w:val="24"/>
          <w:bdr w:val="nil"/>
        </w:rPr>
        <w:t xml:space="preserve"> asunto, es evidente de que se trata de actuaciones administrativas de carácter prejudicial al consistir la pretensión de acceder a una carpeta penal, la </w:t>
      </w:r>
      <w:r w:rsidR="009F4DB4">
        <w:rPr>
          <w:rFonts w:ascii="Palatino Linotype" w:eastAsiaTheme="majorEastAsia" w:hAnsi="Palatino Linotype" w:cstheme="majorBidi"/>
          <w:bCs/>
          <w:sz w:val="24"/>
          <w:szCs w:val="24"/>
          <w:bdr w:val="nil"/>
        </w:rPr>
        <w:t>se encuentra en proceso de integración, es decir, en la etapa de investigación, a lo dicho por el Sujeto Obligado.</w:t>
      </w:r>
      <w:r w:rsidRPr="0078362A">
        <w:rPr>
          <w:rFonts w:ascii="Palatino Linotype" w:eastAsiaTheme="majorEastAsia" w:hAnsi="Palatino Linotype" w:cstheme="majorBidi"/>
          <w:bCs/>
          <w:sz w:val="24"/>
          <w:szCs w:val="24"/>
          <w:bdr w:val="nil"/>
        </w:rPr>
        <w:t xml:space="preserve"> </w:t>
      </w:r>
      <w:r w:rsidR="009F4DB4">
        <w:rPr>
          <w:rFonts w:ascii="Palatino Linotype" w:eastAsiaTheme="majorEastAsia" w:hAnsi="Palatino Linotype" w:cstheme="majorBidi"/>
          <w:bCs/>
          <w:sz w:val="24"/>
          <w:szCs w:val="24"/>
          <w:bdr w:val="nil"/>
        </w:rPr>
        <w:t>E</w:t>
      </w:r>
      <w:r w:rsidRPr="0078362A">
        <w:rPr>
          <w:rFonts w:ascii="Palatino Linotype" w:eastAsiaTheme="majorEastAsia" w:hAnsi="Palatino Linotype" w:cstheme="majorBidi"/>
          <w:bCs/>
          <w:sz w:val="24"/>
          <w:szCs w:val="24"/>
          <w:bdr w:val="nil"/>
        </w:rPr>
        <w:t>s importante traer a colación lo que establece el artículo 20</w:t>
      </w:r>
      <w:r w:rsidR="0078362A">
        <w:rPr>
          <w:rFonts w:ascii="Palatino Linotype" w:eastAsiaTheme="majorEastAsia" w:hAnsi="Palatino Linotype" w:cstheme="majorBidi"/>
          <w:bCs/>
          <w:sz w:val="24"/>
          <w:szCs w:val="24"/>
          <w:bdr w:val="nil"/>
        </w:rPr>
        <w:t xml:space="preserve"> constitucional</w:t>
      </w:r>
      <w:r w:rsidR="0078362A" w:rsidRPr="0078362A">
        <w:rPr>
          <w:rFonts w:ascii="Palatino Linotype" w:eastAsiaTheme="majorEastAsia" w:hAnsi="Palatino Linotype" w:cstheme="majorBidi"/>
          <w:bCs/>
          <w:sz w:val="24"/>
          <w:szCs w:val="24"/>
          <w:bdr w:val="nil"/>
        </w:rPr>
        <w:t>,</w:t>
      </w:r>
      <w:r w:rsidRPr="0078362A">
        <w:rPr>
          <w:rFonts w:ascii="Palatino Linotype" w:eastAsiaTheme="majorEastAsia" w:hAnsi="Palatino Linotype" w:cstheme="majorBidi"/>
          <w:bCs/>
          <w:sz w:val="24"/>
          <w:szCs w:val="24"/>
          <w:bdr w:val="nil"/>
        </w:rPr>
        <w:t xml:space="preserve"> apartado A fracción I, el cual señala que</w:t>
      </w:r>
      <w:r w:rsidR="0078362A">
        <w:rPr>
          <w:rFonts w:ascii="Palatino Linotype" w:eastAsiaTheme="majorEastAsia" w:hAnsi="Palatino Linotype" w:cstheme="majorBidi"/>
          <w:bCs/>
          <w:sz w:val="24"/>
          <w:szCs w:val="24"/>
          <w:bdr w:val="nil"/>
        </w:rPr>
        <w:t>:</w:t>
      </w:r>
      <w:r w:rsidRPr="0078362A">
        <w:rPr>
          <w:rFonts w:ascii="Palatino Linotype" w:eastAsiaTheme="majorEastAsia" w:hAnsi="Palatino Linotype" w:cstheme="majorBidi"/>
          <w:bCs/>
          <w:sz w:val="24"/>
          <w:szCs w:val="24"/>
          <w:bdr w:val="nil"/>
        </w:rPr>
        <w:t xml:space="preserve"> </w:t>
      </w:r>
      <w:r w:rsidR="0078362A" w:rsidRPr="0078362A">
        <w:rPr>
          <w:rFonts w:ascii="Palatino Linotype" w:eastAsiaTheme="majorEastAsia" w:hAnsi="Palatino Linotype" w:cstheme="majorBidi"/>
          <w:b/>
          <w:sz w:val="24"/>
          <w:szCs w:val="24"/>
          <w:bdr w:val="nil"/>
        </w:rPr>
        <w:t>“E</w:t>
      </w:r>
      <w:r w:rsidRPr="0078362A">
        <w:rPr>
          <w:rFonts w:ascii="Palatino Linotype" w:eastAsiaTheme="majorEastAsia" w:hAnsi="Palatino Linotype" w:cstheme="majorBidi"/>
          <w:b/>
          <w:sz w:val="24"/>
          <w:szCs w:val="24"/>
          <w:bdr w:val="nil"/>
        </w:rPr>
        <w:t>l proceso penal tendrá por objeto el esclarecimiento de los hechos, proteger al inocente y procurar que el culpable no quede impune y que los daños causados por el delito se repare</w:t>
      </w:r>
      <w:r w:rsidR="0078362A" w:rsidRPr="0078362A">
        <w:rPr>
          <w:rFonts w:ascii="Palatino Linotype" w:eastAsiaTheme="majorEastAsia" w:hAnsi="Palatino Linotype" w:cstheme="majorBidi"/>
          <w:b/>
          <w:sz w:val="24"/>
          <w:szCs w:val="24"/>
          <w:bdr w:val="nil"/>
        </w:rPr>
        <w:t>n”.</w:t>
      </w:r>
      <w:r w:rsidR="0078362A">
        <w:rPr>
          <w:rFonts w:ascii="Palatino Linotype" w:eastAsiaTheme="majorEastAsia" w:hAnsi="Palatino Linotype" w:cstheme="majorBidi"/>
          <w:bCs/>
          <w:sz w:val="24"/>
          <w:szCs w:val="24"/>
          <w:bdr w:val="nil"/>
        </w:rPr>
        <w:t xml:space="preserve"> </w:t>
      </w:r>
      <w:r w:rsidRPr="0078362A">
        <w:rPr>
          <w:rFonts w:ascii="Palatino Linotype" w:eastAsiaTheme="majorEastAsia" w:hAnsi="Palatino Linotype" w:cstheme="majorBidi"/>
          <w:bCs/>
          <w:sz w:val="24"/>
          <w:szCs w:val="24"/>
          <w:bdr w:val="nil"/>
        </w:rPr>
        <w:t xml:space="preserve"> </w:t>
      </w:r>
      <w:r w:rsidR="0078362A">
        <w:rPr>
          <w:rFonts w:ascii="Palatino Linotype" w:eastAsiaTheme="majorEastAsia" w:hAnsi="Palatino Linotype" w:cstheme="majorBidi"/>
          <w:bCs/>
          <w:sz w:val="24"/>
          <w:szCs w:val="24"/>
          <w:bdr w:val="nil"/>
        </w:rPr>
        <w:t>P</w:t>
      </w:r>
      <w:r w:rsidRPr="0078362A">
        <w:rPr>
          <w:rFonts w:ascii="Palatino Linotype" w:eastAsiaTheme="majorEastAsia" w:hAnsi="Palatino Linotype" w:cstheme="majorBidi"/>
          <w:bCs/>
          <w:sz w:val="24"/>
          <w:szCs w:val="24"/>
          <w:bdr w:val="nil"/>
        </w:rPr>
        <w:t xml:space="preserve">ara cumplir con ese principio general del proceso, la legislación determina diferentes etapas, entre ellas se encuentra la etapa de </w:t>
      </w:r>
      <w:r w:rsidR="00781609" w:rsidRPr="00781609">
        <w:rPr>
          <w:rFonts w:ascii="Palatino Linotype" w:eastAsiaTheme="majorEastAsia" w:hAnsi="Palatino Linotype" w:cstheme="majorBidi"/>
          <w:b/>
          <w:sz w:val="24"/>
          <w:szCs w:val="24"/>
          <w:bdr w:val="nil"/>
        </w:rPr>
        <w:t>investigación</w:t>
      </w:r>
      <w:r w:rsidR="00502CAF">
        <w:rPr>
          <w:rFonts w:ascii="Palatino Linotype" w:eastAsiaTheme="majorEastAsia" w:hAnsi="Palatino Linotype" w:cstheme="majorBidi"/>
          <w:b/>
          <w:sz w:val="24"/>
          <w:szCs w:val="24"/>
          <w:bdr w:val="nil"/>
        </w:rPr>
        <w:t xml:space="preserve"> a</w:t>
      </w:r>
      <w:r w:rsidR="00781609" w:rsidRPr="00781609">
        <w:rPr>
          <w:rFonts w:ascii="Palatino Linotype" w:eastAsiaTheme="majorEastAsia" w:hAnsi="Palatino Linotype" w:cstheme="majorBidi"/>
          <w:b/>
          <w:sz w:val="24"/>
          <w:szCs w:val="24"/>
          <w:bdr w:val="nil"/>
        </w:rPr>
        <w:t xml:space="preserve"> cargo</w:t>
      </w:r>
      <w:r w:rsidRPr="00781609">
        <w:rPr>
          <w:rFonts w:ascii="Palatino Linotype" w:eastAsiaTheme="majorEastAsia" w:hAnsi="Palatino Linotype" w:cstheme="majorBidi"/>
          <w:b/>
          <w:sz w:val="24"/>
          <w:szCs w:val="24"/>
          <w:bdr w:val="nil"/>
        </w:rPr>
        <w:t xml:space="preserve"> del Ministerio </w:t>
      </w:r>
      <w:r w:rsidR="00781609" w:rsidRPr="00781609">
        <w:rPr>
          <w:rFonts w:ascii="Palatino Linotype" w:eastAsiaTheme="majorEastAsia" w:hAnsi="Palatino Linotype" w:cstheme="majorBidi"/>
          <w:b/>
          <w:sz w:val="24"/>
          <w:szCs w:val="24"/>
          <w:bdr w:val="nil"/>
        </w:rPr>
        <w:t>Público</w:t>
      </w:r>
      <w:r w:rsidR="00781609">
        <w:rPr>
          <w:rFonts w:ascii="Palatino Linotype" w:eastAsiaTheme="majorEastAsia" w:hAnsi="Palatino Linotype" w:cstheme="majorBidi"/>
          <w:bCs/>
          <w:sz w:val="24"/>
          <w:szCs w:val="24"/>
          <w:bdr w:val="nil"/>
        </w:rPr>
        <w:t>, la cual</w:t>
      </w:r>
      <w:r w:rsidR="00773410" w:rsidRPr="00781609">
        <w:rPr>
          <w:rFonts w:ascii="Palatino Linotype" w:eastAsiaTheme="majorEastAsia" w:hAnsi="Palatino Linotype" w:cstheme="majorBidi"/>
          <w:bCs/>
          <w:sz w:val="24"/>
          <w:szCs w:val="24"/>
          <w:bdr w:val="nil"/>
        </w:rPr>
        <w:t xml:space="preserve"> debe desarrollarse bajo los </w:t>
      </w:r>
      <w:r w:rsidR="00773410" w:rsidRPr="00781609">
        <w:rPr>
          <w:rFonts w:ascii="Palatino Linotype" w:eastAsiaTheme="majorEastAsia" w:hAnsi="Palatino Linotype" w:cstheme="majorBidi"/>
          <w:bCs/>
          <w:sz w:val="24"/>
          <w:szCs w:val="24"/>
          <w:bdr w:val="nil"/>
        </w:rPr>
        <w:lastRenderedPageBreak/>
        <w:t>principios que determina el artículo 214 del Código Nacional de Procedimientos Penales los cuales son;</w:t>
      </w:r>
    </w:p>
    <w:p w14:paraId="4007E52E" w14:textId="09EFF014" w:rsidR="00773410" w:rsidRDefault="00773410" w:rsidP="004B4437">
      <w:pPr>
        <w:pBdr>
          <w:top w:val="nil"/>
          <w:left w:val="nil"/>
          <w:bottom w:val="nil"/>
          <w:right w:val="nil"/>
          <w:between w:val="nil"/>
          <w:bar w:val="nil"/>
        </w:pBdr>
        <w:spacing w:after="0" w:line="360" w:lineRule="auto"/>
        <w:jc w:val="both"/>
        <w:rPr>
          <w:rFonts w:ascii="Palatino Linotype" w:eastAsiaTheme="majorEastAsia" w:hAnsi="Palatino Linotype" w:cstheme="majorBidi"/>
          <w:bCs/>
          <w:sz w:val="24"/>
          <w:szCs w:val="24"/>
          <w:bdr w:val="nil"/>
        </w:rPr>
      </w:pPr>
    </w:p>
    <w:p w14:paraId="54D9E4FD" w14:textId="4251B4AA" w:rsidR="00773410" w:rsidRPr="00502CAF" w:rsidRDefault="00502CAF" w:rsidP="00781609">
      <w:pPr>
        <w:pBdr>
          <w:top w:val="nil"/>
          <w:left w:val="nil"/>
          <w:bottom w:val="nil"/>
          <w:right w:val="nil"/>
          <w:between w:val="nil"/>
          <w:bar w:val="nil"/>
        </w:pBdr>
        <w:spacing w:after="0" w:line="360" w:lineRule="auto"/>
        <w:ind w:left="567" w:right="616"/>
        <w:jc w:val="both"/>
        <w:rPr>
          <w:rFonts w:ascii="Palatino Linotype" w:eastAsiaTheme="majorEastAsia" w:hAnsi="Palatino Linotype" w:cstheme="majorBidi"/>
          <w:bCs/>
          <w:i/>
          <w:iCs/>
          <w:bdr w:val="nil"/>
        </w:rPr>
      </w:pPr>
      <w:r>
        <w:rPr>
          <w:rFonts w:ascii="Palatino Linotype" w:eastAsiaTheme="majorEastAsia" w:hAnsi="Palatino Linotype" w:cstheme="majorBidi"/>
          <w:bCs/>
          <w:i/>
          <w:iCs/>
          <w:bdr w:val="nil"/>
        </w:rPr>
        <w:t>“</w:t>
      </w:r>
      <w:r w:rsidR="00781609" w:rsidRPr="00502CAF">
        <w:rPr>
          <w:rFonts w:ascii="Palatino Linotype" w:eastAsiaTheme="majorEastAsia" w:hAnsi="Palatino Linotype" w:cstheme="majorBidi"/>
          <w:b/>
          <w:i/>
          <w:iCs/>
          <w:bdr w:val="nil"/>
        </w:rPr>
        <w:t>Artículo 214.</w:t>
      </w:r>
      <w:r w:rsidR="00781609" w:rsidRPr="00502CAF">
        <w:rPr>
          <w:rFonts w:ascii="Palatino Linotype" w:eastAsiaTheme="majorEastAsia" w:hAnsi="Palatino Linotype" w:cstheme="majorBidi"/>
          <w:bCs/>
          <w:i/>
          <w:iCs/>
          <w:bdr w:val="nil"/>
        </w:rPr>
        <w:t xml:space="preserve"> Principios que rigen a las autoridades de la investigación Las autoridades encargadas de desarrollar la investigación de los delitos se regirán por los principios de legalidad, objetividad, eficiencia, profesionalismo, honradez, lealtad y respeto a los derechos humanos reconocidos en la Constitución y en los Tratados</w:t>
      </w:r>
      <w:r>
        <w:rPr>
          <w:rFonts w:ascii="Palatino Linotype" w:eastAsiaTheme="majorEastAsia" w:hAnsi="Palatino Linotype" w:cstheme="majorBidi"/>
          <w:bCs/>
          <w:i/>
          <w:iCs/>
          <w:bdr w:val="nil"/>
        </w:rPr>
        <w:t>”</w:t>
      </w:r>
      <w:r w:rsidR="00781609" w:rsidRPr="00502CAF">
        <w:rPr>
          <w:rFonts w:ascii="Palatino Linotype" w:eastAsiaTheme="majorEastAsia" w:hAnsi="Palatino Linotype" w:cstheme="majorBidi"/>
          <w:bCs/>
          <w:i/>
          <w:iCs/>
          <w:bdr w:val="nil"/>
        </w:rPr>
        <w:t>.</w:t>
      </w:r>
    </w:p>
    <w:p w14:paraId="3A440B97" w14:textId="77777777" w:rsidR="00781609" w:rsidRDefault="00781609" w:rsidP="00502CAF">
      <w:pPr>
        <w:pBdr>
          <w:top w:val="nil"/>
          <w:left w:val="nil"/>
          <w:bottom w:val="nil"/>
          <w:right w:val="nil"/>
          <w:between w:val="nil"/>
          <w:bar w:val="nil"/>
        </w:pBdr>
        <w:spacing w:after="0" w:line="360" w:lineRule="auto"/>
        <w:jc w:val="both"/>
        <w:rPr>
          <w:rFonts w:ascii="Palatino Linotype" w:eastAsiaTheme="majorEastAsia" w:hAnsi="Palatino Linotype" w:cstheme="majorBidi"/>
          <w:bCs/>
          <w:sz w:val="24"/>
          <w:szCs w:val="24"/>
          <w:bdr w:val="nil"/>
        </w:rPr>
      </w:pPr>
    </w:p>
    <w:p w14:paraId="664A8744" w14:textId="6A63A9C7" w:rsidR="00773410" w:rsidRPr="00781609" w:rsidRDefault="00773410" w:rsidP="00502CAF">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bCs/>
          <w:sz w:val="24"/>
          <w:szCs w:val="24"/>
          <w:lang w:val="es-ES" w:eastAsia="es-ES"/>
        </w:rPr>
      </w:pPr>
      <w:r w:rsidRPr="00781609">
        <w:rPr>
          <w:rFonts w:ascii="Palatino Linotype" w:eastAsiaTheme="majorEastAsia" w:hAnsi="Palatino Linotype" w:cstheme="majorBidi"/>
          <w:bCs/>
          <w:sz w:val="24"/>
          <w:szCs w:val="24"/>
          <w:bdr w:val="nil"/>
        </w:rPr>
        <w:t xml:space="preserve">En el mismo sentido, cabe traer a colación lo </w:t>
      </w:r>
      <w:r w:rsidR="00502CAF">
        <w:rPr>
          <w:rFonts w:ascii="Palatino Linotype" w:eastAsiaTheme="majorEastAsia" w:hAnsi="Palatino Linotype" w:cstheme="majorBidi"/>
          <w:bCs/>
          <w:sz w:val="24"/>
          <w:szCs w:val="24"/>
          <w:bdr w:val="nil"/>
        </w:rPr>
        <w:t xml:space="preserve">consagrado </w:t>
      </w:r>
      <w:r w:rsidRPr="00781609">
        <w:rPr>
          <w:rFonts w:ascii="Palatino Linotype" w:eastAsiaTheme="majorEastAsia" w:hAnsi="Palatino Linotype" w:cstheme="majorBidi"/>
          <w:bCs/>
          <w:sz w:val="24"/>
          <w:szCs w:val="24"/>
          <w:bdr w:val="nil"/>
        </w:rPr>
        <w:t xml:space="preserve">en </w:t>
      </w:r>
      <w:r w:rsidR="00502CAF">
        <w:rPr>
          <w:rFonts w:ascii="Palatino Linotype" w:eastAsiaTheme="majorEastAsia" w:hAnsi="Palatino Linotype" w:cstheme="majorBidi"/>
          <w:bCs/>
          <w:sz w:val="24"/>
          <w:szCs w:val="24"/>
          <w:bdr w:val="nil"/>
        </w:rPr>
        <w:t>el</w:t>
      </w:r>
      <w:r w:rsidRPr="00781609">
        <w:rPr>
          <w:rFonts w:ascii="Palatino Linotype" w:eastAsiaTheme="majorEastAsia" w:hAnsi="Palatino Linotype" w:cstheme="majorBidi"/>
          <w:bCs/>
          <w:sz w:val="24"/>
          <w:szCs w:val="24"/>
          <w:bdr w:val="nil"/>
        </w:rPr>
        <w:t xml:space="preserve"> artículo</w:t>
      </w:r>
      <w:r w:rsidR="00781609">
        <w:rPr>
          <w:rFonts w:ascii="Palatino Linotype" w:eastAsiaTheme="majorEastAsia" w:hAnsi="Palatino Linotype" w:cstheme="majorBidi"/>
          <w:bCs/>
          <w:sz w:val="24"/>
          <w:szCs w:val="24"/>
          <w:bdr w:val="nil"/>
        </w:rPr>
        <w:t xml:space="preserve"> 217 </w:t>
      </w:r>
      <w:r w:rsidR="005224AF">
        <w:rPr>
          <w:rFonts w:ascii="Palatino Linotype" w:eastAsiaTheme="majorEastAsia" w:hAnsi="Palatino Linotype" w:cstheme="majorBidi"/>
          <w:bCs/>
          <w:sz w:val="24"/>
          <w:szCs w:val="24"/>
          <w:bdr w:val="nil"/>
        </w:rPr>
        <w:t xml:space="preserve">del Código Nacional de Procedimientos </w:t>
      </w:r>
      <w:proofErr w:type="gramStart"/>
      <w:r w:rsidR="005224AF">
        <w:rPr>
          <w:rFonts w:ascii="Palatino Linotype" w:eastAsiaTheme="majorEastAsia" w:hAnsi="Palatino Linotype" w:cstheme="majorBidi"/>
          <w:bCs/>
          <w:sz w:val="24"/>
          <w:szCs w:val="24"/>
          <w:bdr w:val="nil"/>
        </w:rPr>
        <w:t xml:space="preserve">Penales </w:t>
      </w:r>
      <w:r w:rsidR="00781609">
        <w:rPr>
          <w:rFonts w:ascii="Palatino Linotype" w:eastAsiaTheme="majorEastAsia" w:hAnsi="Palatino Linotype" w:cstheme="majorBidi"/>
          <w:bCs/>
          <w:sz w:val="24"/>
          <w:szCs w:val="24"/>
          <w:bdr w:val="nil"/>
        </w:rPr>
        <w:t>,</w:t>
      </w:r>
      <w:proofErr w:type="gramEnd"/>
      <w:r w:rsidR="00781609">
        <w:rPr>
          <w:rFonts w:ascii="Palatino Linotype" w:eastAsiaTheme="majorEastAsia" w:hAnsi="Palatino Linotype" w:cstheme="majorBidi"/>
          <w:bCs/>
          <w:sz w:val="24"/>
          <w:szCs w:val="24"/>
          <w:bdr w:val="nil"/>
        </w:rPr>
        <w:t xml:space="preserve"> que establecen que; </w:t>
      </w:r>
    </w:p>
    <w:p w14:paraId="59C1F391" w14:textId="74C17EED" w:rsidR="00781609" w:rsidRDefault="00781609" w:rsidP="00502CAF">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bCs/>
          <w:sz w:val="24"/>
          <w:szCs w:val="24"/>
          <w:lang w:val="es-ES" w:eastAsia="es-ES"/>
        </w:rPr>
      </w:pPr>
    </w:p>
    <w:p w14:paraId="3E2F31B9" w14:textId="77777777" w:rsidR="002E2EBD" w:rsidRPr="00781609" w:rsidRDefault="002E2EBD" w:rsidP="00502CAF">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bCs/>
          <w:sz w:val="24"/>
          <w:szCs w:val="24"/>
          <w:lang w:val="es-ES" w:eastAsia="es-ES"/>
        </w:rPr>
      </w:pPr>
    </w:p>
    <w:p w14:paraId="7A7C81D6" w14:textId="43CB5338" w:rsidR="00781609" w:rsidRPr="00502CAF" w:rsidRDefault="00502CAF" w:rsidP="00781609">
      <w:pPr>
        <w:pBdr>
          <w:top w:val="nil"/>
          <w:left w:val="nil"/>
          <w:bottom w:val="nil"/>
          <w:right w:val="nil"/>
          <w:between w:val="nil"/>
          <w:bar w:val="nil"/>
        </w:pBdr>
        <w:spacing w:after="0" w:line="360" w:lineRule="auto"/>
        <w:ind w:left="567" w:right="616"/>
        <w:jc w:val="both"/>
        <w:rPr>
          <w:rFonts w:ascii="Palatino Linotype" w:hAnsi="Palatino Linotype"/>
          <w:i/>
          <w:iCs/>
        </w:rPr>
      </w:pPr>
      <w:r w:rsidRPr="00502CAF">
        <w:rPr>
          <w:rFonts w:ascii="Palatino Linotype" w:hAnsi="Palatino Linotype"/>
          <w:i/>
          <w:iCs/>
        </w:rPr>
        <w:t>“</w:t>
      </w:r>
      <w:r w:rsidR="00781609" w:rsidRPr="00502CAF">
        <w:rPr>
          <w:rFonts w:ascii="Palatino Linotype" w:hAnsi="Palatino Linotype"/>
          <w:b/>
          <w:bCs/>
          <w:i/>
          <w:iCs/>
        </w:rPr>
        <w:t>Artículo 217.</w:t>
      </w:r>
      <w:r w:rsidR="00781609" w:rsidRPr="00502CAF">
        <w:rPr>
          <w:rFonts w:ascii="Palatino Linotype" w:hAnsi="Palatino Linotype"/>
          <w:i/>
          <w:iCs/>
        </w:rPr>
        <w:t xml:space="preserve"> </w:t>
      </w:r>
      <w:r w:rsidR="00781609" w:rsidRPr="00502CAF">
        <w:rPr>
          <w:rFonts w:ascii="Palatino Linotype" w:hAnsi="Palatino Linotype"/>
          <w:b/>
          <w:bCs/>
          <w:i/>
          <w:iCs/>
        </w:rPr>
        <w:t>Registro de los actos de investigación</w:t>
      </w:r>
      <w:r w:rsidR="00781609" w:rsidRPr="00502CAF">
        <w:rPr>
          <w:rFonts w:ascii="Palatino Linotype" w:hAnsi="Palatino Linotype"/>
          <w:i/>
          <w:iCs/>
        </w:rPr>
        <w:t xml:space="preserve"> </w:t>
      </w:r>
    </w:p>
    <w:p w14:paraId="005C93F1" w14:textId="77777777" w:rsidR="00781609" w:rsidRPr="00502CAF" w:rsidRDefault="00781609" w:rsidP="00781609">
      <w:pPr>
        <w:pBdr>
          <w:top w:val="nil"/>
          <w:left w:val="nil"/>
          <w:bottom w:val="nil"/>
          <w:right w:val="nil"/>
          <w:between w:val="nil"/>
          <w:bar w:val="nil"/>
        </w:pBdr>
        <w:spacing w:after="0" w:line="360" w:lineRule="auto"/>
        <w:ind w:left="567" w:right="616"/>
        <w:jc w:val="both"/>
        <w:rPr>
          <w:rFonts w:ascii="Palatino Linotype" w:hAnsi="Palatino Linotype"/>
          <w:i/>
          <w:iCs/>
          <w:sz w:val="10"/>
          <w:szCs w:val="10"/>
        </w:rPr>
      </w:pPr>
    </w:p>
    <w:p w14:paraId="0948533F" w14:textId="77777777" w:rsidR="00781609" w:rsidRPr="00502CAF" w:rsidRDefault="00781609" w:rsidP="00781609">
      <w:pPr>
        <w:pBdr>
          <w:top w:val="nil"/>
          <w:left w:val="nil"/>
          <w:bottom w:val="nil"/>
          <w:right w:val="nil"/>
          <w:between w:val="nil"/>
          <w:bar w:val="nil"/>
        </w:pBdr>
        <w:spacing w:after="0" w:line="360" w:lineRule="auto"/>
        <w:ind w:left="567" w:right="616"/>
        <w:jc w:val="both"/>
        <w:rPr>
          <w:rFonts w:ascii="Palatino Linotype" w:hAnsi="Palatino Linotype"/>
          <w:i/>
          <w:iCs/>
        </w:rPr>
      </w:pPr>
      <w:r w:rsidRPr="009F4DB4">
        <w:rPr>
          <w:rFonts w:ascii="Palatino Linotype" w:hAnsi="Palatino Linotype"/>
          <w:b/>
          <w:i/>
          <w:iCs/>
        </w:rPr>
        <w:t>El Ministerio Público y la Policía deberán dejar registro de todas las actuaciones que se realicen durante la investigación de los delitos</w:t>
      </w:r>
      <w:r w:rsidRPr="00502CAF">
        <w:rPr>
          <w:rFonts w:ascii="Palatino Linotype" w:hAnsi="Palatino Linotype"/>
          <w:i/>
          <w:iCs/>
        </w:rPr>
        <w:t xml:space="preserve">, utilizando al efecto cualquier medio que permita garantizar que la información recabada sea completa, íntegra y exacta, así como el acceso a la misma por parte de los sujetos que de acuerdo con la ley tuvieren derecho a exigirlo. </w:t>
      </w:r>
    </w:p>
    <w:p w14:paraId="56F2C771" w14:textId="77777777" w:rsidR="00781609" w:rsidRPr="00502CAF" w:rsidRDefault="00781609" w:rsidP="00781609">
      <w:pPr>
        <w:pBdr>
          <w:top w:val="nil"/>
          <w:left w:val="nil"/>
          <w:bottom w:val="nil"/>
          <w:right w:val="nil"/>
          <w:between w:val="nil"/>
          <w:bar w:val="nil"/>
        </w:pBdr>
        <w:spacing w:after="0" w:line="360" w:lineRule="auto"/>
        <w:ind w:left="567" w:right="616"/>
        <w:jc w:val="both"/>
        <w:rPr>
          <w:rFonts w:ascii="Palatino Linotype" w:hAnsi="Palatino Linotype"/>
          <w:i/>
          <w:iCs/>
          <w:sz w:val="10"/>
          <w:szCs w:val="10"/>
        </w:rPr>
      </w:pPr>
    </w:p>
    <w:p w14:paraId="5A037177" w14:textId="77777777" w:rsidR="00781609" w:rsidRPr="00502CAF" w:rsidRDefault="00781609" w:rsidP="00781609">
      <w:pPr>
        <w:pBdr>
          <w:top w:val="nil"/>
          <w:left w:val="nil"/>
          <w:bottom w:val="nil"/>
          <w:right w:val="nil"/>
          <w:between w:val="nil"/>
          <w:bar w:val="nil"/>
        </w:pBdr>
        <w:spacing w:after="0" w:line="360" w:lineRule="auto"/>
        <w:ind w:left="567" w:right="616"/>
        <w:jc w:val="both"/>
        <w:rPr>
          <w:rFonts w:ascii="Palatino Linotype" w:hAnsi="Palatino Linotype"/>
          <w:i/>
          <w:iCs/>
        </w:rPr>
      </w:pPr>
      <w:r w:rsidRPr="009F4DB4">
        <w:rPr>
          <w:rFonts w:ascii="Palatino Linotype" w:hAnsi="Palatino Linotype"/>
          <w:b/>
          <w:i/>
          <w:iCs/>
        </w:rPr>
        <w:t>Cada acto de investigación se registrará por separado, y será firmado por quienes hayan intervenido</w:t>
      </w:r>
      <w:r w:rsidRPr="00502CAF">
        <w:rPr>
          <w:rFonts w:ascii="Palatino Linotype" w:hAnsi="Palatino Linotype"/>
          <w:i/>
          <w:iCs/>
        </w:rPr>
        <w:t xml:space="preserve">. Si no quisieren o no pudieren firmar, se imprimirá su huella digital. En caso de que esto no sea posible o la persona se niegue a imprimir su huella, se hará constar el motivo. </w:t>
      </w:r>
    </w:p>
    <w:p w14:paraId="0CB3E928" w14:textId="77777777" w:rsidR="00781609" w:rsidRPr="00502CAF" w:rsidRDefault="00781609" w:rsidP="00781609">
      <w:pPr>
        <w:pBdr>
          <w:top w:val="nil"/>
          <w:left w:val="nil"/>
          <w:bottom w:val="nil"/>
          <w:right w:val="nil"/>
          <w:between w:val="nil"/>
          <w:bar w:val="nil"/>
        </w:pBdr>
        <w:spacing w:after="0" w:line="360" w:lineRule="auto"/>
        <w:ind w:left="567" w:right="616"/>
        <w:jc w:val="both"/>
        <w:rPr>
          <w:rFonts w:ascii="Palatino Linotype" w:hAnsi="Palatino Linotype"/>
          <w:i/>
          <w:iCs/>
          <w:sz w:val="10"/>
          <w:szCs w:val="10"/>
        </w:rPr>
      </w:pPr>
    </w:p>
    <w:p w14:paraId="2C86E8D8" w14:textId="2F9248B4" w:rsidR="00502CAF" w:rsidRPr="00502CAF" w:rsidRDefault="00781609" w:rsidP="00502CAF">
      <w:pPr>
        <w:pBdr>
          <w:top w:val="nil"/>
          <w:left w:val="nil"/>
          <w:bottom w:val="nil"/>
          <w:right w:val="nil"/>
          <w:between w:val="nil"/>
          <w:bar w:val="nil"/>
        </w:pBdr>
        <w:spacing w:after="0" w:line="360" w:lineRule="auto"/>
        <w:ind w:left="567" w:right="616"/>
        <w:jc w:val="both"/>
        <w:rPr>
          <w:rFonts w:ascii="Palatino Linotype" w:hAnsi="Palatino Linotype"/>
          <w:i/>
          <w:iCs/>
        </w:rPr>
      </w:pPr>
      <w:r w:rsidRPr="009F4DB4">
        <w:rPr>
          <w:rFonts w:ascii="Palatino Linotype" w:hAnsi="Palatino Linotype"/>
          <w:b/>
          <w:i/>
          <w:iCs/>
        </w:rPr>
        <w:t>El registro de cada actuación deberá contener por lo menos la indicación de la fecha, hora y lugar en que se haya efectuado, identificación de los servidores públicos</w:t>
      </w:r>
      <w:r w:rsidRPr="00502CAF">
        <w:rPr>
          <w:rFonts w:ascii="Palatino Linotype" w:hAnsi="Palatino Linotype"/>
          <w:i/>
          <w:iCs/>
        </w:rPr>
        <w:t xml:space="preserve"> y demás personas que hayan intervenido y una breve descripción de la actuación y, en su caso, de sus resultados</w:t>
      </w:r>
      <w:r w:rsidR="00502CAF" w:rsidRPr="00502CAF">
        <w:rPr>
          <w:rFonts w:ascii="Palatino Linotype" w:hAnsi="Palatino Linotype"/>
          <w:i/>
          <w:iCs/>
        </w:rPr>
        <w:t>”.</w:t>
      </w:r>
      <w:r w:rsidR="00502CAF">
        <w:rPr>
          <w:rFonts w:ascii="Palatino Linotype" w:hAnsi="Palatino Linotype"/>
          <w:i/>
          <w:iCs/>
        </w:rPr>
        <w:t xml:space="preserve"> </w:t>
      </w:r>
    </w:p>
    <w:p w14:paraId="0DFE4FB9" w14:textId="77777777" w:rsidR="00502CAF" w:rsidRPr="00502CAF" w:rsidRDefault="00502CAF" w:rsidP="00502CAF">
      <w:pPr>
        <w:pBdr>
          <w:top w:val="nil"/>
          <w:left w:val="nil"/>
          <w:bottom w:val="nil"/>
          <w:right w:val="nil"/>
          <w:between w:val="nil"/>
          <w:bar w:val="nil"/>
        </w:pBdr>
        <w:spacing w:after="0" w:line="360" w:lineRule="auto"/>
        <w:ind w:left="567" w:right="616"/>
        <w:jc w:val="both"/>
        <w:rPr>
          <w:rFonts w:ascii="Palatino Linotype" w:hAnsi="Palatino Linotype"/>
        </w:rPr>
      </w:pPr>
    </w:p>
    <w:p w14:paraId="45FCC843" w14:textId="5128DCF0" w:rsidR="00781609" w:rsidRPr="0032435A" w:rsidRDefault="005224AF" w:rsidP="00502CAF">
      <w:pPr>
        <w:pStyle w:val="Prrafodelista"/>
        <w:numPr>
          <w:ilvl w:val="0"/>
          <w:numId w:val="9"/>
        </w:numPr>
        <w:pBdr>
          <w:top w:val="nil"/>
          <w:left w:val="nil"/>
          <w:bottom w:val="nil"/>
          <w:right w:val="nil"/>
          <w:between w:val="nil"/>
          <w:bar w:val="nil"/>
        </w:pBdr>
        <w:spacing w:after="0" w:line="360" w:lineRule="auto"/>
        <w:ind w:left="0" w:right="49" w:firstLine="0"/>
        <w:jc w:val="both"/>
        <w:rPr>
          <w:rFonts w:ascii="Palatino Linotype" w:hAnsi="Palatino Linotype"/>
          <w:sz w:val="24"/>
        </w:rPr>
      </w:pPr>
      <w:r w:rsidRPr="0032435A">
        <w:rPr>
          <w:rFonts w:ascii="Palatino Linotype" w:hAnsi="Palatino Linotype"/>
          <w:sz w:val="24"/>
        </w:rPr>
        <w:t>E</w:t>
      </w:r>
      <w:r w:rsidR="00502CAF" w:rsidRPr="0032435A">
        <w:rPr>
          <w:rFonts w:ascii="Palatino Linotype" w:hAnsi="Palatino Linotype"/>
          <w:sz w:val="24"/>
        </w:rPr>
        <w:t xml:space="preserve">s sumamente importante señalar lo que establece el artículo 218 del multicitado Código, el cual puntualmente señala que; </w:t>
      </w:r>
      <w:r w:rsidR="00502CAF" w:rsidRPr="0032435A">
        <w:rPr>
          <w:rFonts w:ascii="Palatino Linotype" w:hAnsi="Palatino Linotype"/>
          <w:b/>
          <w:bCs/>
          <w:sz w:val="24"/>
        </w:rPr>
        <w:t>“</w:t>
      </w:r>
      <w:r w:rsidR="00781609" w:rsidRPr="0032435A">
        <w:rPr>
          <w:rFonts w:ascii="Palatino Linotype" w:hAnsi="Palatino Linotype"/>
          <w:b/>
          <w:bCs/>
          <w:sz w:val="24"/>
        </w:rPr>
        <w:t>Los registros de la investigación, así como todos los documentos, independientemente de su contenido o naturaleza, los objetos, los registros de voz e imágenes o cosas que le estén relacionados, son estrictamente reservados […]</w:t>
      </w:r>
      <w:r w:rsidR="00502CAF" w:rsidRPr="0032435A">
        <w:rPr>
          <w:rFonts w:ascii="Palatino Linotype" w:hAnsi="Palatino Linotype"/>
          <w:sz w:val="24"/>
        </w:rPr>
        <w:t xml:space="preserve">”. </w:t>
      </w:r>
    </w:p>
    <w:p w14:paraId="722B0B47" w14:textId="77777777" w:rsidR="00781609" w:rsidRDefault="00781609" w:rsidP="004B4437">
      <w:pPr>
        <w:pBdr>
          <w:top w:val="nil"/>
          <w:left w:val="nil"/>
          <w:bottom w:val="nil"/>
          <w:right w:val="nil"/>
          <w:between w:val="nil"/>
          <w:bar w:val="nil"/>
        </w:pBdr>
        <w:spacing w:after="0" w:line="360" w:lineRule="auto"/>
        <w:jc w:val="both"/>
        <w:rPr>
          <w:rFonts w:ascii="Palatino Linotype" w:eastAsia="Calibri" w:hAnsi="Palatino Linotype" w:cs="Arial"/>
          <w:sz w:val="24"/>
          <w:szCs w:val="24"/>
          <w:lang w:val="es-ES" w:eastAsia="es-ES"/>
        </w:rPr>
      </w:pPr>
    </w:p>
    <w:p w14:paraId="2D4DD9E3" w14:textId="12F1C4B7" w:rsidR="00265603" w:rsidRDefault="00781609" w:rsidP="00781609">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Lo anterior</w:t>
      </w:r>
      <w:r w:rsidR="00773410" w:rsidRPr="00781609">
        <w:rPr>
          <w:rFonts w:ascii="Palatino Linotype" w:eastAsia="Calibri" w:hAnsi="Palatino Linotype" w:cs="Arial"/>
          <w:sz w:val="24"/>
          <w:szCs w:val="24"/>
          <w:lang w:val="es-ES" w:eastAsia="es-ES"/>
        </w:rPr>
        <w:t xml:space="preserve">, se presenta como una restricción que cumple con los tres elementos que señala la Corte Interamericana como restricciones; </w:t>
      </w:r>
      <w:r w:rsidRPr="00502CAF">
        <w:rPr>
          <w:rFonts w:ascii="Palatino Linotype" w:eastAsia="Calibri" w:hAnsi="Palatino Linotype" w:cs="Arial"/>
          <w:b/>
          <w:bCs/>
          <w:sz w:val="24"/>
          <w:szCs w:val="24"/>
          <w:lang w:val="es-ES" w:eastAsia="es-ES"/>
        </w:rPr>
        <w:t>primero</w:t>
      </w:r>
      <w:r w:rsidR="00502CAF" w:rsidRPr="00502CAF">
        <w:rPr>
          <w:rFonts w:ascii="Palatino Linotype" w:eastAsia="Calibri" w:hAnsi="Palatino Linotype" w:cs="Arial"/>
          <w:b/>
          <w:bCs/>
          <w:sz w:val="24"/>
          <w:szCs w:val="24"/>
          <w:lang w:val="es-ES" w:eastAsia="es-ES"/>
        </w:rPr>
        <w:t>:</w:t>
      </w:r>
      <w:r>
        <w:rPr>
          <w:rFonts w:ascii="Palatino Linotype" w:eastAsia="Calibri" w:hAnsi="Palatino Linotype" w:cs="Arial"/>
          <w:sz w:val="24"/>
          <w:szCs w:val="24"/>
          <w:lang w:val="es-ES" w:eastAsia="es-ES"/>
        </w:rPr>
        <w:t xml:space="preserve"> e</w:t>
      </w:r>
      <w:r w:rsidR="00773410" w:rsidRPr="00781609">
        <w:rPr>
          <w:rFonts w:ascii="Palatino Linotype" w:eastAsia="Calibri" w:hAnsi="Palatino Linotype" w:cs="Arial"/>
          <w:sz w:val="24"/>
          <w:szCs w:val="24"/>
          <w:lang w:val="es-ES" w:eastAsia="es-ES"/>
        </w:rPr>
        <w:t>stá establecida en una ley;</w:t>
      </w:r>
      <w:r>
        <w:rPr>
          <w:rFonts w:ascii="Palatino Linotype" w:eastAsia="Calibri" w:hAnsi="Palatino Linotype" w:cs="Arial"/>
          <w:sz w:val="24"/>
          <w:szCs w:val="24"/>
          <w:lang w:val="es-ES" w:eastAsia="es-ES"/>
        </w:rPr>
        <w:t xml:space="preserve"> </w:t>
      </w:r>
      <w:r w:rsidRPr="00502CAF">
        <w:rPr>
          <w:rFonts w:ascii="Palatino Linotype" w:eastAsia="Calibri" w:hAnsi="Palatino Linotype" w:cs="Arial"/>
          <w:b/>
          <w:bCs/>
          <w:sz w:val="24"/>
          <w:szCs w:val="24"/>
          <w:lang w:val="es-ES" w:eastAsia="es-ES"/>
        </w:rPr>
        <w:t>segundo</w:t>
      </w:r>
      <w:r w:rsidR="00502CAF">
        <w:rPr>
          <w:rFonts w:ascii="Palatino Linotype" w:eastAsia="Calibri" w:hAnsi="Palatino Linotype" w:cs="Arial"/>
          <w:b/>
          <w:bCs/>
          <w:sz w:val="24"/>
          <w:szCs w:val="24"/>
          <w:lang w:val="es-ES" w:eastAsia="es-ES"/>
        </w:rPr>
        <w:t>:</w:t>
      </w:r>
      <w:r>
        <w:rPr>
          <w:rFonts w:ascii="Palatino Linotype" w:eastAsia="Calibri" w:hAnsi="Palatino Linotype" w:cs="Arial"/>
          <w:sz w:val="24"/>
          <w:szCs w:val="24"/>
          <w:lang w:val="es-ES" w:eastAsia="es-ES"/>
        </w:rPr>
        <w:t xml:space="preserve"> </w:t>
      </w:r>
      <w:r w:rsidR="00773410" w:rsidRPr="00781609">
        <w:rPr>
          <w:rFonts w:ascii="Palatino Linotype" w:eastAsia="Calibri" w:hAnsi="Palatino Linotype" w:cs="Arial"/>
          <w:sz w:val="24"/>
          <w:szCs w:val="24"/>
          <w:lang w:val="es-ES" w:eastAsia="es-ES"/>
        </w:rPr>
        <w:t>la limitación está orientada al logro de objetivos imperiosos, que en el presente caso es el de realizar una correcta investigación en su fase inicial y;</w:t>
      </w:r>
      <w:r>
        <w:rPr>
          <w:rFonts w:ascii="Palatino Linotype" w:eastAsia="Calibri" w:hAnsi="Palatino Linotype" w:cs="Arial"/>
          <w:sz w:val="24"/>
          <w:szCs w:val="24"/>
          <w:lang w:val="es-ES" w:eastAsia="es-ES"/>
        </w:rPr>
        <w:t xml:space="preserve"> </w:t>
      </w:r>
      <w:r w:rsidRPr="00502CAF">
        <w:rPr>
          <w:rFonts w:ascii="Palatino Linotype" w:eastAsia="Calibri" w:hAnsi="Palatino Linotype" w:cs="Arial"/>
          <w:b/>
          <w:bCs/>
          <w:sz w:val="24"/>
          <w:szCs w:val="24"/>
          <w:lang w:val="es-ES" w:eastAsia="es-ES"/>
        </w:rPr>
        <w:t>tercero</w:t>
      </w:r>
      <w:r w:rsidR="00502CAF">
        <w:rPr>
          <w:rFonts w:ascii="Palatino Linotype" w:eastAsia="Calibri" w:hAnsi="Palatino Linotype" w:cs="Arial"/>
          <w:sz w:val="24"/>
          <w:szCs w:val="24"/>
          <w:lang w:val="es-ES" w:eastAsia="es-ES"/>
        </w:rPr>
        <w:t>:</w:t>
      </w:r>
      <w:r w:rsidR="00773410" w:rsidRPr="00781609">
        <w:rPr>
          <w:rFonts w:ascii="Palatino Linotype" w:eastAsia="Calibri" w:hAnsi="Palatino Linotype" w:cs="Arial"/>
          <w:sz w:val="24"/>
          <w:szCs w:val="24"/>
          <w:lang w:val="es-ES" w:eastAsia="es-ES"/>
        </w:rPr>
        <w:t xml:space="preserve"> la limitación es necesaria para conseguir el fin </w:t>
      </w:r>
      <w:r w:rsidR="00C93048" w:rsidRPr="00781609">
        <w:rPr>
          <w:rFonts w:ascii="Palatino Linotype" w:eastAsia="Calibri" w:hAnsi="Palatino Linotype" w:cs="Arial"/>
          <w:sz w:val="24"/>
          <w:szCs w:val="24"/>
          <w:lang w:val="es-ES" w:eastAsia="es-ES"/>
        </w:rPr>
        <w:t xml:space="preserve">que busca, el cual es realizar la investigación, aunque debe ser estrictamente proporcionada a la finalidad perseguida. Y todo ello se cumple, en la segunda parte del artículo 218 del Código Nacional que dice; </w:t>
      </w:r>
    </w:p>
    <w:p w14:paraId="57C8A78D" w14:textId="77777777" w:rsidR="00781609" w:rsidRDefault="00781609" w:rsidP="00781609">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4A1C8E7B" w14:textId="26B369E0" w:rsidR="00781609" w:rsidRPr="008317DA" w:rsidRDefault="008317DA" w:rsidP="00781609">
      <w:pPr>
        <w:pBdr>
          <w:top w:val="nil"/>
          <w:left w:val="nil"/>
          <w:bottom w:val="nil"/>
          <w:right w:val="nil"/>
          <w:between w:val="nil"/>
          <w:bar w:val="nil"/>
        </w:pBdr>
        <w:spacing w:after="0" w:line="360" w:lineRule="auto"/>
        <w:ind w:left="567" w:right="616"/>
        <w:jc w:val="both"/>
        <w:rPr>
          <w:rFonts w:ascii="Palatino Linotype" w:hAnsi="Palatino Linotype"/>
          <w:b/>
          <w:bCs/>
          <w:i/>
          <w:iCs/>
        </w:rPr>
      </w:pPr>
      <w:r>
        <w:rPr>
          <w:rFonts w:ascii="Palatino Linotype" w:hAnsi="Palatino Linotype"/>
          <w:i/>
          <w:iCs/>
        </w:rPr>
        <w:t>“</w:t>
      </w:r>
      <w:r w:rsidR="00781609" w:rsidRPr="008317DA">
        <w:rPr>
          <w:rFonts w:ascii="Palatino Linotype" w:hAnsi="Palatino Linotype"/>
          <w:b/>
          <w:bCs/>
          <w:i/>
          <w:iCs/>
        </w:rPr>
        <w:t xml:space="preserve">Artículo 218. Reserva de los actos de investigación […] </w:t>
      </w:r>
      <w:r w:rsidR="00781609" w:rsidRPr="008317DA">
        <w:rPr>
          <w:rFonts w:ascii="Palatino Linotype" w:hAnsi="Palatino Linotype"/>
          <w:i/>
          <w:iCs/>
        </w:rPr>
        <w:t xml:space="preserve">El imputado y su defensor podrán tener acceso a ellos cuando se encuentre detenido, sea citado para </w:t>
      </w:r>
      <w:r w:rsidR="00781609" w:rsidRPr="008317DA">
        <w:rPr>
          <w:rFonts w:ascii="Palatino Linotype" w:hAnsi="Palatino Linotype"/>
          <w:i/>
          <w:iCs/>
        </w:rPr>
        <w:lastRenderedPageBreak/>
        <w:t>comparecer como imputado o sea sujeto de un acto de molestia y se pretenda recibir su entrevista, a partir de este momento ya no podrán mantenerse en reserva los registros para el imputado o su Defensor a fin de no afectar su derecho de defensa. Para los efectos de este párrafo, se entenderá como acto de molestia lo dispuesto en el artículo 266 de este Código</w:t>
      </w:r>
      <w:r>
        <w:rPr>
          <w:rFonts w:ascii="Palatino Linotype" w:hAnsi="Palatino Linotype"/>
          <w:i/>
          <w:iCs/>
        </w:rPr>
        <w:t xml:space="preserve">”. </w:t>
      </w:r>
    </w:p>
    <w:p w14:paraId="6B94DFD4" w14:textId="495BB2F0" w:rsidR="00C93048" w:rsidRDefault="00C93048" w:rsidP="004B4437">
      <w:pPr>
        <w:pBdr>
          <w:top w:val="nil"/>
          <w:left w:val="nil"/>
          <w:bottom w:val="nil"/>
          <w:right w:val="nil"/>
          <w:between w:val="nil"/>
          <w:bar w:val="nil"/>
        </w:pBdr>
        <w:spacing w:after="0" w:line="360" w:lineRule="auto"/>
        <w:jc w:val="both"/>
        <w:rPr>
          <w:rFonts w:ascii="Palatino Linotype" w:eastAsia="Calibri" w:hAnsi="Palatino Linotype" w:cs="Arial"/>
          <w:sz w:val="24"/>
          <w:szCs w:val="24"/>
          <w:lang w:val="es-ES" w:eastAsia="es-ES"/>
        </w:rPr>
      </w:pPr>
    </w:p>
    <w:p w14:paraId="691DBF88" w14:textId="48392480" w:rsidR="00CF197B" w:rsidRPr="009F4DB4" w:rsidRDefault="00D573A8" w:rsidP="00D573A8">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szCs w:val="24"/>
          <w:lang w:val="es-ES" w:eastAsia="es-ES"/>
        </w:rPr>
      </w:pPr>
      <w:bookmarkStart w:id="6" w:name="_Hlk21366066"/>
      <w:r w:rsidRPr="00CF197B">
        <w:rPr>
          <w:rFonts w:ascii="Palatino Linotype" w:eastAsia="Calibri" w:hAnsi="Palatino Linotype" w:cs="Arial"/>
          <w:sz w:val="24"/>
          <w:szCs w:val="24"/>
          <w:lang w:val="es-ES" w:eastAsia="es-ES"/>
        </w:rPr>
        <w:t xml:space="preserve">A la luz de </w:t>
      </w:r>
      <w:r w:rsidR="009F4DB4">
        <w:rPr>
          <w:rFonts w:ascii="Palatino Linotype" w:eastAsia="Calibri" w:hAnsi="Palatino Linotype" w:cs="Arial"/>
          <w:sz w:val="24"/>
          <w:szCs w:val="24"/>
          <w:lang w:val="es-ES" w:eastAsia="es-ES"/>
        </w:rPr>
        <w:t>lo expuesto,</w:t>
      </w:r>
      <w:r w:rsidRPr="00CF197B">
        <w:rPr>
          <w:rFonts w:ascii="Palatino Linotype" w:eastAsia="Calibri" w:hAnsi="Palatino Linotype" w:cs="Arial"/>
          <w:sz w:val="24"/>
          <w:szCs w:val="24"/>
          <w:lang w:val="es-ES" w:eastAsia="es-ES"/>
        </w:rPr>
        <w:t xml:space="preserve"> </w:t>
      </w:r>
      <w:r w:rsidR="005224AF">
        <w:rPr>
          <w:rFonts w:ascii="Palatino Linotype" w:eastAsia="Calibri" w:hAnsi="Palatino Linotype" w:cs="Arial"/>
          <w:sz w:val="24"/>
          <w:szCs w:val="24"/>
          <w:lang w:val="es-ES" w:eastAsia="es-ES"/>
        </w:rPr>
        <w:t>se considera</w:t>
      </w:r>
      <w:r w:rsidR="009F4DB4">
        <w:rPr>
          <w:rFonts w:ascii="Palatino Linotype" w:eastAsia="Calibri" w:hAnsi="Palatino Linotype" w:cs="Arial"/>
          <w:sz w:val="24"/>
          <w:szCs w:val="24"/>
          <w:lang w:val="es-ES" w:eastAsia="es-ES"/>
        </w:rPr>
        <w:t xml:space="preserve"> que</w:t>
      </w:r>
      <w:r w:rsidRPr="00CF197B">
        <w:rPr>
          <w:rFonts w:ascii="Palatino Linotype" w:eastAsia="Calibri" w:hAnsi="Palatino Linotype" w:cs="Arial"/>
          <w:sz w:val="24"/>
          <w:szCs w:val="24"/>
          <w:lang w:val="es-ES" w:eastAsia="es-ES"/>
        </w:rPr>
        <w:t xml:space="preserve"> la decisión de esta mayoría se aleja de una sana aplicación del marco jurídico y omite la valoración correcta de los elementos fácticos del caso y por</w:t>
      </w:r>
      <w:r w:rsidR="00BC78C8">
        <w:rPr>
          <w:rFonts w:ascii="Palatino Linotype" w:eastAsia="Calibri" w:hAnsi="Palatino Linotype" w:cs="Arial"/>
          <w:sz w:val="24"/>
          <w:szCs w:val="24"/>
          <w:lang w:val="es-ES" w:eastAsia="es-ES"/>
        </w:rPr>
        <w:t xml:space="preserve"> razones </w:t>
      </w:r>
      <w:r w:rsidR="00AC21D4">
        <w:rPr>
          <w:rFonts w:ascii="Palatino Linotype" w:eastAsia="Calibri" w:hAnsi="Palatino Linotype" w:cs="Arial"/>
          <w:sz w:val="24"/>
          <w:szCs w:val="24"/>
          <w:lang w:val="es-ES" w:eastAsia="es-ES"/>
        </w:rPr>
        <w:t xml:space="preserve">ideológicas, </w:t>
      </w:r>
      <w:r w:rsidR="00BC78C8" w:rsidRPr="009F4DB4">
        <w:rPr>
          <w:rFonts w:ascii="Palatino Linotype" w:eastAsia="Calibri" w:hAnsi="Palatino Linotype" w:cs="Arial"/>
          <w:b/>
          <w:bCs/>
          <w:sz w:val="24"/>
          <w:szCs w:val="24"/>
          <w:lang w:val="es-ES" w:eastAsia="es-ES"/>
        </w:rPr>
        <w:t xml:space="preserve">además de que se ignora la facultad de aplicar el control de convencionalidad contemplado en el artículo 1 de la Constitución Política </w:t>
      </w:r>
      <w:r w:rsidR="009F4DB4">
        <w:rPr>
          <w:rFonts w:ascii="Palatino Linotype" w:eastAsia="Calibri" w:hAnsi="Palatino Linotype" w:cs="Arial"/>
          <w:b/>
          <w:bCs/>
          <w:sz w:val="24"/>
          <w:szCs w:val="24"/>
          <w:lang w:val="es-ES" w:eastAsia="es-ES"/>
        </w:rPr>
        <w:t xml:space="preserve">de los Estados Unidos Mexicanos, </w:t>
      </w:r>
      <w:r w:rsidR="009F4DB4" w:rsidRPr="009F4DB4">
        <w:rPr>
          <w:rFonts w:ascii="Palatino Linotype" w:eastAsia="Calibri" w:hAnsi="Palatino Linotype" w:cs="Arial"/>
          <w:bCs/>
          <w:sz w:val="24"/>
          <w:szCs w:val="24"/>
          <w:lang w:val="es-ES" w:eastAsia="es-ES"/>
        </w:rPr>
        <w:t>normatividad que faculta a las autoridades a respetar los derechos reconocidos, no solo en la Constitución, sino en los tratados internacionales de los que el Estado Mexicano sea parte, así como de las garantías de su protección.</w:t>
      </w:r>
    </w:p>
    <w:bookmarkEnd w:id="6"/>
    <w:p w14:paraId="6C5CADFF" w14:textId="77777777" w:rsidR="00CF197B" w:rsidRDefault="00CF197B" w:rsidP="00CF197B">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szCs w:val="24"/>
          <w:lang w:val="es-ES" w:eastAsia="es-ES"/>
        </w:rPr>
      </w:pPr>
    </w:p>
    <w:p w14:paraId="2703127A" w14:textId="691279B9" w:rsidR="00152DB2" w:rsidRPr="00EC1AD4" w:rsidRDefault="0027224D" w:rsidP="00EC1AD4">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bookmarkStart w:id="7" w:name="_Toc21366018"/>
      <w:bookmarkStart w:id="8" w:name="_Hlk21347977"/>
      <w:r>
        <w:rPr>
          <w:rFonts w:ascii="Palatino Linotype" w:eastAsiaTheme="majorEastAsia" w:hAnsi="Palatino Linotype" w:cstheme="majorBidi"/>
          <w:b/>
          <w:sz w:val="24"/>
          <w:szCs w:val="24"/>
          <w:bdr w:val="nil"/>
        </w:rPr>
        <w:t>I</w:t>
      </w:r>
      <w:r w:rsidR="00EC1AD4" w:rsidRPr="0078362A">
        <w:rPr>
          <w:rFonts w:ascii="Palatino Linotype" w:eastAsiaTheme="majorEastAsia" w:hAnsi="Palatino Linotype" w:cstheme="majorBidi"/>
          <w:b/>
          <w:sz w:val="24"/>
          <w:szCs w:val="24"/>
          <w:bdr w:val="nil"/>
        </w:rPr>
        <w:t xml:space="preserve">V. </w:t>
      </w:r>
      <w:r w:rsidR="00EC1AD4">
        <w:rPr>
          <w:rFonts w:ascii="Palatino Linotype" w:eastAsiaTheme="majorEastAsia" w:hAnsi="Palatino Linotype" w:cstheme="majorBidi"/>
          <w:b/>
          <w:sz w:val="24"/>
          <w:szCs w:val="24"/>
          <w:bdr w:val="nil"/>
        </w:rPr>
        <w:t xml:space="preserve"> </w:t>
      </w:r>
      <w:r w:rsidR="00152DB2" w:rsidRPr="00EC1AD4">
        <w:rPr>
          <w:rFonts w:ascii="Palatino Linotype" w:eastAsiaTheme="majorEastAsia" w:hAnsi="Palatino Linotype" w:cstheme="majorBidi"/>
          <w:b/>
          <w:sz w:val="24"/>
          <w:szCs w:val="24"/>
          <w:bdr w:val="nil"/>
        </w:rPr>
        <w:t xml:space="preserve">Razones por las que la Ponencia </w:t>
      </w:r>
      <w:r w:rsidR="00BC78C8">
        <w:rPr>
          <w:rFonts w:ascii="Palatino Linotype" w:eastAsiaTheme="majorEastAsia" w:hAnsi="Palatino Linotype" w:cstheme="majorBidi"/>
          <w:b/>
          <w:sz w:val="24"/>
          <w:szCs w:val="24"/>
          <w:bdr w:val="nil"/>
        </w:rPr>
        <w:t>que emite el presente voto disidente y no comparte el sentido</w:t>
      </w:r>
      <w:bookmarkEnd w:id="7"/>
      <w:r w:rsidR="00152DB2" w:rsidRPr="00EC1AD4">
        <w:rPr>
          <w:rFonts w:ascii="Palatino Linotype" w:eastAsiaTheme="majorEastAsia" w:hAnsi="Palatino Linotype" w:cstheme="majorBidi"/>
          <w:b/>
          <w:sz w:val="24"/>
          <w:szCs w:val="24"/>
          <w:bdr w:val="nil"/>
        </w:rPr>
        <w:t xml:space="preserve"> </w:t>
      </w:r>
      <w:r w:rsidR="00BC78C8">
        <w:rPr>
          <w:rFonts w:ascii="Palatino Linotype" w:eastAsiaTheme="majorEastAsia" w:hAnsi="Palatino Linotype" w:cstheme="majorBidi"/>
          <w:b/>
          <w:sz w:val="24"/>
          <w:szCs w:val="24"/>
          <w:bdr w:val="nil"/>
        </w:rPr>
        <w:t>de la resolución.</w:t>
      </w:r>
    </w:p>
    <w:bookmarkEnd w:id="8"/>
    <w:p w14:paraId="0F1F7F1B" w14:textId="77777777" w:rsidR="00152DB2" w:rsidRDefault="00152DB2" w:rsidP="00152DB2">
      <w:pPr>
        <w:pBdr>
          <w:top w:val="nil"/>
          <w:left w:val="nil"/>
          <w:bottom w:val="nil"/>
          <w:right w:val="nil"/>
          <w:between w:val="nil"/>
          <w:bar w:val="nil"/>
        </w:pBdr>
        <w:spacing w:after="0" w:line="360" w:lineRule="auto"/>
        <w:jc w:val="both"/>
        <w:rPr>
          <w:rFonts w:ascii="Palatino Linotype" w:eastAsiaTheme="majorEastAsia" w:hAnsi="Palatino Linotype" w:cstheme="majorBidi"/>
          <w:b/>
          <w:sz w:val="24"/>
          <w:szCs w:val="24"/>
          <w:bdr w:val="nil"/>
        </w:rPr>
      </w:pPr>
    </w:p>
    <w:p w14:paraId="7B98C566" w14:textId="2ED9D311" w:rsidR="00EC1AD4" w:rsidRDefault="00152DB2" w:rsidP="00152DB2">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Theme="majorEastAsia" w:hAnsi="Palatino Linotype" w:cstheme="majorBidi"/>
          <w:b/>
          <w:sz w:val="24"/>
          <w:szCs w:val="24"/>
          <w:bdr w:val="nil"/>
        </w:rPr>
      </w:pPr>
      <w:r w:rsidRPr="00EC1AD4">
        <w:rPr>
          <w:rFonts w:ascii="Palatino Linotype" w:eastAsiaTheme="majorEastAsia" w:hAnsi="Palatino Linotype" w:cstheme="majorBidi"/>
          <w:bCs/>
          <w:sz w:val="24"/>
          <w:szCs w:val="24"/>
          <w:bdr w:val="nil"/>
        </w:rPr>
        <w:t xml:space="preserve">Los derechos humanos pueden entenderse como: </w:t>
      </w:r>
      <w:r w:rsidR="00EC1AD4" w:rsidRPr="00EC1AD4">
        <w:rPr>
          <w:rFonts w:ascii="Palatino Linotype" w:eastAsiaTheme="majorEastAsia" w:hAnsi="Palatino Linotype" w:cstheme="majorBidi"/>
          <w:b/>
          <w:sz w:val="24"/>
          <w:szCs w:val="24"/>
          <w:bdr w:val="nil"/>
        </w:rPr>
        <w:t>“</w:t>
      </w:r>
      <w:r w:rsidRPr="00EC1AD4">
        <w:rPr>
          <w:rFonts w:ascii="Palatino Linotype" w:eastAsiaTheme="majorEastAsia" w:hAnsi="Palatino Linotype" w:cstheme="majorBidi"/>
          <w:b/>
          <w:sz w:val="24"/>
          <w:szCs w:val="24"/>
          <w:bdr w:val="nil"/>
        </w:rPr>
        <w:t xml:space="preserve">La esencia del constitucionalismo y del garantismo, es decir, de aquello que he llamado “democracia constitucional”, reside precisamente en el conjunto de límites impuestos por las constituciones a todo poder, que postula en consecuencia una </w:t>
      </w:r>
      <w:r w:rsidRPr="00EC1AD4">
        <w:rPr>
          <w:rFonts w:ascii="Palatino Linotype" w:eastAsiaTheme="majorEastAsia" w:hAnsi="Palatino Linotype" w:cstheme="majorBidi"/>
          <w:b/>
          <w:sz w:val="24"/>
          <w:szCs w:val="24"/>
          <w:bdr w:val="nil"/>
        </w:rPr>
        <w:lastRenderedPageBreak/>
        <w:t>concepción de la democracia como sistema frágil y complejo de separación y equilibrio entre poderes, de límites de forma y de sustancia a su ejercicio, de garantías de los derechos fundamentales, de técnicas de control</w:t>
      </w:r>
      <w:r w:rsidR="009956CF" w:rsidRPr="00EC1AD4">
        <w:rPr>
          <w:rFonts w:ascii="Palatino Linotype" w:eastAsiaTheme="majorEastAsia" w:hAnsi="Palatino Linotype" w:cstheme="majorBidi"/>
          <w:b/>
          <w:sz w:val="24"/>
          <w:szCs w:val="24"/>
          <w:bdr w:val="nil"/>
        </w:rPr>
        <w:t xml:space="preserve"> y de reparación contra sus violaciones. Un sistema en el cual la regla de la mayoría y del mercado valen solamente para aquello que podemos llamar esfera de lo discrecional, circunscrita y condicionada por la esfera de lo que está limitado, constituida justamente por los derechos fundamentales de todos: los derechos de libertad que ninguna mayoría puede violar, y los derechos sociales – derecho a la salud, a la educación, a la seguridad social, a la subsistencia – que toda mayoría está obligada a satisfacer</w:t>
      </w:r>
      <w:r w:rsidR="00EC1AD4" w:rsidRPr="00EC1AD4">
        <w:rPr>
          <w:rFonts w:ascii="Palatino Linotype" w:eastAsiaTheme="majorEastAsia" w:hAnsi="Palatino Linotype" w:cstheme="majorBidi"/>
          <w:b/>
          <w:sz w:val="24"/>
          <w:szCs w:val="24"/>
          <w:bdr w:val="nil"/>
        </w:rPr>
        <w:t xml:space="preserve">”. </w:t>
      </w:r>
      <w:r w:rsidR="009956CF" w:rsidRPr="00EC1AD4">
        <w:rPr>
          <w:rStyle w:val="Refdenotaalpie"/>
          <w:rFonts w:ascii="Palatino Linotype" w:eastAsiaTheme="majorEastAsia" w:hAnsi="Palatino Linotype" w:cstheme="majorBidi"/>
          <w:b/>
          <w:sz w:val="24"/>
          <w:szCs w:val="24"/>
          <w:bdr w:val="nil"/>
        </w:rPr>
        <w:footnoteReference w:id="1"/>
      </w:r>
    </w:p>
    <w:p w14:paraId="7582F423" w14:textId="77777777" w:rsidR="00EC1AD4" w:rsidRDefault="00EC1AD4" w:rsidP="00EC1AD4">
      <w:pPr>
        <w:pStyle w:val="Prrafodelista"/>
        <w:pBdr>
          <w:top w:val="nil"/>
          <w:left w:val="nil"/>
          <w:bottom w:val="nil"/>
          <w:right w:val="nil"/>
          <w:between w:val="nil"/>
          <w:bar w:val="nil"/>
        </w:pBdr>
        <w:spacing w:after="0" w:line="360" w:lineRule="auto"/>
        <w:ind w:left="0"/>
        <w:jc w:val="both"/>
        <w:rPr>
          <w:rFonts w:ascii="Palatino Linotype" w:eastAsiaTheme="majorEastAsia" w:hAnsi="Palatino Linotype" w:cstheme="majorBidi"/>
          <w:b/>
          <w:sz w:val="24"/>
          <w:szCs w:val="24"/>
          <w:bdr w:val="nil"/>
        </w:rPr>
      </w:pPr>
    </w:p>
    <w:p w14:paraId="216974A0" w14:textId="4658C020" w:rsidR="006B4F3E" w:rsidRPr="006B4F3E" w:rsidRDefault="00EC1AD4" w:rsidP="00152DB2">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Theme="majorEastAsia" w:hAnsi="Palatino Linotype" w:cstheme="majorBidi"/>
          <w:b/>
          <w:sz w:val="24"/>
          <w:szCs w:val="24"/>
          <w:bdr w:val="nil"/>
        </w:rPr>
      </w:pPr>
      <w:bookmarkStart w:id="9" w:name="_Hlk21366095"/>
      <w:r>
        <w:rPr>
          <w:rFonts w:ascii="Palatino Linotype" w:eastAsiaTheme="majorEastAsia" w:hAnsi="Palatino Linotype" w:cstheme="majorBidi"/>
          <w:bCs/>
          <w:sz w:val="24"/>
          <w:szCs w:val="24"/>
          <w:bdr w:val="nil"/>
        </w:rPr>
        <w:t>Por lo que, l</w:t>
      </w:r>
      <w:r w:rsidR="009956CF" w:rsidRPr="00EC1AD4">
        <w:rPr>
          <w:rFonts w:ascii="Palatino Linotype" w:eastAsiaTheme="majorEastAsia" w:hAnsi="Palatino Linotype" w:cstheme="majorBidi"/>
          <w:bCs/>
          <w:sz w:val="24"/>
          <w:szCs w:val="24"/>
          <w:bdr w:val="nil"/>
        </w:rPr>
        <w:t xml:space="preserve">os derechos son un límite a la autoridad, en este caso la autoridad que está sometida a control es la </w:t>
      </w:r>
      <w:proofErr w:type="gramStart"/>
      <w:r w:rsidR="009956CF" w:rsidRPr="00EC1AD4">
        <w:rPr>
          <w:rFonts w:ascii="Palatino Linotype" w:eastAsiaTheme="majorEastAsia" w:hAnsi="Palatino Linotype" w:cstheme="majorBidi"/>
          <w:bCs/>
          <w:sz w:val="24"/>
          <w:szCs w:val="24"/>
          <w:bdr w:val="nil"/>
        </w:rPr>
        <w:t>Fiscalía</w:t>
      </w:r>
      <w:r w:rsidR="00C7145E">
        <w:rPr>
          <w:rFonts w:ascii="Palatino Linotype" w:eastAsiaTheme="majorEastAsia" w:hAnsi="Palatino Linotype" w:cstheme="majorBidi"/>
          <w:bCs/>
          <w:sz w:val="24"/>
          <w:szCs w:val="24"/>
          <w:bdr w:val="nil"/>
        </w:rPr>
        <w:t xml:space="preserve"> General</w:t>
      </w:r>
      <w:proofErr w:type="gramEnd"/>
      <w:r w:rsidR="00C7145E">
        <w:rPr>
          <w:rFonts w:ascii="Palatino Linotype" w:eastAsiaTheme="majorEastAsia" w:hAnsi="Palatino Linotype" w:cstheme="majorBidi"/>
          <w:bCs/>
          <w:sz w:val="24"/>
          <w:szCs w:val="24"/>
          <w:bdr w:val="nil"/>
        </w:rPr>
        <w:t xml:space="preserve"> de Justicia del Estado de México</w:t>
      </w:r>
      <w:r w:rsidR="009956CF" w:rsidRPr="00EC1AD4">
        <w:rPr>
          <w:rFonts w:ascii="Palatino Linotype" w:eastAsiaTheme="majorEastAsia" w:hAnsi="Palatino Linotype" w:cstheme="majorBidi"/>
          <w:bCs/>
          <w:sz w:val="24"/>
          <w:szCs w:val="24"/>
          <w:bdr w:val="nil"/>
        </w:rPr>
        <w:t xml:space="preserve">, que en el ejercicio de sus funciones facultades y competencias </w:t>
      </w:r>
      <w:r w:rsidR="006B4F3E">
        <w:rPr>
          <w:rFonts w:ascii="Palatino Linotype" w:eastAsiaTheme="majorEastAsia" w:hAnsi="Palatino Linotype" w:cstheme="majorBidi"/>
          <w:bCs/>
          <w:sz w:val="24"/>
          <w:szCs w:val="24"/>
          <w:bdr w:val="nil"/>
        </w:rPr>
        <w:t>pretende restringir el derecho accionado por el particular, en atención a que la información forma parte d</w:t>
      </w:r>
      <w:r w:rsidR="00C7145E">
        <w:rPr>
          <w:rFonts w:ascii="Palatino Linotype" w:eastAsiaTheme="majorEastAsia" w:hAnsi="Palatino Linotype" w:cstheme="majorBidi"/>
          <w:bCs/>
          <w:sz w:val="24"/>
          <w:szCs w:val="24"/>
          <w:bdr w:val="nil"/>
        </w:rPr>
        <w:t>e una carpeta de investigación.</w:t>
      </w:r>
    </w:p>
    <w:p w14:paraId="107A1A3C" w14:textId="77777777" w:rsidR="006B4F3E" w:rsidRPr="006B4F3E" w:rsidRDefault="006B4F3E" w:rsidP="006B4F3E">
      <w:pPr>
        <w:pStyle w:val="Prrafodelista"/>
        <w:rPr>
          <w:rFonts w:ascii="Palatino Linotype" w:eastAsiaTheme="majorEastAsia" w:hAnsi="Palatino Linotype" w:cstheme="majorBidi"/>
          <w:bCs/>
          <w:sz w:val="24"/>
          <w:szCs w:val="24"/>
          <w:bdr w:val="nil"/>
        </w:rPr>
      </w:pPr>
    </w:p>
    <w:bookmarkEnd w:id="9"/>
    <w:p w14:paraId="218B8011" w14:textId="50BB80E1" w:rsidR="006B4F3E" w:rsidRDefault="00EC1AD4" w:rsidP="0074075A">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Theme="majorEastAsia" w:hAnsi="Palatino Linotype" w:cstheme="majorBidi"/>
          <w:b/>
          <w:sz w:val="24"/>
          <w:szCs w:val="24"/>
          <w:bdr w:val="nil"/>
        </w:rPr>
      </w:pPr>
      <w:r>
        <w:rPr>
          <w:rFonts w:ascii="Palatino Linotype" w:eastAsiaTheme="majorEastAsia" w:hAnsi="Palatino Linotype" w:cstheme="majorBidi"/>
          <w:bCs/>
          <w:sz w:val="24"/>
          <w:szCs w:val="24"/>
          <w:bdr w:val="nil"/>
        </w:rPr>
        <w:t xml:space="preserve">De tal manera que, </w:t>
      </w:r>
      <w:r w:rsidR="006B4F3E">
        <w:rPr>
          <w:rFonts w:ascii="Palatino Linotype" w:eastAsiaTheme="majorEastAsia" w:hAnsi="Palatino Linotype" w:cstheme="majorBidi"/>
          <w:bCs/>
          <w:sz w:val="24"/>
          <w:szCs w:val="24"/>
          <w:bdr w:val="nil"/>
        </w:rPr>
        <w:t xml:space="preserve">el Sujeto Obligado y la decisión de la mayoría del Pleno </w:t>
      </w:r>
      <w:r>
        <w:rPr>
          <w:rFonts w:ascii="Palatino Linotype" w:eastAsiaTheme="majorEastAsia" w:hAnsi="Palatino Linotype" w:cstheme="majorBidi"/>
          <w:bCs/>
          <w:sz w:val="24"/>
          <w:szCs w:val="24"/>
          <w:bdr w:val="nil"/>
        </w:rPr>
        <w:t>restringe</w:t>
      </w:r>
      <w:r w:rsidR="006B4F3E">
        <w:rPr>
          <w:rFonts w:ascii="Palatino Linotype" w:eastAsiaTheme="majorEastAsia" w:hAnsi="Palatino Linotype" w:cstheme="majorBidi"/>
          <w:bCs/>
          <w:sz w:val="24"/>
          <w:szCs w:val="24"/>
          <w:bdr w:val="nil"/>
        </w:rPr>
        <w:t xml:space="preserve"> el</w:t>
      </w:r>
      <w:r w:rsidR="00D87FCD" w:rsidRPr="00EC1AD4">
        <w:rPr>
          <w:rFonts w:ascii="Palatino Linotype" w:eastAsiaTheme="majorEastAsia" w:hAnsi="Palatino Linotype" w:cstheme="majorBidi"/>
          <w:bCs/>
          <w:sz w:val="24"/>
          <w:szCs w:val="24"/>
          <w:bdr w:val="nil"/>
        </w:rPr>
        <w:t xml:space="preserve"> derecho </w:t>
      </w:r>
      <w:r w:rsidR="006B4F3E">
        <w:rPr>
          <w:rFonts w:ascii="Palatino Linotype" w:eastAsiaTheme="majorEastAsia" w:hAnsi="Palatino Linotype" w:cstheme="majorBidi"/>
          <w:bCs/>
          <w:sz w:val="24"/>
          <w:szCs w:val="24"/>
          <w:bdr w:val="nil"/>
        </w:rPr>
        <w:t xml:space="preserve">de acceso </w:t>
      </w:r>
      <w:r w:rsidR="00D87FCD" w:rsidRPr="00EC1AD4">
        <w:rPr>
          <w:rFonts w:ascii="Palatino Linotype" w:eastAsiaTheme="majorEastAsia" w:hAnsi="Palatino Linotype" w:cstheme="majorBidi"/>
          <w:bCs/>
          <w:sz w:val="24"/>
          <w:szCs w:val="24"/>
          <w:bdr w:val="nil"/>
        </w:rPr>
        <w:t xml:space="preserve">a </w:t>
      </w:r>
      <w:r w:rsidR="006B4F3E">
        <w:rPr>
          <w:rFonts w:ascii="Palatino Linotype" w:eastAsiaTheme="majorEastAsia" w:hAnsi="Palatino Linotype" w:cstheme="majorBidi"/>
          <w:bCs/>
          <w:sz w:val="24"/>
          <w:szCs w:val="24"/>
          <w:bdr w:val="nil"/>
        </w:rPr>
        <w:t xml:space="preserve">la información y, </w:t>
      </w:r>
      <w:r w:rsidR="00D87FCD" w:rsidRPr="00EC1AD4">
        <w:rPr>
          <w:rFonts w:ascii="Palatino Linotype" w:eastAsiaTheme="majorEastAsia" w:hAnsi="Palatino Linotype" w:cstheme="majorBidi"/>
          <w:bCs/>
          <w:sz w:val="24"/>
          <w:szCs w:val="24"/>
          <w:bdr w:val="nil"/>
        </w:rPr>
        <w:t xml:space="preserve">precisamente lo que le impide a la </w:t>
      </w:r>
      <w:r w:rsidR="006B4F3E">
        <w:rPr>
          <w:rFonts w:ascii="Palatino Linotype" w:eastAsiaTheme="majorEastAsia" w:hAnsi="Palatino Linotype" w:cstheme="majorBidi"/>
          <w:bCs/>
          <w:sz w:val="24"/>
          <w:szCs w:val="24"/>
          <w:bdr w:val="nil"/>
        </w:rPr>
        <w:lastRenderedPageBreak/>
        <w:t xml:space="preserve">ciudadanía </w:t>
      </w:r>
      <w:r w:rsidR="006B4F3E">
        <w:rPr>
          <w:rFonts w:ascii="Palatino Linotype" w:eastAsiaTheme="majorEastAsia" w:hAnsi="Palatino Linotype" w:cstheme="majorBidi"/>
          <w:b/>
          <w:sz w:val="24"/>
          <w:szCs w:val="24"/>
          <w:bdr w:val="nil"/>
        </w:rPr>
        <w:t xml:space="preserve">cuestionar, </w:t>
      </w:r>
      <w:r w:rsidR="00D87FCD" w:rsidRPr="00EC1AD4">
        <w:rPr>
          <w:rFonts w:ascii="Palatino Linotype" w:eastAsiaTheme="majorEastAsia" w:hAnsi="Palatino Linotype" w:cstheme="majorBidi"/>
          <w:b/>
          <w:sz w:val="24"/>
          <w:szCs w:val="24"/>
          <w:bdr w:val="nil"/>
        </w:rPr>
        <w:t>verificar y refutar</w:t>
      </w:r>
      <w:r w:rsidR="00D87FCD" w:rsidRPr="00EC1AD4">
        <w:rPr>
          <w:rFonts w:ascii="Palatino Linotype" w:eastAsiaTheme="majorEastAsia" w:hAnsi="Palatino Linotype" w:cstheme="majorBidi"/>
          <w:bCs/>
          <w:sz w:val="24"/>
          <w:szCs w:val="24"/>
          <w:bdr w:val="nil"/>
        </w:rPr>
        <w:t xml:space="preserve"> </w:t>
      </w:r>
      <w:r w:rsidR="00D87FCD" w:rsidRPr="00EC1AD4">
        <w:rPr>
          <w:rFonts w:ascii="Palatino Linotype" w:eastAsiaTheme="majorEastAsia" w:hAnsi="Palatino Linotype" w:cstheme="majorBidi"/>
          <w:b/>
          <w:sz w:val="24"/>
          <w:szCs w:val="24"/>
          <w:bdr w:val="nil"/>
        </w:rPr>
        <w:t>l</w:t>
      </w:r>
      <w:r w:rsidR="006B4F3E">
        <w:rPr>
          <w:rFonts w:ascii="Palatino Linotype" w:eastAsiaTheme="majorEastAsia" w:hAnsi="Palatino Linotype" w:cstheme="majorBidi"/>
          <w:b/>
          <w:sz w:val="24"/>
          <w:szCs w:val="24"/>
          <w:bdr w:val="nil"/>
        </w:rPr>
        <w:t>as accion</w:t>
      </w:r>
      <w:r w:rsidR="00C7145E">
        <w:rPr>
          <w:rFonts w:ascii="Palatino Linotype" w:eastAsiaTheme="majorEastAsia" w:hAnsi="Palatino Linotype" w:cstheme="majorBidi"/>
          <w:b/>
          <w:sz w:val="24"/>
          <w:szCs w:val="24"/>
          <w:bdr w:val="nil"/>
        </w:rPr>
        <w:t>es desplegadas por la autoridad.</w:t>
      </w:r>
    </w:p>
    <w:p w14:paraId="0B66C96C" w14:textId="77777777" w:rsidR="006B4F3E" w:rsidRPr="006B4F3E" w:rsidRDefault="006B4F3E" w:rsidP="006B4F3E">
      <w:pPr>
        <w:pStyle w:val="Prrafodelista"/>
        <w:rPr>
          <w:rFonts w:ascii="Palatino Linotype" w:eastAsiaTheme="majorEastAsia" w:hAnsi="Palatino Linotype" w:cstheme="majorBidi"/>
          <w:b/>
          <w:sz w:val="24"/>
          <w:szCs w:val="24"/>
          <w:bdr w:val="nil"/>
        </w:rPr>
      </w:pPr>
    </w:p>
    <w:p w14:paraId="2CC9873C" w14:textId="721F6F38" w:rsidR="00C7145E" w:rsidRPr="00C7145E" w:rsidRDefault="004240AA" w:rsidP="004240AA">
      <w:pPr>
        <w:pStyle w:val="Prrafodelista"/>
        <w:numPr>
          <w:ilvl w:val="0"/>
          <w:numId w:val="9"/>
        </w:numPr>
        <w:spacing w:after="0" w:line="360" w:lineRule="auto"/>
        <w:ind w:left="0" w:firstLine="0"/>
        <w:contextualSpacing w:val="0"/>
        <w:jc w:val="both"/>
        <w:rPr>
          <w:rFonts w:ascii="Palatino Linotype" w:hAnsi="Palatino Linotype" w:cs="Tahoma"/>
          <w:bCs/>
          <w:color w:val="000000" w:themeColor="text1"/>
          <w:sz w:val="24"/>
        </w:rPr>
      </w:pPr>
      <w:bookmarkStart w:id="10" w:name="_Toc21366022"/>
      <w:r w:rsidRPr="004240AA">
        <w:rPr>
          <w:rFonts w:ascii="Palatino Linotype" w:hAnsi="Palatino Linotype"/>
          <w:sz w:val="24"/>
          <w:szCs w:val="24"/>
        </w:rPr>
        <w:t xml:space="preserve">Es importante </w:t>
      </w:r>
      <w:r>
        <w:rPr>
          <w:rFonts w:ascii="Palatino Linotype" w:hAnsi="Palatino Linotype"/>
          <w:sz w:val="24"/>
          <w:szCs w:val="24"/>
        </w:rPr>
        <w:t xml:space="preserve">mencionar </w:t>
      </w:r>
      <w:r w:rsidRPr="004240AA">
        <w:rPr>
          <w:rFonts w:ascii="Palatino Linotype" w:hAnsi="Palatino Linotype"/>
          <w:sz w:val="24"/>
          <w:szCs w:val="24"/>
        </w:rPr>
        <w:t>que</w:t>
      </w:r>
      <w:r w:rsidR="00C7145E">
        <w:rPr>
          <w:rFonts w:ascii="Palatino Linotype" w:hAnsi="Palatino Linotype"/>
          <w:sz w:val="24"/>
          <w:szCs w:val="24"/>
        </w:rPr>
        <w:t>, para la procedencia de una restricción al derecho de acceso a la información pública, se deben considerar una serie de elementos indispensables e irrefutables, que permitan tener la certeza de que la restricción se apega al marco normativo y a las razones debidamente justificadas que tengan como consecuencia el no acceso a la información.</w:t>
      </w:r>
    </w:p>
    <w:p w14:paraId="57526D85" w14:textId="77777777" w:rsidR="00C7145E" w:rsidRPr="00C7145E" w:rsidRDefault="00C7145E" w:rsidP="00C7145E">
      <w:pPr>
        <w:pStyle w:val="Prrafodelista"/>
        <w:rPr>
          <w:rFonts w:ascii="Palatino Linotype" w:hAnsi="Palatino Linotype"/>
          <w:sz w:val="24"/>
          <w:szCs w:val="24"/>
        </w:rPr>
      </w:pPr>
    </w:p>
    <w:p w14:paraId="0A802614" w14:textId="15BE7705" w:rsidR="00C7145E" w:rsidRPr="00C7145E" w:rsidRDefault="00C7145E" w:rsidP="004240AA">
      <w:pPr>
        <w:pStyle w:val="Prrafodelista"/>
        <w:numPr>
          <w:ilvl w:val="0"/>
          <w:numId w:val="9"/>
        </w:numPr>
        <w:spacing w:after="0" w:line="360" w:lineRule="auto"/>
        <w:ind w:left="0" w:firstLine="0"/>
        <w:contextualSpacing w:val="0"/>
        <w:jc w:val="both"/>
        <w:rPr>
          <w:rFonts w:ascii="Palatino Linotype" w:hAnsi="Palatino Linotype" w:cs="Tahoma"/>
          <w:bCs/>
          <w:color w:val="000000" w:themeColor="text1"/>
          <w:sz w:val="24"/>
        </w:rPr>
      </w:pPr>
      <w:r>
        <w:rPr>
          <w:rFonts w:ascii="Palatino Linotype" w:hAnsi="Palatino Linotype" w:cs="Tahoma"/>
          <w:bCs/>
          <w:color w:val="000000" w:themeColor="text1"/>
          <w:sz w:val="24"/>
        </w:rPr>
        <w:t>En el presente asunto en particular, la Ponencia advierte que el acuerdo emitido del Comité de Transparencia emitido por el Comité de Transparencia no cuenta con la debida fundamentación, razón por la que proceden a narran de manera explicativa la forma en que deberá realizarse el correcto acuerdo de clasificación; sin embargo, son omisos en verificar si la información que pretenden clasificar se encuentra dentro de las excepciones que marca la normatividad en materia.</w:t>
      </w:r>
    </w:p>
    <w:p w14:paraId="71417D38" w14:textId="77777777" w:rsidR="00C7145E" w:rsidRPr="00C7145E" w:rsidRDefault="00C7145E" w:rsidP="00C7145E">
      <w:pPr>
        <w:pStyle w:val="Prrafodelista"/>
        <w:rPr>
          <w:rFonts w:ascii="Palatino Linotype" w:hAnsi="Palatino Linotype"/>
          <w:sz w:val="24"/>
          <w:szCs w:val="24"/>
        </w:rPr>
      </w:pPr>
    </w:p>
    <w:p w14:paraId="2F57554F" w14:textId="3E95D124" w:rsidR="005F796F" w:rsidRPr="00C7145E" w:rsidRDefault="004240AA" w:rsidP="00035866">
      <w:pPr>
        <w:pStyle w:val="Prrafodelista"/>
        <w:numPr>
          <w:ilvl w:val="0"/>
          <w:numId w:val="9"/>
        </w:numPr>
        <w:tabs>
          <w:tab w:val="left" w:pos="426"/>
        </w:tabs>
        <w:spacing w:before="240" w:after="240" w:line="360" w:lineRule="auto"/>
        <w:ind w:left="0" w:right="51" w:firstLine="0"/>
        <w:jc w:val="both"/>
        <w:rPr>
          <w:rFonts w:ascii="Palatino Linotype" w:eastAsiaTheme="minorEastAsia" w:hAnsi="Palatino Linotype"/>
          <w:b/>
          <w:color w:val="000000" w:themeColor="text1"/>
          <w:sz w:val="24"/>
        </w:rPr>
      </w:pPr>
      <w:r w:rsidRPr="00C7145E">
        <w:rPr>
          <w:rFonts w:ascii="Palatino Linotype" w:hAnsi="Palatino Linotype"/>
          <w:sz w:val="24"/>
          <w:szCs w:val="24"/>
        </w:rPr>
        <w:t xml:space="preserve"> </w:t>
      </w:r>
      <w:r w:rsidR="00C7145E">
        <w:rPr>
          <w:rFonts w:ascii="Palatino Linotype" w:hAnsi="Palatino Linotype"/>
          <w:sz w:val="24"/>
          <w:szCs w:val="24"/>
        </w:rPr>
        <w:t>Por lo que resulta</w:t>
      </w:r>
      <w:r w:rsidR="005F796F" w:rsidRPr="00C7145E">
        <w:rPr>
          <w:rFonts w:ascii="Palatino Linotype" w:eastAsiaTheme="minorEastAsia" w:hAnsi="Palatino Linotype"/>
          <w:color w:val="000000" w:themeColor="text1"/>
          <w:sz w:val="24"/>
        </w:rPr>
        <w:t xml:space="preserve"> imperativo señalar </w:t>
      </w:r>
      <w:r w:rsidR="003442F0" w:rsidRPr="00C7145E">
        <w:rPr>
          <w:rFonts w:ascii="Palatino Linotype" w:eastAsiaTheme="minorEastAsia" w:hAnsi="Palatino Linotype"/>
          <w:color w:val="000000" w:themeColor="text1"/>
          <w:sz w:val="24"/>
        </w:rPr>
        <w:t xml:space="preserve">que </w:t>
      </w:r>
      <w:r w:rsidR="005F796F" w:rsidRPr="00C7145E">
        <w:rPr>
          <w:rFonts w:ascii="Palatino Linotype" w:eastAsiaTheme="minorEastAsia" w:hAnsi="Palatino Linotype"/>
          <w:color w:val="000000" w:themeColor="text1"/>
          <w:sz w:val="24"/>
        </w:rPr>
        <w:t xml:space="preserve">la Ley vigente de Transparencia y Acceso a la Información Pública del Estado de México y Municipios, en su artículo 5, establece que </w:t>
      </w:r>
      <w:r w:rsidR="005F796F" w:rsidRPr="00C7145E">
        <w:rPr>
          <w:rFonts w:ascii="Palatino Linotype" w:eastAsiaTheme="minorEastAsia" w:hAnsi="Palatino Linotype"/>
          <w:b/>
          <w:bCs/>
          <w:color w:val="000000" w:themeColor="text1"/>
          <w:sz w:val="24"/>
        </w:rPr>
        <w:t>no podrá clasificarse como reservada aquella información que esté relacionada con violaciones graves a derechos humanos o delitos de lesa humanidad</w:t>
      </w:r>
      <w:r w:rsidR="005F796F" w:rsidRPr="00C7145E">
        <w:rPr>
          <w:rFonts w:ascii="Palatino Linotype" w:eastAsiaTheme="minorEastAsia" w:hAnsi="Palatino Linotype"/>
          <w:color w:val="000000" w:themeColor="text1"/>
          <w:sz w:val="24"/>
        </w:rPr>
        <w:t>, de conformidad con el derecho nacional o los tratados internacionales de los que el Estado mexicano sea parte.</w:t>
      </w:r>
    </w:p>
    <w:p w14:paraId="44708314" w14:textId="77777777" w:rsidR="005F796F" w:rsidRPr="003442F0" w:rsidRDefault="005F796F" w:rsidP="005F796F">
      <w:pPr>
        <w:tabs>
          <w:tab w:val="left" w:pos="426"/>
        </w:tabs>
        <w:spacing w:before="240" w:after="240" w:line="360" w:lineRule="auto"/>
        <w:ind w:right="51"/>
        <w:contextualSpacing/>
        <w:jc w:val="both"/>
        <w:rPr>
          <w:rFonts w:ascii="Palatino Linotype" w:eastAsiaTheme="minorEastAsia" w:hAnsi="Palatino Linotype"/>
          <w:color w:val="000000" w:themeColor="text1"/>
          <w:sz w:val="24"/>
        </w:rPr>
      </w:pPr>
    </w:p>
    <w:p w14:paraId="2B6165C4" w14:textId="7A9A6C7A" w:rsidR="005F796F" w:rsidRPr="003442F0" w:rsidRDefault="005F796F" w:rsidP="00035866">
      <w:pPr>
        <w:numPr>
          <w:ilvl w:val="0"/>
          <w:numId w:val="9"/>
        </w:numPr>
        <w:tabs>
          <w:tab w:val="left" w:pos="426"/>
        </w:tabs>
        <w:spacing w:before="240" w:after="240" w:line="360" w:lineRule="auto"/>
        <w:ind w:left="0" w:right="51" w:firstLine="0"/>
        <w:contextualSpacing/>
        <w:jc w:val="both"/>
        <w:rPr>
          <w:rFonts w:ascii="Palatino Linotype" w:eastAsiaTheme="minorEastAsia" w:hAnsi="Palatino Linotype"/>
          <w:color w:val="000000" w:themeColor="text1"/>
          <w:sz w:val="24"/>
        </w:rPr>
      </w:pPr>
      <w:r w:rsidRPr="003442F0">
        <w:rPr>
          <w:rFonts w:ascii="Palatino Linotype" w:eastAsiaTheme="minorEastAsia" w:hAnsi="Palatino Linotype"/>
          <w:color w:val="000000" w:themeColor="text1"/>
          <w:sz w:val="24"/>
        </w:rPr>
        <w:t xml:space="preserve">Correlativo lo anterior, el diverso dispositivo </w:t>
      </w:r>
      <w:r w:rsidR="00C7145E">
        <w:rPr>
          <w:rFonts w:ascii="Palatino Linotype" w:eastAsiaTheme="minorEastAsia" w:hAnsi="Palatino Linotype"/>
          <w:color w:val="000000" w:themeColor="text1"/>
          <w:sz w:val="24"/>
        </w:rPr>
        <w:t xml:space="preserve">legal </w:t>
      </w:r>
      <w:r w:rsidRPr="003442F0">
        <w:rPr>
          <w:rFonts w:ascii="Palatino Linotype" w:eastAsiaTheme="minorEastAsia" w:hAnsi="Palatino Linotype"/>
          <w:color w:val="000000" w:themeColor="text1"/>
          <w:sz w:val="24"/>
        </w:rPr>
        <w:t xml:space="preserve">142 del ordenamiento en cita, </w:t>
      </w:r>
      <w:r w:rsidRPr="00C7145E">
        <w:rPr>
          <w:rFonts w:ascii="Palatino Linotype" w:eastAsiaTheme="minorEastAsia" w:hAnsi="Palatino Linotype"/>
          <w:b/>
          <w:color w:val="000000" w:themeColor="text1"/>
          <w:sz w:val="24"/>
        </w:rPr>
        <w:t>enlista los escenarios bajo los que no se podrá invocar la reserva de información</w:t>
      </w:r>
      <w:r w:rsidRPr="003442F0">
        <w:rPr>
          <w:rFonts w:ascii="Palatino Linotype" w:eastAsiaTheme="minorEastAsia" w:hAnsi="Palatino Linotype"/>
          <w:color w:val="000000" w:themeColor="text1"/>
          <w:sz w:val="24"/>
        </w:rPr>
        <w:t>, a saber:</w:t>
      </w:r>
    </w:p>
    <w:p w14:paraId="5289DF54" w14:textId="77777777" w:rsidR="005F796F" w:rsidRPr="0062467A" w:rsidRDefault="005F796F" w:rsidP="005F796F">
      <w:pPr>
        <w:tabs>
          <w:tab w:val="left" w:pos="426"/>
        </w:tabs>
        <w:spacing w:before="240" w:after="240" w:line="360" w:lineRule="auto"/>
        <w:ind w:right="51"/>
        <w:contextualSpacing/>
        <w:jc w:val="both"/>
        <w:rPr>
          <w:rFonts w:ascii="Palatino Linotype" w:eastAsiaTheme="minorEastAsia" w:hAnsi="Palatino Linotype"/>
          <w:color w:val="000000" w:themeColor="text1"/>
        </w:rPr>
      </w:pPr>
    </w:p>
    <w:p w14:paraId="0E496C2A" w14:textId="77777777" w:rsidR="005F796F" w:rsidRDefault="005F796F" w:rsidP="005F796F">
      <w:pPr>
        <w:tabs>
          <w:tab w:val="left" w:pos="426"/>
        </w:tabs>
        <w:spacing w:before="240" w:after="240" w:line="360" w:lineRule="auto"/>
        <w:ind w:left="567" w:right="567"/>
        <w:contextualSpacing/>
        <w:jc w:val="both"/>
        <w:rPr>
          <w:rFonts w:ascii="Palatino Linotype" w:eastAsiaTheme="minorEastAsia" w:hAnsi="Palatino Linotype"/>
          <w:i/>
          <w:iCs/>
        </w:rPr>
      </w:pPr>
      <w:r w:rsidRPr="0062467A">
        <w:rPr>
          <w:rFonts w:ascii="Palatino Linotype" w:eastAsiaTheme="minorEastAsia" w:hAnsi="Palatino Linotype"/>
          <w:i/>
          <w:iCs/>
        </w:rPr>
        <w:t>“</w:t>
      </w:r>
      <w:r w:rsidRPr="0062467A">
        <w:rPr>
          <w:rFonts w:ascii="Palatino Linotype" w:eastAsiaTheme="minorEastAsia" w:hAnsi="Palatino Linotype"/>
          <w:b/>
          <w:bCs/>
          <w:i/>
          <w:iCs/>
        </w:rPr>
        <w:t xml:space="preserve">Artículo 142. </w:t>
      </w:r>
      <w:r w:rsidRPr="0062467A">
        <w:rPr>
          <w:rFonts w:ascii="Palatino Linotype" w:eastAsiaTheme="minorEastAsia" w:hAnsi="Palatino Linotype"/>
          <w:i/>
          <w:iCs/>
        </w:rPr>
        <w:t xml:space="preserve">Bajo ninguna circunstancia podrá invocarse el carácter de reservado cuando: </w:t>
      </w:r>
    </w:p>
    <w:p w14:paraId="31C74826" w14:textId="77777777" w:rsidR="005F796F" w:rsidRPr="0062467A" w:rsidRDefault="005F796F" w:rsidP="005F796F">
      <w:pPr>
        <w:tabs>
          <w:tab w:val="left" w:pos="426"/>
        </w:tabs>
        <w:spacing w:before="240" w:after="240" w:line="360" w:lineRule="auto"/>
        <w:ind w:left="567" w:right="567"/>
        <w:contextualSpacing/>
        <w:jc w:val="both"/>
        <w:rPr>
          <w:rFonts w:ascii="Palatino Linotype" w:eastAsiaTheme="minorEastAsia" w:hAnsi="Palatino Linotype"/>
          <w:i/>
          <w:iCs/>
        </w:rPr>
      </w:pPr>
    </w:p>
    <w:p w14:paraId="452798D2" w14:textId="77777777" w:rsidR="005F796F" w:rsidRPr="0062467A" w:rsidRDefault="005F796F" w:rsidP="005F796F">
      <w:pPr>
        <w:tabs>
          <w:tab w:val="left" w:pos="426"/>
        </w:tabs>
        <w:spacing w:before="240" w:after="240" w:line="360" w:lineRule="auto"/>
        <w:ind w:left="567" w:right="567"/>
        <w:contextualSpacing/>
        <w:jc w:val="both"/>
        <w:rPr>
          <w:rFonts w:ascii="Palatino Linotype" w:eastAsiaTheme="minorEastAsia" w:hAnsi="Palatino Linotype"/>
          <w:i/>
          <w:iCs/>
        </w:rPr>
      </w:pPr>
      <w:r w:rsidRPr="0062467A">
        <w:rPr>
          <w:rFonts w:ascii="Palatino Linotype" w:eastAsiaTheme="minorEastAsia" w:hAnsi="Palatino Linotype"/>
          <w:b/>
          <w:bCs/>
          <w:i/>
          <w:iCs/>
        </w:rPr>
        <w:t>I.</w:t>
      </w:r>
      <w:r w:rsidRPr="0062467A">
        <w:rPr>
          <w:rFonts w:ascii="Palatino Linotype" w:eastAsiaTheme="minorEastAsia" w:hAnsi="Palatino Linotype"/>
          <w:i/>
          <w:iCs/>
        </w:rPr>
        <w:t xml:space="preserve"> Se trate de violaciones graves de derechos humanos, calificada así por autoridad competente; </w:t>
      </w:r>
    </w:p>
    <w:p w14:paraId="1B1E80EA" w14:textId="77777777" w:rsidR="005F796F" w:rsidRPr="0062467A" w:rsidRDefault="005F796F" w:rsidP="005F796F">
      <w:pPr>
        <w:tabs>
          <w:tab w:val="left" w:pos="426"/>
        </w:tabs>
        <w:spacing w:before="240" w:after="240" w:line="360" w:lineRule="auto"/>
        <w:ind w:left="567" w:right="567"/>
        <w:contextualSpacing/>
        <w:jc w:val="both"/>
        <w:rPr>
          <w:rFonts w:ascii="Palatino Linotype" w:eastAsiaTheme="minorEastAsia" w:hAnsi="Palatino Linotype"/>
          <w:b/>
          <w:bCs/>
          <w:i/>
          <w:iCs/>
        </w:rPr>
      </w:pPr>
      <w:r w:rsidRPr="0062467A">
        <w:rPr>
          <w:rFonts w:ascii="Palatino Linotype" w:eastAsiaTheme="minorEastAsia" w:hAnsi="Palatino Linotype"/>
          <w:b/>
          <w:bCs/>
          <w:i/>
          <w:iCs/>
        </w:rPr>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7C445590" w14:textId="77777777" w:rsidR="005F796F" w:rsidRPr="0062467A" w:rsidRDefault="005F796F" w:rsidP="005F796F">
      <w:pPr>
        <w:tabs>
          <w:tab w:val="left" w:pos="426"/>
        </w:tabs>
        <w:spacing w:before="240" w:after="240" w:line="360" w:lineRule="auto"/>
        <w:ind w:left="567" w:right="567"/>
        <w:contextualSpacing/>
        <w:jc w:val="both"/>
        <w:rPr>
          <w:rFonts w:ascii="Palatino Linotype" w:eastAsiaTheme="minorEastAsia" w:hAnsi="Palatino Linotype"/>
          <w:i/>
          <w:iCs/>
        </w:rPr>
      </w:pPr>
      <w:r w:rsidRPr="0062467A">
        <w:rPr>
          <w:rFonts w:ascii="Palatino Linotype" w:eastAsiaTheme="minorEastAsia" w:hAnsi="Palatino Linotype"/>
          <w:b/>
          <w:bCs/>
          <w:i/>
          <w:iCs/>
        </w:rPr>
        <w:t>III.</w:t>
      </w:r>
      <w:r w:rsidRPr="0062467A">
        <w:rPr>
          <w:rFonts w:ascii="Palatino Linotype" w:eastAsiaTheme="minorEastAsia" w:hAnsi="Palatino Linotype"/>
          <w:i/>
          <w:iCs/>
        </w:rPr>
        <w:t xml:space="preserve">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64937D3B" w14:textId="77777777" w:rsidR="005F796F" w:rsidRPr="0062467A" w:rsidRDefault="005F796F" w:rsidP="005F796F">
      <w:pPr>
        <w:tabs>
          <w:tab w:val="left" w:pos="426"/>
        </w:tabs>
        <w:spacing w:before="240" w:after="240" w:line="360" w:lineRule="auto"/>
        <w:ind w:left="567" w:right="567"/>
        <w:contextualSpacing/>
        <w:jc w:val="both"/>
        <w:rPr>
          <w:rFonts w:ascii="Palatino Linotype" w:eastAsiaTheme="minorEastAsia" w:hAnsi="Palatino Linotype"/>
          <w:i/>
          <w:iCs/>
        </w:rPr>
      </w:pPr>
      <w:r w:rsidRPr="0062467A">
        <w:rPr>
          <w:rFonts w:ascii="Palatino Linotype" w:eastAsiaTheme="minorEastAsia" w:hAnsi="Palatino Linotype"/>
          <w:b/>
          <w:bCs/>
          <w:i/>
          <w:iCs/>
        </w:rPr>
        <w:t>IV.</w:t>
      </w:r>
      <w:r w:rsidRPr="0062467A">
        <w:rPr>
          <w:rFonts w:ascii="Palatino Linotype" w:eastAsiaTheme="minorEastAsia" w:hAnsi="Palatino Linotype"/>
          <w:i/>
          <w:iCs/>
        </w:rPr>
        <w:t xml:space="preserve"> Se trate de información relacionada con actos de corrupción de conformidad con las disposiciones jurídicas aplicables.”</w:t>
      </w:r>
    </w:p>
    <w:p w14:paraId="09382D75" w14:textId="77777777" w:rsidR="005F796F" w:rsidRPr="0062467A" w:rsidRDefault="005F796F" w:rsidP="005F796F">
      <w:pPr>
        <w:tabs>
          <w:tab w:val="left" w:pos="426"/>
        </w:tabs>
        <w:spacing w:before="240" w:after="240" w:line="360" w:lineRule="auto"/>
        <w:ind w:left="567" w:right="567"/>
        <w:contextualSpacing/>
        <w:jc w:val="both"/>
        <w:rPr>
          <w:rFonts w:ascii="Palatino Linotype" w:eastAsiaTheme="minorEastAsia" w:hAnsi="Palatino Linotype"/>
          <w:color w:val="000000" w:themeColor="text1"/>
        </w:rPr>
      </w:pPr>
      <w:r w:rsidRPr="0062467A">
        <w:rPr>
          <w:rFonts w:ascii="Palatino Linotype" w:eastAsiaTheme="minorEastAsia" w:hAnsi="Palatino Linotype"/>
        </w:rPr>
        <w:t>(Énfasis añadido)</w:t>
      </w:r>
    </w:p>
    <w:p w14:paraId="4B349FFE" w14:textId="77777777" w:rsidR="005F796F" w:rsidRPr="0062467A" w:rsidRDefault="005F796F" w:rsidP="005F796F">
      <w:pPr>
        <w:tabs>
          <w:tab w:val="left" w:pos="426"/>
        </w:tabs>
        <w:spacing w:before="240" w:after="240" w:line="360" w:lineRule="auto"/>
        <w:ind w:right="51"/>
        <w:contextualSpacing/>
        <w:jc w:val="both"/>
        <w:rPr>
          <w:rFonts w:ascii="Palatino Linotype" w:eastAsiaTheme="minorEastAsia" w:hAnsi="Palatino Linotype"/>
          <w:color w:val="000000" w:themeColor="text1"/>
        </w:rPr>
      </w:pPr>
    </w:p>
    <w:p w14:paraId="3CEABFD8" w14:textId="36EEC31F" w:rsidR="005F796F" w:rsidRPr="003442F0" w:rsidRDefault="005F796F" w:rsidP="00035866">
      <w:pPr>
        <w:numPr>
          <w:ilvl w:val="0"/>
          <w:numId w:val="9"/>
        </w:numPr>
        <w:tabs>
          <w:tab w:val="left" w:pos="426"/>
        </w:tabs>
        <w:spacing w:before="240" w:after="240" w:line="360" w:lineRule="auto"/>
        <w:ind w:left="0" w:right="51" w:firstLine="0"/>
        <w:contextualSpacing/>
        <w:jc w:val="both"/>
        <w:rPr>
          <w:rFonts w:ascii="Palatino Linotype" w:eastAsiaTheme="minorEastAsia" w:hAnsi="Palatino Linotype"/>
          <w:color w:val="000000" w:themeColor="text1"/>
          <w:sz w:val="24"/>
        </w:rPr>
      </w:pPr>
      <w:r w:rsidRPr="003442F0">
        <w:rPr>
          <w:rFonts w:ascii="Palatino Linotype" w:eastAsiaTheme="minorEastAsia" w:hAnsi="Palatino Linotype"/>
          <w:color w:val="000000" w:themeColor="text1"/>
          <w:sz w:val="24"/>
        </w:rPr>
        <w:lastRenderedPageBreak/>
        <w:t xml:space="preserve">Siendo de especial interés para el presente asunto la causal de difusión de información establecida en la fracción II del artículo normativo transcrito </w:t>
      </w:r>
      <w:r w:rsidRPr="003442F0">
        <w:rPr>
          <w:rFonts w:ascii="Palatino Linotype" w:eastAsiaTheme="minorEastAsia" w:hAnsi="Palatino Linotype"/>
          <w:i/>
          <w:iCs/>
          <w:color w:val="000000" w:themeColor="text1"/>
          <w:sz w:val="24"/>
        </w:rPr>
        <w:t>supra</w:t>
      </w:r>
      <w:r w:rsidRPr="003442F0">
        <w:rPr>
          <w:rFonts w:ascii="Palatino Linotype" w:eastAsiaTheme="minorEastAsia" w:hAnsi="Palatino Linotype"/>
          <w:color w:val="000000" w:themeColor="text1"/>
          <w:sz w:val="24"/>
        </w:rPr>
        <w:t>, el cual señala que cuando la información solicitada se relacione con</w:t>
      </w:r>
      <w:r w:rsidR="00C7145E">
        <w:rPr>
          <w:rFonts w:ascii="Palatino Linotype" w:eastAsiaTheme="minorEastAsia" w:hAnsi="Palatino Linotype"/>
          <w:color w:val="000000" w:themeColor="text1"/>
          <w:sz w:val="24"/>
        </w:rPr>
        <w:t xml:space="preserve"> </w:t>
      </w:r>
      <w:r w:rsidR="00C7145E" w:rsidRPr="00C7145E">
        <w:rPr>
          <w:rFonts w:ascii="Palatino Linotype" w:eastAsiaTheme="minorEastAsia" w:hAnsi="Palatino Linotype"/>
          <w:b/>
          <w:color w:val="000000" w:themeColor="text1"/>
          <w:sz w:val="24"/>
        </w:rPr>
        <w:t>investigaciones</w:t>
      </w:r>
      <w:r w:rsidRPr="00C7145E">
        <w:rPr>
          <w:rFonts w:ascii="Palatino Linotype" w:eastAsiaTheme="minorEastAsia" w:hAnsi="Palatino Linotype"/>
          <w:b/>
          <w:color w:val="000000" w:themeColor="text1"/>
          <w:sz w:val="24"/>
        </w:rPr>
        <w:t xml:space="preserve"> violaciones graves a derechos humanos</w:t>
      </w:r>
      <w:r w:rsidR="004022C0">
        <w:rPr>
          <w:rFonts w:ascii="Palatino Linotype" w:eastAsiaTheme="minorEastAsia" w:hAnsi="Palatino Linotype"/>
          <w:color w:val="000000" w:themeColor="text1"/>
          <w:sz w:val="24"/>
        </w:rPr>
        <w:t>, al ser catalogada</w:t>
      </w:r>
      <w:r w:rsidRPr="003442F0">
        <w:rPr>
          <w:rFonts w:ascii="Palatino Linotype" w:eastAsiaTheme="minorEastAsia" w:hAnsi="Palatino Linotype"/>
          <w:color w:val="000000" w:themeColor="text1"/>
          <w:sz w:val="24"/>
        </w:rPr>
        <w:t xml:space="preserve"> así por una autoridad competente, </w:t>
      </w:r>
      <w:r w:rsidRPr="003442F0">
        <w:rPr>
          <w:rFonts w:ascii="Palatino Linotype" w:eastAsiaTheme="minorEastAsia" w:hAnsi="Palatino Linotype"/>
          <w:b/>
          <w:bCs/>
          <w:color w:val="000000" w:themeColor="text1"/>
          <w:sz w:val="24"/>
        </w:rPr>
        <w:t>no se podrá restringir su acceso</w:t>
      </w:r>
      <w:r w:rsidRPr="003442F0">
        <w:rPr>
          <w:rFonts w:ascii="Palatino Linotype" w:eastAsiaTheme="minorEastAsia" w:hAnsi="Palatino Linotype"/>
          <w:color w:val="000000" w:themeColor="text1"/>
          <w:sz w:val="24"/>
        </w:rPr>
        <w:t>; inclusive, no será necesario el pronunciamiento de una autoridad competente cuando se demuestre su trascendencia social a partir de criterios cuantitativos y cualitativos.</w:t>
      </w:r>
    </w:p>
    <w:p w14:paraId="14CEA2E1" w14:textId="77777777" w:rsidR="005F796F" w:rsidRPr="003442F0" w:rsidRDefault="005F796F" w:rsidP="005F796F">
      <w:pPr>
        <w:tabs>
          <w:tab w:val="left" w:pos="426"/>
        </w:tabs>
        <w:spacing w:before="240" w:after="240" w:line="360" w:lineRule="auto"/>
        <w:ind w:right="51"/>
        <w:contextualSpacing/>
        <w:jc w:val="both"/>
        <w:rPr>
          <w:rFonts w:ascii="Palatino Linotype" w:eastAsiaTheme="minorEastAsia" w:hAnsi="Palatino Linotype"/>
          <w:color w:val="000000" w:themeColor="text1"/>
          <w:sz w:val="24"/>
        </w:rPr>
      </w:pPr>
    </w:p>
    <w:p w14:paraId="564B4A4F" w14:textId="77777777" w:rsidR="005F796F" w:rsidRPr="003442F0" w:rsidRDefault="005F796F" w:rsidP="00035866">
      <w:pPr>
        <w:numPr>
          <w:ilvl w:val="0"/>
          <w:numId w:val="9"/>
        </w:numPr>
        <w:tabs>
          <w:tab w:val="left" w:pos="426"/>
        </w:tabs>
        <w:spacing w:before="240" w:after="240" w:line="360" w:lineRule="auto"/>
        <w:ind w:left="0" w:right="51" w:firstLine="0"/>
        <w:contextualSpacing/>
        <w:jc w:val="both"/>
        <w:rPr>
          <w:rFonts w:ascii="Palatino Linotype" w:eastAsiaTheme="minorEastAsia" w:hAnsi="Palatino Linotype"/>
          <w:color w:val="000000" w:themeColor="text1"/>
          <w:sz w:val="24"/>
        </w:rPr>
      </w:pPr>
      <w:r w:rsidRPr="003442F0">
        <w:rPr>
          <w:rFonts w:ascii="Palatino Linotype" w:eastAsiaTheme="minorEastAsia" w:hAnsi="Palatino Linotype"/>
          <w:color w:val="000000" w:themeColor="text1"/>
          <w:sz w:val="24"/>
        </w:rPr>
        <w:t xml:space="preserve">Robustece lo anterior, la </w:t>
      </w:r>
      <w:r w:rsidRPr="003442F0">
        <w:rPr>
          <w:rFonts w:ascii="Palatino Linotype" w:eastAsiaTheme="minorEastAsia" w:hAnsi="Palatino Linotype"/>
          <w:color w:val="000000" w:themeColor="text1"/>
          <w:sz w:val="24"/>
          <w:lang w:val="es-ES_tradnl"/>
        </w:rPr>
        <w:t>Tesis Aislada 1a. IX/2012 (10a.), de la Primera Sala de la Suprema Corte de Justicia de la Nación, cuyo rubro y texto se comparten a continuación:</w:t>
      </w:r>
    </w:p>
    <w:p w14:paraId="216E97DC" w14:textId="77777777" w:rsidR="005F796F" w:rsidRPr="0062467A" w:rsidRDefault="005F796F" w:rsidP="005F796F">
      <w:pPr>
        <w:tabs>
          <w:tab w:val="left" w:pos="426"/>
        </w:tabs>
        <w:spacing w:before="240" w:line="360" w:lineRule="auto"/>
        <w:ind w:right="51"/>
        <w:contextualSpacing/>
        <w:jc w:val="both"/>
        <w:rPr>
          <w:rFonts w:ascii="Palatino Linotype" w:eastAsiaTheme="minorEastAsia" w:hAnsi="Palatino Linotype"/>
          <w:color w:val="000000" w:themeColor="text1"/>
        </w:rPr>
      </w:pPr>
    </w:p>
    <w:p w14:paraId="2AC4A0A0" w14:textId="77777777" w:rsidR="005F796F" w:rsidRPr="0062467A" w:rsidRDefault="005F796F" w:rsidP="005F796F">
      <w:pPr>
        <w:tabs>
          <w:tab w:val="left" w:pos="7920"/>
        </w:tabs>
        <w:spacing w:line="360" w:lineRule="auto"/>
        <w:ind w:left="567" w:right="909"/>
        <w:jc w:val="both"/>
        <w:rPr>
          <w:rFonts w:ascii="Palatino Linotype" w:eastAsiaTheme="minorEastAsia" w:hAnsi="Palatino Linotype"/>
          <w:lang w:val="es-ES_tradnl"/>
        </w:rPr>
      </w:pPr>
      <w:r w:rsidRPr="0062467A">
        <w:rPr>
          <w:rFonts w:ascii="Palatino Linotype" w:eastAsiaTheme="minorEastAsia" w:hAnsi="Palatino Linotype"/>
          <w:b/>
          <w:i/>
          <w:lang w:val="es-ES_tradnl"/>
        </w:rPr>
        <w:t>DERECHO A LA INFORMACIÓN. ACCESO A LAS AVERIGUACIONES PREVIAS QUE INVESTIGUEN HECHOS QUE CONSTITUYAN GRAVES VIOLACIONES A DERECHOS HUMANOS O DELITOS DE LESA HUMANIDAD.</w:t>
      </w:r>
      <w:r w:rsidRPr="0062467A">
        <w:rPr>
          <w:rFonts w:ascii="Palatino Linotype" w:eastAsiaTheme="minorEastAsia" w:hAnsi="Palatino Linotype"/>
          <w:i/>
          <w:lang w:val="es-ES_tradnl"/>
        </w:rPr>
        <w:t xml:space="preserve"> “En materia de derecho a la información pública, la regla general en un Estado democrático de derecho debe ser el acceso y máxima publicidad de la información. Sin embargo, la regla general presenta algunas excepciones, las cuales, por mandato constitucional, deben estar previstas en leyes en sentido formal y material. Una de estas excepciones es el caso de las averiguaciones previas, cuyo contenido debe considerarse como estrictamente reservado, en términos de lo dispuesto en el artículo 16 del Código Federal de Procedimientos Penales, y de los </w:t>
      </w:r>
      <w:r w:rsidRPr="0062467A">
        <w:rPr>
          <w:rFonts w:ascii="Palatino Linotype" w:eastAsiaTheme="minorEastAsia" w:hAnsi="Palatino Linotype"/>
          <w:i/>
          <w:lang w:val="es-ES_tradnl"/>
        </w:rPr>
        <w:lastRenderedPageBreak/>
        <w:t xml:space="preserve">artículos 13, fracción V, y 14, fracción III, de la Ley Federal de Transparencia y Acceso a la Información Pública Gubernamental. Ahora bien, esta limitante tampoco puede considerarse como absoluta y presenta una excepción -de modo que estamos ante una excepción a la excepción- consistente en que, </w:t>
      </w:r>
      <w:r w:rsidRPr="0062467A">
        <w:rPr>
          <w:rFonts w:ascii="Palatino Linotype" w:eastAsiaTheme="minorEastAsia" w:hAnsi="Palatino Linotype"/>
          <w:b/>
          <w:i/>
          <w:lang w:val="es-ES_tradnl"/>
        </w:rPr>
        <w:t>de conformidad con lo dispuesto en el último párrafo del artículo 14 de la Ley Federal de Transparencia y Acceso a la Información Pública Gubernamental, no puede alegarse el carácter de reservado cuando la averiguación previa investigue hechos constitutivos de graves violaciones a derechos humanos o delitos de lesa humanidad</w:t>
      </w:r>
      <w:r w:rsidRPr="0062467A">
        <w:rPr>
          <w:rFonts w:ascii="Palatino Linotype" w:eastAsiaTheme="minorEastAsia" w:hAnsi="Palatino Linotype"/>
          <w:i/>
          <w:lang w:val="es-ES_tradnl"/>
        </w:rPr>
        <w:t xml:space="preserve">. Las averiguaciones previas se mantienen reservadas en atención a que la difusión de la información contenida en ellas podría afectar gravemente la persecución de delitos y, con ello, al sistema de impartición de justicia. A pesar de lo anterior, </w:t>
      </w:r>
      <w:r w:rsidRPr="0062467A">
        <w:rPr>
          <w:rFonts w:ascii="Palatino Linotype" w:eastAsiaTheme="minorEastAsia" w:hAnsi="Palatino Linotype"/>
          <w:b/>
          <w:i/>
          <w:lang w:val="es-ES_tradnl"/>
        </w:rPr>
        <w:t>la ley previó como excepción a la reserva de las averiguaciones previas aquellos casos extremos en los cuales</w:t>
      </w:r>
      <w:r w:rsidRPr="0062467A">
        <w:rPr>
          <w:rFonts w:ascii="Palatino Linotype" w:eastAsiaTheme="minorEastAsia" w:hAnsi="Palatino Linotype"/>
          <w:i/>
          <w:lang w:val="es-ES_tradnl"/>
        </w:rPr>
        <w:t xml:space="preserve"> </w:t>
      </w:r>
      <w:r w:rsidRPr="0062467A">
        <w:rPr>
          <w:rFonts w:ascii="Palatino Linotype" w:eastAsiaTheme="minorEastAsia" w:hAnsi="Palatino Linotype"/>
          <w:b/>
          <w:i/>
          <w:lang w:val="es-ES_tradnl"/>
        </w:rPr>
        <w:t>el delito perseguido es de tal gravedad que el interés público en mantener la averiguación previa en reserva se ve superado por el interés de la sociedad en su conjunto de conocer todas las diligencias que se estén llevando a cabo para la oportuna investigación, detención, juicio y sanción de los responsables</w:t>
      </w:r>
      <w:r w:rsidRPr="0062467A">
        <w:rPr>
          <w:rFonts w:ascii="Palatino Linotype" w:eastAsiaTheme="minorEastAsia" w:hAnsi="Palatino Linotype"/>
          <w:i/>
          <w:lang w:val="es-ES_tradnl"/>
        </w:rPr>
        <w:t xml:space="preserve">. Estos casos de excepción son las investigaciones sobre graves violaciones a derechos humanos y delitos o crímenes de lesa humanidad. Esta Primera Sala de la Suprema Corte de Justicia de la Nación recuerda que el Tribunal Pleno reconoció en la tesis jurisprudencial P./J. 54/2008, el doble carácter del derecho de acceso a la información, como un derecho en sí mismo, pero también como un medio o instrumento para el ejercicio de otros derechos. En este sentido, el Tribunal Pleno </w:t>
      </w:r>
      <w:r w:rsidRPr="0062467A">
        <w:rPr>
          <w:rFonts w:ascii="Palatino Linotype" w:eastAsiaTheme="minorEastAsia" w:hAnsi="Palatino Linotype"/>
          <w:i/>
          <w:lang w:val="es-ES_tradnl"/>
        </w:rPr>
        <w:lastRenderedPageBreak/>
        <w:t xml:space="preserve">destacó que el derecho de acceso a la información es la base para que los gobernados ejerzan un control respecto del funcionamiento institucional de los poderes públicos, por lo cual se perfila como un límite a la exclusividad estatal en el manejo de la información y, por ende, como una exigencia social de todo Estado de Derecho. </w:t>
      </w:r>
      <w:r w:rsidRPr="0062467A">
        <w:rPr>
          <w:rFonts w:ascii="Palatino Linotype" w:eastAsiaTheme="minorEastAsia" w:hAnsi="Palatino Linotype"/>
          <w:b/>
          <w:i/>
          <w:lang w:val="es-ES_tradnl"/>
        </w:rPr>
        <w:t>En virtud de lo anterior, cobra una especial relevancia la necesidad de permitir el acceso a la información que conste en averiguaciones previas que investiguen hechos que constituyan graves violaciones a derechos humanos o crímenes de lesa humanidad, pues estos supuestos no sólo afectan a las víctimas y ofendidos en forma directa por los hechos antijurídicos, sino que ofenden a toda la sociedad, precisamente por su gravedad y por las repercusiones que implican</w:t>
      </w:r>
      <w:r w:rsidRPr="0062467A">
        <w:rPr>
          <w:rFonts w:ascii="Palatino Linotype" w:eastAsiaTheme="minorEastAsia" w:hAnsi="Palatino Linotype"/>
          <w:i/>
          <w:lang w:val="es-ES_tradnl"/>
        </w:rPr>
        <w:t>.”</w:t>
      </w:r>
    </w:p>
    <w:p w14:paraId="5452DB76" w14:textId="77777777" w:rsidR="005F796F" w:rsidRPr="0062467A" w:rsidRDefault="005F796F" w:rsidP="005F796F">
      <w:pPr>
        <w:tabs>
          <w:tab w:val="left" w:pos="7920"/>
        </w:tabs>
        <w:spacing w:line="360" w:lineRule="auto"/>
        <w:ind w:left="567" w:right="909"/>
        <w:jc w:val="both"/>
        <w:rPr>
          <w:rFonts w:ascii="Palatino Linotype" w:eastAsiaTheme="minorEastAsia" w:hAnsi="Palatino Linotype"/>
          <w:lang w:val="es-ES_tradnl"/>
        </w:rPr>
      </w:pPr>
      <w:r w:rsidRPr="0062467A">
        <w:rPr>
          <w:rFonts w:ascii="Palatino Linotype" w:eastAsiaTheme="minorEastAsia" w:hAnsi="Palatino Linotype"/>
          <w:lang w:val="es-ES_tradnl"/>
        </w:rPr>
        <w:t>(Énfasis añadido)</w:t>
      </w:r>
    </w:p>
    <w:p w14:paraId="09BA26B2" w14:textId="77777777" w:rsidR="005F796F" w:rsidRPr="0062467A" w:rsidRDefault="005F796F" w:rsidP="005F796F">
      <w:pPr>
        <w:tabs>
          <w:tab w:val="left" w:pos="426"/>
        </w:tabs>
        <w:spacing w:before="240" w:after="240" w:line="360" w:lineRule="auto"/>
        <w:ind w:right="51"/>
        <w:contextualSpacing/>
        <w:jc w:val="both"/>
        <w:rPr>
          <w:rFonts w:ascii="Palatino Linotype" w:eastAsiaTheme="minorEastAsia" w:hAnsi="Palatino Linotype"/>
          <w:color w:val="000000" w:themeColor="text1"/>
        </w:rPr>
      </w:pPr>
    </w:p>
    <w:p w14:paraId="456B3290" w14:textId="77777777" w:rsidR="005F796F" w:rsidRPr="000F1716" w:rsidRDefault="005F796F" w:rsidP="00035866">
      <w:pPr>
        <w:numPr>
          <w:ilvl w:val="0"/>
          <w:numId w:val="9"/>
        </w:numPr>
        <w:tabs>
          <w:tab w:val="left" w:pos="426"/>
        </w:tabs>
        <w:spacing w:before="240" w:after="240" w:line="360" w:lineRule="auto"/>
        <w:ind w:left="0" w:right="51" w:firstLine="0"/>
        <w:contextualSpacing/>
        <w:jc w:val="both"/>
        <w:rPr>
          <w:rFonts w:ascii="Palatino Linotype" w:eastAsiaTheme="minorEastAsia" w:hAnsi="Palatino Linotype"/>
          <w:color w:val="000000" w:themeColor="text1"/>
          <w:sz w:val="24"/>
        </w:rPr>
      </w:pPr>
      <w:r w:rsidRPr="000F1716">
        <w:rPr>
          <w:rFonts w:ascii="Palatino Linotype" w:eastAsiaTheme="minorEastAsia" w:hAnsi="Palatino Linotype"/>
          <w:color w:val="000000" w:themeColor="text1"/>
          <w:sz w:val="24"/>
        </w:rPr>
        <w:t xml:space="preserve">De igual forma, no escapa de la óptica de este Órgano Garante la Jurisprudencia Internacional en relación al tema, por cuanto hace a la </w:t>
      </w:r>
      <w:r w:rsidRPr="000F1716">
        <w:rPr>
          <w:rFonts w:ascii="Palatino Linotype" w:eastAsiaTheme="minorEastAsia" w:hAnsi="Palatino Linotype"/>
          <w:b/>
          <w:color w:val="000000" w:themeColor="text1"/>
          <w:sz w:val="24"/>
        </w:rPr>
        <w:t>Sentencia de 23</w:t>
      </w:r>
      <w:r w:rsidRPr="000F1716">
        <w:rPr>
          <w:rFonts w:ascii="Palatino Linotype" w:eastAsiaTheme="minorEastAsia" w:hAnsi="Palatino Linotype"/>
          <w:color w:val="000000" w:themeColor="text1"/>
          <w:sz w:val="24"/>
        </w:rPr>
        <w:t xml:space="preserve"> </w:t>
      </w:r>
      <w:r w:rsidRPr="000F1716">
        <w:rPr>
          <w:rFonts w:ascii="Palatino Linotype" w:eastAsiaTheme="minorEastAsia" w:hAnsi="Palatino Linotype"/>
          <w:b/>
          <w:color w:val="000000" w:themeColor="text1"/>
          <w:sz w:val="24"/>
        </w:rPr>
        <w:t>de noviembre de 2009 emitida por la Corte Interamericana de Derechos Humanos</w:t>
      </w:r>
      <w:r w:rsidRPr="000F1716">
        <w:rPr>
          <w:rFonts w:ascii="Palatino Linotype" w:eastAsiaTheme="minorEastAsia" w:hAnsi="Palatino Linotype"/>
          <w:color w:val="000000" w:themeColor="text1"/>
          <w:sz w:val="24"/>
        </w:rPr>
        <w:t xml:space="preserve"> en el caso </w:t>
      </w:r>
      <w:r w:rsidRPr="000F1716">
        <w:rPr>
          <w:rFonts w:ascii="Palatino Linotype" w:eastAsiaTheme="minorEastAsia" w:hAnsi="Palatino Linotype"/>
          <w:b/>
          <w:color w:val="000000" w:themeColor="text1"/>
          <w:sz w:val="24"/>
        </w:rPr>
        <w:t>RADILLA PACHECO VS ESTADOS UNIDOS MEXICANOS</w:t>
      </w:r>
      <w:r w:rsidRPr="000F1716">
        <w:rPr>
          <w:rStyle w:val="Refdenotaalpie"/>
          <w:rFonts w:ascii="Palatino Linotype" w:eastAsiaTheme="minorEastAsia" w:hAnsi="Palatino Linotype"/>
          <w:b/>
          <w:color w:val="000000" w:themeColor="text1"/>
          <w:sz w:val="24"/>
        </w:rPr>
        <w:footnoteReference w:id="2"/>
      </w:r>
      <w:r w:rsidRPr="000F1716">
        <w:rPr>
          <w:rFonts w:ascii="Palatino Linotype" w:eastAsiaTheme="minorEastAsia" w:hAnsi="Palatino Linotype"/>
          <w:b/>
          <w:color w:val="000000" w:themeColor="text1"/>
          <w:sz w:val="24"/>
        </w:rPr>
        <w:t xml:space="preserve">, </w:t>
      </w:r>
      <w:r w:rsidRPr="000F1716">
        <w:rPr>
          <w:rFonts w:ascii="Palatino Linotype" w:eastAsiaTheme="minorEastAsia" w:hAnsi="Palatino Linotype"/>
          <w:color w:val="000000" w:themeColor="text1"/>
          <w:sz w:val="24"/>
        </w:rPr>
        <w:t>en la que se consideró que “</w:t>
      </w:r>
      <w:r w:rsidRPr="000F1716">
        <w:rPr>
          <w:rFonts w:ascii="Palatino Linotype" w:eastAsiaTheme="minorEastAsia" w:hAnsi="Palatino Linotype"/>
          <w:b/>
          <w:i/>
          <w:color w:val="000000" w:themeColor="text1"/>
          <w:sz w:val="24"/>
        </w:rPr>
        <w:t xml:space="preserve">no podrá invocarse el carácter de reservado cuando se trate de la investigación de violaciones graves a derechos fundamentales o delitos de lesa </w:t>
      </w:r>
      <w:r w:rsidRPr="000F1716">
        <w:rPr>
          <w:rFonts w:ascii="Palatino Linotype" w:eastAsiaTheme="minorEastAsia" w:hAnsi="Palatino Linotype"/>
          <w:b/>
          <w:i/>
          <w:color w:val="000000" w:themeColor="text1"/>
          <w:sz w:val="24"/>
        </w:rPr>
        <w:lastRenderedPageBreak/>
        <w:t xml:space="preserve">humanidad” </w:t>
      </w:r>
      <w:r w:rsidRPr="000F1716">
        <w:rPr>
          <w:rFonts w:ascii="Palatino Linotype" w:eastAsiaTheme="minorEastAsia" w:hAnsi="Palatino Linotype"/>
          <w:color w:val="000000" w:themeColor="text1"/>
          <w:sz w:val="24"/>
        </w:rPr>
        <w:t>decretó que el Estado Mexicano violó lo establecido en el a</w:t>
      </w:r>
      <w:r w:rsidRPr="000F1716">
        <w:rPr>
          <w:rFonts w:ascii="Palatino Linotype" w:eastAsiaTheme="minorEastAsia" w:hAnsi="Palatino Linotype"/>
          <w:b/>
          <w:color w:val="000000" w:themeColor="text1"/>
          <w:sz w:val="24"/>
        </w:rPr>
        <w:t>rtículo 8.1 de la Convención Americana</w:t>
      </w:r>
      <w:r w:rsidRPr="000F1716">
        <w:rPr>
          <w:rStyle w:val="Refdenotaalpie"/>
          <w:rFonts w:ascii="Palatino Linotype" w:eastAsiaTheme="minorEastAsia" w:hAnsi="Palatino Linotype"/>
          <w:b/>
          <w:color w:val="000000" w:themeColor="text1"/>
          <w:sz w:val="24"/>
        </w:rPr>
        <w:footnoteReference w:id="3"/>
      </w:r>
      <w:r w:rsidRPr="000F1716">
        <w:rPr>
          <w:rFonts w:ascii="Palatino Linotype" w:eastAsiaTheme="minorEastAsia" w:hAnsi="Palatino Linotype"/>
          <w:color w:val="000000" w:themeColor="text1"/>
          <w:sz w:val="24"/>
        </w:rPr>
        <w:t xml:space="preserve">, como a continuación se observa: </w:t>
      </w:r>
    </w:p>
    <w:p w14:paraId="0322C2B1" w14:textId="77777777" w:rsidR="005F796F" w:rsidRPr="00C66DEC" w:rsidRDefault="005F796F" w:rsidP="005F796F">
      <w:pPr>
        <w:tabs>
          <w:tab w:val="left" w:pos="426"/>
        </w:tabs>
        <w:spacing w:before="240" w:after="240" w:line="360" w:lineRule="auto"/>
        <w:ind w:left="720" w:right="909"/>
        <w:contextualSpacing/>
        <w:jc w:val="both"/>
        <w:rPr>
          <w:rFonts w:ascii="Palatino Linotype" w:eastAsiaTheme="minorEastAsia" w:hAnsi="Palatino Linotype"/>
          <w:b/>
          <w:i/>
          <w:color w:val="000000" w:themeColor="text1"/>
        </w:rPr>
      </w:pPr>
      <w:r>
        <w:rPr>
          <w:rFonts w:ascii="Palatino Linotype" w:eastAsiaTheme="minorEastAsia" w:hAnsi="Palatino Linotype"/>
          <w:b/>
          <w:i/>
          <w:color w:val="000000" w:themeColor="text1"/>
        </w:rPr>
        <w:t>“</w:t>
      </w:r>
      <w:r w:rsidRPr="00C66DEC">
        <w:rPr>
          <w:rFonts w:ascii="Palatino Linotype" w:eastAsiaTheme="minorEastAsia" w:hAnsi="Palatino Linotype"/>
          <w:b/>
          <w:i/>
          <w:color w:val="000000" w:themeColor="text1"/>
        </w:rPr>
        <w:t>(…)</w:t>
      </w:r>
    </w:p>
    <w:p w14:paraId="6793BE44" w14:textId="77777777" w:rsidR="005F796F" w:rsidRPr="00C66DEC" w:rsidRDefault="005F796F" w:rsidP="005F796F">
      <w:pPr>
        <w:tabs>
          <w:tab w:val="left" w:pos="426"/>
        </w:tabs>
        <w:spacing w:before="240" w:after="240" w:line="360" w:lineRule="auto"/>
        <w:ind w:left="720" w:right="909"/>
        <w:contextualSpacing/>
        <w:jc w:val="both"/>
        <w:rPr>
          <w:rFonts w:ascii="Palatino Linotype" w:eastAsiaTheme="minorEastAsia" w:hAnsi="Palatino Linotype"/>
          <w:b/>
          <w:i/>
          <w:color w:val="000000" w:themeColor="text1"/>
        </w:rPr>
      </w:pPr>
      <w:r w:rsidRPr="00C66DEC">
        <w:rPr>
          <w:rFonts w:ascii="Palatino Linotype" w:eastAsiaTheme="minorEastAsia" w:hAnsi="Palatino Linotype"/>
          <w:i/>
          <w:color w:val="000000" w:themeColor="text1"/>
        </w:rPr>
        <w:t xml:space="preserve">257. En todo caso, el Tribunal destaca que la Ley Federal de Transparencia y Acceso a la Información Pública Gubernamental vigente en México, efectivamente, en el artículo 14, fracción III, dispone que se considerará como información reservada “las averiguaciones previas” 262. Sin embargo, en esa misma disposición, dicha Ley también establece que “[n]o </w:t>
      </w:r>
      <w:r w:rsidRPr="00C66DEC">
        <w:rPr>
          <w:rFonts w:ascii="Palatino Linotype" w:eastAsiaTheme="minorEastAsia" w:hAnsi="Palatino Linotype"/>
          <w:b/>
          <w:i/>
          <w:color w:val="000000" w:themeColor="text1"/>
        </w:rPr>
        <w:t xml:space="preserve">podrá invocarse el carácter de reservado cuando se trate de la investigación de violaciones graves de derechos fundamentales o delitos de lesa humanidad” </w:t>
      </w:r>
    </w:p>
    <w:p w14:paraId="07819ED2" w14:textId="77777777" w:rsidR="005F796F" w:rsidRPr="00C66DEC" w:rsidRDefault="005F796F" w:rsidP="005F796F">
      <w:pPr>
        <w:tabs>
          <w:tab w:val="left" w:pos="426"/>
        </w:tabs>
        <w:spacing w:before="240" w:after="240" w:line="360" w:lineRule="auto"/>
        <w:ind w:left="720" w:right="909"/>
        <w:contextualSpacing/>
        <w:jc w:val="both"/>
        <w:rPr>
          <w:rFonts w:ascii="Palatino Linotype" w:eastAsiaTheme="minorEastAsia" w:hAnsi="Palatino Linotype"/>
          <w:b/>
          <w:i/>
          <w:color w:val="000000" w:themeColor="text1"/>
        </w:rPr>
      </w:pPr>
      <w:r w:rsidRPr="00C66DEC">
        <w:rPr>
          <w:rFonts w:ascii="Palatino Linotype" w:eastAsiaTheme="minorEastAsia" w:hAnsi="Palatino Linotype"/>
          <w:b/>
          <w:i/>
          <w:color w:val="000000" w:themeColor="text1"/>
        </w:rPr>
        <w:t>(Sic)</w:t>
      </w:r>
    </w:p>
    <w:p w14:paraId="12B68B2D" w14:textId="77777777" w:rsidR="005F796F" w:rsidRDefault="005F796F" w:rsidP="005F796F">
      <w:pPr>
        <w:tabs>
          <w:tab w:val="left" w:pos="426"/>
        </w:tabs>
        <w:spacing w:before="240" w:after="240" w:line="360" w:lineRule="auto"/>
        <w:ind w:right="51"/>
        <w:contextualSpacing/>
        <w:jc w:val="both"/>
        <w:rPr>
          <w:rFonts w:ascii="Palatino Linotype" w:eastAsiaTheme="minorEastAsia" w:hAnsi="Palatino Linotype"/>
          <w:color w:val="000000" w:themeColor="text1"/>
        </w:rPr>
      </w:pPr>
    </w:p>
    <w:p w14:paraId="0005E943" w14:textId="77777777" w:rsidR="005F796F" w:rsidRPr="000F1716" w:rsidRDefault="005F796F" w:rsidP="00035866">
      <w:pPr>
        <w:numPr>
          <w:ilvl w:val="0"/>
          <w:numId w:val="9"/>
        </w:numPr>
        <w:tabs>
          <w:tab w:val="left" w:pos="426"/>
        </w:tabs>
        <w:spacing w:before="240" w:after="240" w:line="360" w:lineRule="auto"/>
        <w:ind w:left="0" w:right="51" w:firstLine="0"/>
        <w:contextualSpacing/>
        <w:jc w:val="both"/>
        <w:rPr>
          <w:rFonts w:ascii="Palatino Linotype" w:eastAsiaTheme="minorEastAsia" w:hAnsi="Palatino Linotype"/>
          <w:color w:val="000000" w:themeColor="text1"/>
          <w:sz w:val="24"/>
        </w:rPr>
      </w:pPr>
      <w:r w:rsidRPr="000F1716">
        <w:rPr>
          <w:rFonts w:ascii="Palatino Linotype" w:eastAsiaTheme="minorEastAsia" w:hAnsi="Palatino Linotype"/>
          <w:sz w:val="24"/>
        </w:rPr>
        <w:t xml:space="preserve">Por su parte, la </w:t>
      </w:r>
      <w:r w:rsidRPr="000F1716">
        <w:rPr>
          <w:rFonts w:ascii="Palatino Linotype" w:eastAsiaTheme="minorEastAsia" w:hAnsi="Palatino Linotype"/>
          <w:b/>
          <w:sz w:val="24"/>
        </w:rPr>
        <w:t xml:space="preserve">Sentencia de 24 de noviembre de 2010 emitida por la Corte Interamericana de Derechos Humanos </w:t>
      </w:r>
      <w:r w:rsidRPr="000F1716">
        <w:rPr>
          <w:rFonts w:ascii="Palatino Linotype" w:eastAsiaTheme="minorEastAsia" w:hAnsi="Palatino Linotype"/>
          <w:sz w:val="24"/>
        </w:rPr>
        <w:t xml:space="preserve">en el caso </w:t>
      </w:r>
      <w:r w:rsidRPr="000F1716">
        <w:rPr>
          <w:rFonts w:ascii="Palatino Linotype" w:eastAsiaTheme="minorEastAsia" w:hAnsi="Palatino Linotype"/>
          <w:b/>
          <w:sz w:val="24"/>
        </w:rPr>
        <w:t>GOMES LUND y OTROS (“Guerrilla DO ARAGUAIA”) VS. BRASIL</w:t>
      </w:r>
      <w:r w:rsidRPr="000F1716">
        <w:rPr>
          <w:rStyle w:val="Refdenotaalpie"/>
          <w:rFonts w:ascii="Palatino Linotype" w:eastAsiaTheme="minorEastAsia" w:hAnsi="Palatino Linotype"/>
          <w:sz w:val="24"/>
        </w:rPr>
        <w:footnoteReference w:id="4"/>
      </w:r>
      <w:r w:rsidRPr="000F1716">
        <w:rPr>
          <w:rFonts w:ascii="Palatino Linotype" w:eastAsiaTheme="minorEastAsia" w:hAnsi="Palatino Linotype"/>
          <w:sz w:val="24"/>
        </w:rPr>
        <w:t xml:space="preserve">, en la que se señaló que </w:t>
      </w:r>
      <w:r w:rsidRPr="000F1716">
        <w:rPr>
          <w:rFonts w:ascii="Palatino Linotype" w:eastAsiaTheme="minorEastAsia" w:hAnsi="Palatino Linotype"/>
          <w:b/>
          <w:i/>
          <w:sz w:val="24"/>
        </w:rPr>
        <w:t>“toda persona, incluyendo los familiares de las víctimas de graves violaciones a derechos humanos, tiene el derecho a conocer la verdad</w:t>
      </w:r>
      <w:r w:rsidRPr="000F1716">
        <w:rPr>
          <w:rFonts w:ascii="Palatino Linotype" w:eastAsiaTheme="minorEastAsia" w:hAnsi="Palatino Linotype"/>
          <w:b/>
          <w:i/>
          <w:color w:val="000000" w:themeColor="text1"/>
          <w:sz w:val="24"/>
        </w:rPr>
        <w:t xml:space="preserve">”, </w:t>
      </w:r>
      <w:r w:rsidRPr="000F1716">
        <w:rPr>
          <w:rFonts w:ascii="Palatino Linotype" w:eastAsiaTheme="minorEastAsia" w:hAnsi="Palatino Linotype"/>
          <w:color w:val="000000" w:themeColor="text1"/>
          <w:sz w:val="24"/>
        </w:rPr>
        <w:t xml:space="preserve">considerando que una sociedad </w:t>
      </w:r>
      <w:r w:rsidRPr="000F1716">
        <w:rPr>
          <w:rFonts w:ascii="Palatino Linotype" w:eastAsiaTheme="minorEastAsia" w:hAnsi="Palatino Linotype"/>
          <w:color w:val="000000" w:themeColor="text1"/>
          <w:sz w:val="24"/>
        </w:rPr>
        <w:lastRenderedPageBreak/>
        <w:t xml:space="preserve">democrática es indispensable que las autoridades estatales se rijan por el principio de máxima publicidad , como a continuación se observa: </w:t>
      </w:r>
    </w:p>
    <w:p w14:paraId="07EFA297" w14:textId="77777777" w:rsidR="005F796F" w:rsidRDefault="005F796F" w:rsidP="005F796F">
      <w:pPr>
        <w:tabs>
          <w:tab w:val="left" w:pos="426"/>
        </w:tabs>
        <w:spacing w:before="240" w:after="240" w:line="360" w:lineRule="auto"/>
        <w:ind w:right="51"/>
        <w:contextualSpacing/>
        <w:jc w:val="both"/>
        <w:rPr>
          <w:rFonts w:ascii="Palatino Linotype" w:eastAsiaTheme="minorEastAsia" w:hAnsi="Palatino Linotype"/>
        </w:rPr>
      </w:pPr>
    </w:p>
    <w:p w14:paraId="0F3D312F" w14:textId="77777777" w:rsidR="005F796F" w:rsidRPr="003609E6" w:rsidRDefault="005F796F" w:rsidP="000F1716">
      <w:pPr>
        <w:tabs>
          <w:tab w:val="left" w:pos="426"/>
        </w:tabs>
        <w:spacing w:before="240" w:after="240" w:line="360" w:lineRule="auto"/>
        <w:ind w:left="567" w:right="909"/>
        <w:contextualSpacing/>
        <w:jc w:val="both"/>
        <w:rPr>
          <w:rFonts w:ascii="Palatino Linotype" w:hAnsi="Palatino Linotype"/>
          <w:i/>
        </w:rPr>
      </w:pPr>
      <w:r w:rsidRPr="003609E6">
        <w:rPr>
          <w:rFonts w:ascii="Palatino Linotype" w:hAnsi="Palatino Linotype"/>
          <w:i/>
        </w:rPr>
        <w:t xml:space="preserve">“199. Por otra parte, la Corte Interamericana ha determinado que en una sociedad democrática es indispensable que las autoridades estatales se rijan por el principio de máxima divulgación, el cual establece la presunción de que toda información es accesible, sujeto a un sistema restringido de excepciones. </w:t>
      </w:r>
    </w:p>
    <w:p w14:paraId="39947FA3" w14:textId="77777777" w:rsidR="005F796F" w:rsidRPr="003609E6" w:rsidRDefault="005F796F" w:rsidP="000F1716">
      <w:pPr>
        <w:tabs>
          <w:tab w:val="left" w:pos="426"/>
        </w:tabs>
        <w:spacing w:before="240" w:after="240" w:line="360" w:lineRule="auto"/>
        <w:ind w:left="567" w:right="909"/>
        <w:contextualSpacing/>
        <w:jc w:val="both"/>
        <w:rPr>
          <w:rFonts w:ascii="Palatino Linotype" w:hAnsi="Palatino Linotype"/>
          <w:i/>
        </w:rPr>
      </w:pPr>
    </w:p>
    <w:p w14:paraId="10F16676" w14:textId="77777777" w:rsidR="005F796F" w:rsidRDefault="005F796F" w:rsidP="000F1716">
      <w:pPr>
        <w:tabs>
          <w:tab w:val="left" w:pos="426"/>
        </w:tabs>
        <w:spacing w:before="240" w:after="240" w:line="360" w:lineRule="auto"/>
        <w:ind w:left="567" w:right="909"/>
        <w:contextualSpacing/>
        <w:jc w:val="both"/>
        <w:rPr>
          <w:rFonts w:ascii="Palatino Linotype" w:hAnsi="Palatino Linotype"/>
          <w:i/>
        </w:rPr>
      </w:pPr>
      <w:r w:rsidRPr="0095247D">
        <w:rPr>
          <w:rFonts w:ascii="Palatino Linotype" w:hAnsi="Palatino Linotype"/>
          <w:b/>
          <w:i/>
        </w:rPr>
        <w:t>200. Asimismo, este Tribunal ha determinado que toda persona, incluyendo los familiares de las víctimas de graves violaciones a derechos humanos, tiene el derecho a conocer la verdad. En consecuencia, los familiares de las víctimas, y la sociedad, deben ser informados de todo lo sucedido con relación a dichas violaciones. De igual manera, el derecho a conocer la verdad también ha sido reconocido en diversos instrumentos de Naciones Unidas y por la Asamblea General de la Organización de los Estados Americanos.</w:t>
      </w:r>
      <w:r w:rsidRPr="003609E6">
        <w:rPr>
          <w:rFonts w:ascii="Palatino Linotype" w:hAnsi="Palatino Linotype"/>
          <w:i/>
        </w:rPr>
        <w:t>” (Sic)</w:t>
      </w:r>
    </w:p>
    <w:p w14:paraId="17F472F8" w14:textId="77777777" w:rsidR="005F796F" w:rsidRDefault="005F796F" w:rsidP="000F1716">
      <w:pPr>
        <w:tabs>
          <w:tab w:val="left" w:pos="426"/>
        </w:tabs>
        <w:spacing w:before="240" w:after="240" w:line="360" w:lineRule="auto"/>
        <w:ind w:left="567" w:right="909"/>
        <w:contextualSpacing/>
        <w:jc w:val="both"/>
        <w:rPr>
          <w:rFonts w:ascii="Palatino Linotype" w:eastAsiaTheme="minorEastAsia" w:hAnsi="Palatino Linotype"/>
          <w:i/>
          <w:color w:val="000000" w:themeColor="text1"/>
        </w:rPr>
      </w:pPr>
    </w:p>
    <w:p w14:paraId="17EB4D1E" w14:textId="77777777" w:rsidR="005F796F" w:rsidRPr="003609E6" w:rsidRDefault="005F796F" w:rsidP="000F1716">
      <w:pPr>
        <w:tabs>
          <w:tab w:val="left" w:pos="426"/>
        </w:tabs>
        <w:spacing w:before="240" w:after="240" w:line="360" w:lineRule="auto"/>
        <w:ind w:left="567" w:right="909"/>
        <w:contextualSpacing/>
        <w:jc w:val="both"/>
        <w:rPr>
          <w:rFonts w:ascii="Palatino Linotype" w:eastAsiaTheme="minorEastAsia" w:hAnsi="Palatino Linotype"/>
          <w:i/>
          <w:color w:val="000000" w:themeColor="text1"/>
        </w:rPr>
      </w:pPr>
      <w:r>
        <w:rPr>
          <w:rFonts w:ascii="Palatino Linotype" w:eastAsiaTheme="minorEastAsia" w:hAnsi="Palatino Linotype"/>
          <w:i/>
          <w:color w:val="000000" w:themeColor="text1"/>
        </w:rPr>
        <w:t>(Énfasis añadido)</w:t>
      </w:r>
    </w:p>
    <w:p w14:paraId="38FA3424" w14:textId="77777777" w:rsidR="005F796F" w:rsidRDefault="005F796F" w:rsidP="005F796F">
      <w:pPr>
        <w:tabs>
          <w:tab w:val="left" w:pos="426"/>
        </w:tabs>
        <w:spacing w:before="240" w:after="240" w:line="360" w:lineRule="auto"/>
        <w:ind w:right="51"/>
        <w:contextualSpacing/>
        <w:jc w:val="both"/>
        <w:rPr>
          <w:rFonts w:ascii="Palatino Linotype" w:eastAsiaTheme="minorEastAsia" w:hAnsi="Palatino Linotype"/>
          <w:color w:val="000000" w:themeColor="text1"/>
        </w:rPr>
      </w:pPr>
    </w:p>
    <w:p w14:paraId="71AF246A" w14:textId="77777777" w:rsidR="005F796F" w:rsidRPr="000F1716" w:rsidRDefault="005F796F" w:rsidP="00035866">
      <w:pPr>
        <w:numPr>
          <w:ilvl w:val="0"/>
          <w:numId w:val="9"/>
        </w:numPr>
        <w:tabs>
          <w:tab w:val="left" w:pos="426"/>
        </w:tabs>
        <w:spacing w:before="240" w:after="240" w:line="360" w:lineRule="auto"/>
        <w:ind w:left="0" w:right="51" w:firstLine="0"/>
        <w:contextualSpacing/>
        <w:jc w:val="both"/>
        <w:rPr>
          <w:rFonts w:ascii="Palatino Linotype" w:eastAsiaTheme="minorEastAsia" w:hAnsi="Palatino Linotype"/>
          <w:color w:val="000000" w:themeColor="text1"/>
          <w:sz w:val="24"/>
        </w:rPr>
      </w:pPr>
      <w:r w:rsidRPr="000F1716">
        <w:rPr>
          <w:rFonts w:ascii="Palatino Linotype" w:eastAsiaTheme="minorEastAsia" w:hAnsi="Palatino Linotype"/>
          <w:color w:val="000000" w:themeColor="text1"/>
          <w:sz w:val="24"/>
        </w:rPr>
        <w:t xml:space="preserve">En razón de lo anterior, y dada la naturaleza que reviste el presente asunto, este Organismo Garante encuentra procedente realizar un estudio de las circunstancias del caso, a efecto de determinar si existen elementos que actualicen alguno de los </w:t>
      </w:r>
      <w:r w:rsidRPr="000F1716">
        <w:rPr>
          <w:rFonts w:ascii="Palatino Linotype" w:eastAsiaTheme="minorEastAsia" w:hAnsi="Palatino Linotype"/>
          <w:color w:val="000000" w:themeColor="text1"/>
          <w:sz w:val="24"/>
        </w:rPr>
        <w:lastRenderedPageBreak/>
        <w:t>escenarios establecidos en el numeral 142 de la Ley de Transparencia y Acceso a la Información Pública del Estado de México y Municipios.</w:t>
      </w:r>
    </w:p>
    <w:p w14:paraId="4F21CE6C" w14:textId="77777777" w:rsidR="005F796F" w:rsidRDefault="005F796F" w:rsidP="005F796F">
      <w:pPr>
        <w:tabs>
          <w:tab w:val="left" w:pos="426"/>
        </w:tabs>
        <w:spacing w:before="240" w:after="240" w:line="360" w:lineRule="auto"/>
        <w:ind w:right="51"/>
        <w:contextualSpacing/>
        <w:jc w:val="both"/>
        <w:rPr>
          <w:rFonts w:ascii="Palatino Linotype" w:eastAsiaTheme="minorEastAsia" w:hAnsi="Palatino Linotype"/>
          <w:color w:val="000000" w:themeColor="text1"/>
          <w:sz w:val="24"/>
        </w:rPr>
      </w:pPr>
    </w:p>
    <w:p w14:paraId="7F6165B1" w14:textId="77777777" w:rsidR="005F796F" w:rsidRPr="000F1716" w:rsidRDefault="005F796F" w:rsidP="00035866">
      <w:pPr>
        <w:numPr>
          <w:ilvl w:val="0"/>
          <w:numId w:val="9"/>
        </w:numPr>
        <w:tabs>
          <w:tab w:val="left" w:pos="426"/>
        </w:tabs>
        <w:spacing w:before="240" w:after="240" w:line="360" w:lineRule="auto"/>
        <w:ind w:left="0" w:right="51" w:firstLine="0"/>
        <w:contextualSpacing/>
        <w:jc w:val="both"/>
        <w:rPr>
          <w:rFonts w:ascii="Palatino Linotype" w:eastAsiaTheme="minorEastAsia" w:hAnsi="Palatino Linotype"/>
          <w:color w:val="000000" w:themeColor="text1"/>
          <w:sz w:val="24"/>
        </w:rPr>
      </w:pPr>
      <w:r w:rsidRPr="000F1716">
        <w:rPr>
          <w:rFonts w:ascii="Palatino Linotype" w:eastAsiaTheme="minorEastAsia" w:hAnsi="Palatino Linotype"/>
          <w:color w:val="000000" w:themeColor="text1"/>
          <w:sz w:val="24"/>
        </w:rPr>
        <w:t>No es ocioso mencionar que los entes encargados de tutelar y proteger los derechos humanos -la Comisión de Derechos Humanos del Estado de México para el caso específico- serán los primeros responsables en determinar si la información de que se trate se relaciones con violaciones a derechos humanos; y, de acreditarse, bajo ninguna circunstancia se podrá invocar el carácter de reserva de la investigación que se realice.</w:t>
      </w:r>
    </w:p>
    <w:p w14:paraId="5687407E" w14:textId="77777777" w:rsidR="005F796F" w:rsidRPr="000F1716" w:rsidRDefault="005F796F" w:rsidP="005F796F">
      <w:pPr>
        <w:tabs>
          <w:tab w:val="left" w:pos="426"/>
        </w:tabs>
        <w:spacing w:before="240" w:after="240" w:line="360" w:lineRule="auto"/>
        <w:ind w:right="51"/>
        <w:contextualSpacing/>
        <w:jc w:val="both"/>
        <w:rPr>
          <w:rFonts w:ascii="Palatino Linotype" w:eastAsiaTheme="minorEastAsia" w:hAnsi="Palatino Linotype"/>
          <w:color w:val="000000" w:themeColor="text1"/>
          <w:sz w:val="24"/>
        </w:rPr>
      </w:pPr>
    </w:p>
    <w:p w14:paraId="1DC21218" w14:textId="77777777" w:rsidR="005F796F" w:rsidRPr="000F1716" w:rsidRDefault="005F796F" w:rsidP="00035866">
      <w:pPr>
        <w:numPr>
          <w:ilvl w:val="0"/>
          <w:numId w:val="9"/>
        </w:numPr>
        <w:tabs>
          <w:tab w:val="left" w:pos="426"/>
        </w:tabs>
        <w:spacing w:before="240" w:after="240" w:line="360" w:lineRule="auto"/>
        <w:ind w:left="0" w:right="51" w:firstLine="0"/>
        <w:contextualSpacing/>
        <w:jc w:val="both"/>
        <w:rPr>
          <w:rFonts w:ascii="Palatino Linotype" w:eastAsiaTheme="minorEastAsia" w:hAnsi="Palatino Linotype"/>
          <w:color w:val="000000" w:themeColor="text1"/>
          <w:sz w:val="24"/>
        </w:rPr>
      </w:pPr>
      <w:r w:rsidRPr="000F1716">
        <w:rPr>
          <w:rFonts w:ascii="Palatino Linotype" w:eastAsiaTheme="minorEastAsia" w:hAnsi="Palatino Linotype"/>
          <w:color w:val="000000" w:themeColor="text1"/>
          <w:sz w:val="24"/>
        </w:rPr>
        <w:t>Sustenta lo anterior la Tesis Aislada de la Segunda Sala, número 2a.CX111/2017 (10a.), la cual establece lo siguiente:</w:t>
      </w:r>
    </w:p>
    <w:p w14:paraId="393CE0E9" w14:textId="77777777" w:rsidR="005F796F" w:rsidRPr="003271CF" w:rsidRDefault="005F796F" w:rsidP="005F796F">
      <w:pPr>
        <w:tabs>
          <w:tab w:val="left" w:pos="426"/>
        </w:tabs>
        <w:spacing w:before="240" w:after="240" w:line="360" w:lineRule="auto"/>
        <w:ind w:right="51"/>
        <w:contextualSpacing/>
        <w:jc w:val="both"/>
        <w:rPr>
          <w:rFonts w:ascii="Palatino Linotype" w:eastAsiaTheme="minorEastAsia" w:hAnsi="Palatino Linotype"/>
          <w:color w:val="000000" w:themeColor="text1"/>
        </w:rPr>
      </w:pPr>
    </w:p>
    <w:p w14:paraId="6F8D1B57" w14:textId="77777777" w:rsidR="005F796F" w:rsidRPr="003271CF" w:rsidRDefault="005F796F" w:rsidP="005F796F">
      <w:pPr>
        <w:tabs>
          <w:tab w:val="left" w:pos="426"/>
        </w:tabs>
        <w:spacing w:before="240" w:after="240" w:line="360" w:lineRule="auto"/>
        <w:ind w:left="567" w:right="567"/>
        <w:contextualSpacing/>
        <w:jc w:val="both"/>
        <w:rPr>
          <w:rFonts w:ascii="Palatino Linotype" w:eastAsiaTheme="minorEastAsia" w:hAnsi="Palatino Linotype"/>
          <w:i/>
          <w:iCs/>
          <w:color w:val="000000" w:themeColor="text1"/>
        </w:rPr>
      </w:pPr>
      <w:r w:rsidRPr="003271CF">
        <w:rPr>
          <w:rFonts w:ascii="Palatino Linotype" w:eastAsiaTheme="minorEastAsia" w:hAnsi="Palatino Linotype"/>
          <w:b/>
          <w:bCs/>
          <w:i/>
          <w:iCs/>
          <w:color w:val="000000" w:themeColor="text1"/>
        </w:rPr>
        <w:t>COMISIÓN NACIONAL DE LOS DERECHOS HUMANOS. TIENE PLENA APTITUD JURÍDICA Y TÉCNICA PARA DETERMINAR SI LA INFORMACIÓN QUE LE ES SOLICITADA EN LOS ASUNTOS DE SU COMPETENCIA ENCUADRA EN LA HIPÓTESIS PREVISTA EN EL ÚLTIMO PÁRRAFO DEL ARTÍCULO 14 DE LA LEY FEDERAL DE TRANSPARENCIA Y ACCESO A LA INFORMACIÓN PÚBLICA GUBERNAMENTAL ABROGADA</w:t>
      </w:r>
      <w:r w:rsidRPr="003271CF">
        <w:rPr>
          <w:rFonts w:ascii="Palatino Linotype" w:eastAsiaTheme="minorEastAsia" w:hAnsi="Palatino Linotype"/>
          <w:i/>
          <w:iCs/>
          <w:color w:val="000000" w:themeColor="text1"/>
        </w:rPr>
        <w:t xml:space="preserve">.” Conforme al precepto citado, respecto de la información gubernamental no podrá invocarse el carácter de reservada cuando se trate de la investigación de "violaciones graves de derechos fundamentales". Por otra parte, la naturaleza funcional </w:t>
      </w:r>
      <w:r w:rsidRPr="003271CF">
        <w:rPr>
          <w:rFonts w:ascii="Palatino Linotype" w:eastAsiaTheme="minorEastAsia" w:hAnsi="Palatino Linotype"/>
          <w:i/>
          <w:iCs/>
          <w:color w:val="000000" w:themeColor="text1"/>
        </w:rPr>
        <w:lastRenderedPageBreak/>
        <w:t>de la Comisión Nacional de los Derechos Humanos la ubica como el órgano estatal que debe velar por la protección, observancia, promoción, estudio y divulgación de los derechos humanos que ampara el orden jurídico mexicano, lo que permite colegir, indubitablemente, que cuenta con plena aptitud jurídica y técnica para determinar si la información solicitada por los particulares en los asuntos de su competencia se relaciona con violaciones graves a los derechos fundamentales y, en esa medida, si esos datos se encuentran regidos por el principio de máxima publicidad en términos del artículo 14, último párrafo, de la Ley Federal de Transparencia y Acceso a la Información Pública Gubernamental, vigente hasta el 9 de mayo de 2016.”</w:t>
      </w:r>
    </w:p>
    <w:p w14:paraId="135ECA80" w14:textId="4F032D37" w:rsidR="005F796F" w:rsidRPr="003271CF" w:rsidRDefault="005F796F" w:rsidP="005F796F">
      <w:pPr>
        <w:tabs>
          <w:tab w:val="left" w:pos="426"/>
        </w:tabs>
        <w:spacing w:before="240" w:after="240" w:line="360" w:lineRule="auto"/>
        <w:ind w:right="51"/>
        <w:contextualSpacing/>
        <w:jc w:val="both"/>
        <w:rPr>
          <w:rFonts w:ascii="Palatino Linotype" w:eastAsiaTheme="minorEastAsia" w:hAnsi="Palatino Linotype"/>
          <w:color w:val="000000" w:themeColor="text1"/>
        </w:rPr>
      </w:pPr>
    </w:p>
    <w:p w14:paraId="368B4793" w14:textId="77777777" w:rsidR="005F796F" w:rsidRPr="000F1716" w:rsidRDefault="005F796F" w:rsidP="00035866">
      <w:pPr>
        <w:numPr>
          <w:ilvl w:val="0"/>
          <w:numId w:val="9"/>
        </w:numPr>
        <w:tabs>
          <w:tab w:val="left" w:pos="426"/>
        </w:tabs>
        <w:spacing w:before="240" w:after="240" w:line="360" w:lineRule="auto"/>
        <w:ind w:left="0" w:right="51" w:firstLine="0"/>
        <w:contextualSpacing/>
        <w:jc w:val="both"/>
        <w:rPr>
          <w:rFonts w:ascii="Palatino Linotype" w:eastAsiaTheme="minorEastAsia" w:hAnsi="Palatino Linotype"/>
          <w:color w:val="000000" w:themeColor="text1"/>
          <w:sz w:val="24"/>
        </w:rPr>
      </w:pPr>
      <w:r w:rsidRPr="000F1716">
        <w:rPr>
          <w:rFonts w:ascii="Palatino Linotype" w:eastAsiaTheme="minorEastAsia" w:hAnsi="Palatino Linotype"/>
          <w:color w:val="000000" w:themeColor="text1"/>
          <w:sz w:val="24"/>
        </w:rPr>
        <w:t>Así las cosas, resulta esencial destacar lo ya resuelto por lo Segunda Sala de la Suprema Corte de Justicia de la Nación en el sentido de que las autoridades requeridas tienen la capacidad para determinar de manera inicial si se está frente a una violación grave a los derechos humanos a efectos de entregar la información solicitada. Así se decidió en un caso donde se le requirió a la Comisión Nacional de los Derechos Humanos la entrega de información relativa a hechos que podrían constituir graves violaciones a los derechos humanos</w:t>
      </w:r>
      <w:r w:rsidRPr="000F1716">
        <w:rPr>
          <w:rFonts w:ascii="Palatino Linotype" w:eastAsiaTheme="minorEastAsia" w:hAnsi="Palatino Linotype"/>
          <w:color w:val="000000" w:themeColor="text1"/>
          <w:sz w:val="24"/>
          <w:vertAlign w:val="superscript"/>
        </w:rPr>
        <w:footnoteReference w:id="5"/>
      </w:r>
      <w:r w:rsidRPr="000F1716">
        <w:rPr>
          <w:rFonts w:ascii="Palatino Linotype" w:eastAsiaTheme="minorEastAsia" w:hAnsi="Palatino Linotype"/>
          <w:color w:val="000000" w:themeColor="text1"/>
          <w:sz w:val="24"/>
        </w:rPr>
        <w:t>.</w:t>
      </w:r>
    </w:p>
    <w:p w14:paraId="1845994A" w14:textId="77777777" w:rsidR="005F796F" w:rsidRPr="000F1716" w:rsidRDefault="005F796F" w:rsidP="005F796F">
      <w:pPr>
        <w:tabs>
          <w:tab w:val="left" w:pos="426"/>
        </w:tabs>
        <w:spacing w:before="240" w:after="240" w:line="360" w:lineRule="auto"/>
        <w:ind w:right="51"/>
        <w:contextualSpacing/>
        <w:jc w:val="both"/>
        <w:rPr>
          <w:rFonts w:ascii="Palatino Linotype" w:eastAsiaTheme="minorEastAsia" w:hAnsi="Palatino Linotype"/>
          <w:color w:val="000000" w:themeColor="text1"/>
          <w:sz w:val="24"/>
        </w:rPr>
      </w:pPr>
    </w:p>
    <w:p w14:paraId="411658EA" w14:textId="77777777" w:rsidR="005F796F" w:rsidRDefault="005F796F" w:rsidP="00035866">
      <w:pPr>
        <w:numPr>
          <w:ilvl w:val="0"/>
          <w:numId w:val="9"/>
        </w:numPr>
        <w:tabs>
          <w:tab w:val="left" w:pos="426"/>
        </w:tabs>
        <w:spacing w:before="240" w:after="240" w:line="360" w:lineRule="auto"/>
        <w:ind w:left="0" w:right="51" w:firstLine="0"/>
        <w:contextualSpacing/>
        <w:jc w:val="both"/>
        <w:rPr>
          <w:rFonts w:ascii="Palatino Linotype" w:eastAsiaTheme="minorEastAsia" w:hAnsi="Palatino Linotype"/>
          <w:color w:val="000000" w:themeColor="text1"/>
          <w:sz w:val="24"/>
        </w:rPr>
      </w:pPr>
      <w:r w:rsidRPr="000F1716">
        <w:rPr>
          <w:rFonts w:ascii="Palatino Linotype" w:eastAsiaTheme="minorEastAsia" w:hAnsi="Palatino Linotype"/>
          <w:color w:val="000000" w:themeColor="text1"/>
          <w:sz w:val="24"/>
        </w:rPr>
        <w:t>En ese asunto se estimó que la Comisión Nacional de Derechos Humanos puede llevar un examen preliminar –</w:t>
      </w:r>
      <w:r w:rsidRPr="000F1716">
        <w:rPr>
          <w:rFonts w:ascii="Palatino Linotype" w:eastAsiaTheme="minorEastAsia" w:hAnsi="Palatino Linotype"/>
          <w:i/>
          <w:iCs/>
          <w:color w:val="000000" w:themeColor="text1"/>
          <w:sz w:val="24"/>
        </w:rPr>
        <w:t>prima facie</w:t>
      </w:r>
      <w:r w:rsidRPr="000F1716">
        <w:rPr>
          <w:rFonts w:ascii="Palatino Linotype" w:eastAsiaTheme="minorEastAsia" w:hAnsi="Palatino Linotype"/>
          <w:color w:val="000000" w:themeColor="text1"/>
          <w:sz w:val="24"/>
        </w:rPr>
        <w:t xml:space="preserve">- de los hechos consignados en los </w:t>
      </w:r>
      <w:r w:rsidRPr="000F1716">
        <w:rPr>
          <w:rFonts w:ascii="Palatino Linotype" w:eastAsiaTheme="minorEastAsia" w:hAnsi="Palatino Linotype"/>
          <w:color w:val="000000" w:themeColor="text1"/>
          <w:sz w:val="24"/>
        </w:rPr>
        <w:lastRenderedPageBreak/>
        <w:t xml:space="preserve">expedientes respectivos, </w:t>
      </w:r>
      <w:r w:rsidRPr="000F1716">
        <w:rPr>
          <w:rFonts w:ascii="Palatino Linotype" w:eastAsiaTheme="minorEastAsia" w:hAnsi="Palatino Linotype"/>
          <w:b/>
          <w:bCs/>
          <w:color w:val="000000" w:themeColor="text1"/>
          <w:sz w:val="24"/>
        </w:rPr>
        <w:t>únicamente para dilucidar si guardan o no relación con graves violaciones a los derechos humanos y, por ende, si resulta asequible publicitar la información respectiva</w:t>
      </w:r>
      <w:r w:rsidRPr="000F1716">
        <w:rPr>
          <w:rFonts w:ascii="Palatino Linotype" w:eastAsiaTheme="minorEastAsia" w:hAnsi="Palatino Linotype"/>
          <w:color w:val="000000" w:themeColor="text1"/>
          <w:sz w:val="24"/>
        </w:rPr>
        <w:t xml:space="preserve"> en atención al interés superlativo que tiene la sociedad en su conjunto, de conocer la misma, precisamente por su gravedad y por las repercusiones que implica en el orden jurídico nacional</w:t>
      </w:r>
      <w:r w:rsidRPr="000F1716">
        <w:rPr>
          <w:rFonts w:ascii="Palatino Linotype" w:eastAsiaTheme="minorEastAsia" w:hAnsi="Palatino Linotype"/>
          <w:color w:val="000000" w:themeColor="text1"/>
          <w:sz w:val="24"/>
          <w:vertAlign w:val="superscript"/>
        </w:rPr>
        <w:footnoteReference w:id="6"/>
      </w:r>
      <w:r w:rsidRPr="000F1716">
        <w:rPr>
          <w:rFonts w:ascii="Palatino Linotype" w:eastAsiaTheme="minorEastAsia" w:hAnsi="Palatino Linotype"/>
          <w:color w:val="000000" w:themeColor="text1"/>
          <w:sz w:val="24"/>
        </w:rPr>
        <w:t xml:space="preserve">. </w:t>
      </w:r>
    </w:p>
    <w:p w14:paraId="0602D078" w14:textId="77777777" w:rsidR="000F1716" w:rsidRPr="000F1716" w:rsidRDefault="000F1716" w:rsidP="000F1716">
      <w:pPr>
        <w:rPr>
          <w:rFonts w:ascii="Palatino Linotype" w:eastAsiaTheme="minorEastAsia" w:hAnsi="Palatino Linotype"/>
          <w:color w:val="000000" w:themeColor="text1"/>
          <w:sz w:val="24"/>
        </w:rPr>
      </w:pPr>
    </w:p>
    <w:p w14:paraId="5AC8C583" w14:textId="77777777" w:rsidR="005F796F" w:rsidRPr="000F1716" w:rsidRDefault="005F796F" w:rsidP="00035866">
      <w:pPr>
        <w:numPr>
          <w:ilvl w:val="0"/>
          <w:numId w:val="9"/>
        </w:numPr>
        <w:tabs>
          <w:tab w:val="left" w:pos="426"/>
        </w:tabs>
        <w:spacing w:before="240" w:after="240" w:line="360" w:lineRule="auto"/>
        <w:ind w:left="0" w:right="51" w:firstLine="0"/>
        <w:contextualSpacing/>
        <w:jc w:val="both"/>
        <w:rPr>
          <w:rFonts w:ascii="Palatino Linotype" w:eastAsiaTheme="minorEastAsia" w:hAnsi="Palatino Linotype"/>
          <w:color w:val="000000" w:themeColor="text1"/>
          <w:sz w:val="24"/>
        </w:rPr>
      </w:pPr>
      <w:r w:rsidRPr="000F1716">
        <w:rPr>
          <w:rFonts w:ascii="Palatino Linotype" w:eastAsiaTheme="minorEastAsia" w:hAnsi="Palatino Linotype"/>
          <w:color w:val="000000" w:themeColor="text1"/>
          <w:sz w:val="24"/>
        </w:rPr>
        <w:t>Sirve de sustento lo establecido por la Suprema Corte de Justicia de la Nación, la cual, a través de la siguiente tesis aislada nos indica que:</w:t>
      </w:r>
    </w:p>
    <w:p w14:paraId="634E06F5" w14:textId="77777777" w:rsidR="005F796F" w:rsidRDefault="005F796F" w:rsidP="005F796F">
      <w:pPr>
        <w:pStyle w:val="Prrafodelista"/>
        <w:rPr>
          <w:rFonts w:ascii="Palatino Linotype" w:eastAsiaTheme="minorEastAsia" w:hAnsi="Palatino Linotype"/>
          <w:color w:val="000000" w:themeColor="text1"/>
        </w:rPr>
      </w:pPr>
    </w:p>
    <w:p w14:paraId="436DD313" w14:textId="77777777" w:rsidR="005F796F" w:rsidRPr="00502CAF" w:rsidRDefault="005F796F" w:rsidP="005F796F">
      <w:pPr>
        <w:pStyle w:val="Prrafodelista"/>
        <w:pBdr>
          <w:top w:val="nil"/>
          <w:left w:val="nil"/>
          <w:bottom w:val="nil"/>
          <w:right w:val="nil"/>
          <w:between w:val="nil"/>
          <w:bar w:val="nil"/>
        </w:pBdr>
        <w:spacing w:line="360" w:lineRule="auto"/>
        <w:ind w:left="567" w:right="616"/>
        <w:jc w:val="both"/>
        <w:rPr>
          <w:rFonts w:ascii="Palatino Linotype" w:eastAsia="Calibri" w:hAnsi="Palatino Linotype" w:cs="Arial"/>
          <w:i/>
          <w:iCs/>
        </w:rPr>
      </w:pPr>
      <w:r w:rsidRPr="008A4B0D">
        <w:rPr>
          <w:rFonts w:ascii="Palatino Linotype" w:eastAsia="Calibri" w:hAnsi="Palatino Linotype" w:cs="Arial"/>
          <w:b/>
          <w:bCs/>
          <w:i/>
          <w:iCs/>
        </w:rPr>
        <w:t>DERECHOS FUNDAMENTALES. SUS LÍMITES INTERNOS Y EXTERNOS</w:t>
      </w:r>
      <w:r w:rsidRPr="00502CAF">
        <w:rPr>
          <w:rFonts w:ascii="Palatino Linotype" w:eastAsia="Calibri" w:hAnsi="Palatino Linotype" w:cs="Arial"/>
          <w:i/>
          <w:iCs/>
        </w:rPr>
        <w:t xml:space="preserve">. La teoría del contenido esencial de los derechos fundamentales establece que contienen un núcleo fijo e inmutable, de manera que cualquier afectación a éste resulta ilícita, y sólo en su periferia pueden establecerse las limitaciones y restricciones necesarias y justificadas, así como expandirse las condiciones de su ejercicio, partiendo de la base de que estos derechos no son absolutos y su ejercicio está sujeto a límites, más allá de los cuales, éste resulta ilegítimo. En estas condiciones, la delimitación de ese núcleo intangible debe ser a partir de la subsistencia del derecho a la libertad y la posibilidad de ejercerlo; esto es, de un efectivo disfrute, de forma tal que los límites internos son aquellos que emergen al momento de definir los alcances del objeto concretamente </w:t>
      </w:r>
      <w:r w:rsidRPr="00502CAF">
        <w:rPr>
          <w:rFonts w:ascii="Palatino Linotype" w:eastAsia="Calibri" w:hAnsi="Palatino Linotype" w:cs="Arial"/>
          <w:i/>
          <w:iCs/>
        </w:rPr>
        <w:lastRenderedPageBreak/>
        <w:t>protegido por cada derecho fundamental, es decir, sirven para definir el contenido del derecho, intrínseco a la propia definición y alcance del bien y fin tutelado, por lo cual cualquier supuesto que desborde esas fronteras es otra realidad carente de protección. Por otro lado, es posible delimitar el campo de acción a partir de las restricciones externas, al existir otros derechos, fines o bienes constitucionales que también merecen tutela y eficacia; única razón susceptible de generar la limitación, que alude a la diferencia normal y esperada entre el contenido prima facie de los derechos fundamentales y la protección real que ofrecen en los casos concretos, una vez contrapesados y armonizados con otros derechos e intereses, que pueden apuntar en direcciones distintas e, incluso, opuestas a las que derivan de su contenido normativo.</w:t>
      </w:r>
    </w:p>
    <w:p w14:paraId="67475338" w14:textId="77777777" w:rsidR="005F796F" w:rsidRPr="00502CAF" w:rsidRDefault="005F796F" w:rsidP="005F796F">
      <w:pPr>
        <w:pBdr>
          <w:top w:val="nil"/>
          <w:left w:val="nil"/>
          <w:bottom w:val="nil"/>
          <w:right w:val="nil"/>
          <w:between w:val="nil"/>
          <w:bar w:val="nil"/>
        </w:pBdr>
        <w:spacing w:line="360" w:lineRule="auto"/>
        <w:ind w:left="567" w:right="616"/>
        <w:jc w:val="both"/>
        <w:rPr>
          <w:rFonts w:ascii="Palatino Linotype" w:eastAsia="Calibri" w:hAnsi="Palatino Linotype" w:cs="Arial"/>
          <w:i/>
          <w:iCs/>
        </w:rPr>
      </w:pPr>
    </w:p>
    <w:p w14:paraId="36508AF3" w14:textId="77777777" w:rsidR="005F796F" w:rsidRDefault="005F796F" w:rsidP="005F796F">
      <w:pPr>
        <w:pBdr>
          <w:top w:val="nil"/>
          <w:left w:val="nil"/>
          <w:bottom w:val="nil"/>
          <w:right w:val="nil"/>
          <w:between w:val="nil"/>
          <w:bar w:val="nil"/>
        </w:pBdr>
        <w:spacing w:line="360" w:lineRule="auto"/>
        <w:ind w:left="567" w:right="616"/>
        <w:jc w:val="both"/>
        <w:rPr>
          <w:rFonts w:ascii="Palatino Linotype" w:eastAsia="Calibri" w:hAnsi="Palatino Linotype" w:cs="Arial"/>
          <w:i/>
          <w:iCs/>
        </w:rPr>
      </w:pPr>
      <w:r w:rsidRPr="00502CAF">
        <w:rPr>
          <w:rFonts w:ascii="Palatino Linotype" w:eastAsia="Calibri" w:hAnsi="Palatino Linotype" w:cs="Arial"/>
          <w:i/>
          <w:iCs/>
        </w:rPr>
        <w:t>CUARTO TRIBUNAL COLEGIADO EN MATERIA ADMINISTRATIVA DEL PRIMER CIRCUITO. Amparo en revisión 257/2012. Ruth Corona Muñoz. 6 de diciembre de 2012. Unanimidad de votos. Ponente: Jean Claude Tron Petit. Secretaria: Mayra Susana Martínez López.</w:t>
      </w:r>
    </w:p>
    <w:p w14:paraId="0EF83F6A" w14:textId="77777777" w:rsidR="00035866" w:rsidRDefault="00035866" w:rsidP="00035866">
      <w:pPr>
        <w:pStyle w:val="Prrafodelista"/>
        <w:pBdr>
          <w:top w:val="nil"/>
          <w:left w:val="nil"/>
          <w:bottom w:val="nil"/>
          <w:right w:val="nil"/>
          <w:between w:val="nil"/>
          <w:bar w:val="nil"/>
        </w:pBdr>
        <w:spacing w:after="0" w:line="360" w:lineRule="auto"/>
        <w:ind w:left="0"/>
        <w:jc w:val="both"/>
        <w:rPr>
          <w:rFonts w:ascii="Palatino Linotype" w:eastAsia="Calibri" w:hAnsi="Palatino Linotype" w:cs="Arial"/>
          <w:sz w:val="24"/>
        </w:rPr>
      </w:pPr>
    </w:p>
    <w:p w14:paraId="59592AAB" w14:textId="77777777" w:rsidR="005F796F" w:rsidRPr="000F1716" w:rsidRDefault="005F796F" w:rsidP="00035866">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Calibri" w:hAnsi="Palatino Linotype" w:cs="Arial"/>
          <w:sz w:val="24"/>
        </w:rPr>
      </w:pPr>
      <w:r w:rsidRPr="000F1716">
        <w:rPr>
          <w:rFonts w:ascii="Palatino Linotype" w:eastAsia="Calibri" w:hAnsi="Palatino Linotype" w:cs="Arial"/>
          <w:sz w:val="24"/>
        </w:rPr>
        <w:t xml:space="preserve">Por su parte, la Convención Americana Sobre Derechos Humanos en su artículo 1° establece que; </w:t>
      </w:r>
    </w:p>
    <w:p w14:paraId="4CC6D3B6" w14:textId="77777777" w:rsidR="005F796F" w:rsidRDefault="005F796F" w:rsidP="005F796F">
      <w:pPr>
        <w:pStyle w:val="Prrafodelista"/>
        <w:pBdr>
          <w:top w:val="nil"/>
          <w:left w:val="nil"/>
          <w:bottom w:val="nil"/>
          <w:right w:val="nil"/>
          <w:between w:val="nil"/>
          <w:bar w:val="nil"/>
        </w:pBdr>
        <w:spacing w:line="360" w:lineRule="auto"/>
        <w:ind w:left="0"/>
        <w:jc w:val="both"/>
        <w:rPr>
          <w:rFonts w:ascii="Palatino Linotype" w:eastAsia="Calibri" w:hAnsi="Palatino Linotype" w:cs="Arial"/>
        </w:rPr>
      </w:pPr>
    </w:p>
    <w:p w14:paraId="02B4D50C" w14:textId="77777777" w:rsidR="005F796F" w:rsidRPr="00502CAF" w:rsidRDefault="005F796F" w:rsidP="005F796F">
      <w:pPr>
        <w:pStyle w:val="Prrafodelista"/>
        <w:pBdr>
          <w:top w:val="nil"/>
          <w:left w:val="nil"/>
          <w:bottom w:val="nil"/>
          <w:right w:val="nil"/>
          <w:between w:val="nil"/>
          <w:bar w:val="nil"/>
        </w:pBdr>
        <w:spacing w:line="360" w:lineRule="auto"/>
        <w:ind w:left="567" w:right="616"/>
        <w:jc w:val="center"/>
        <w:rPr>
          <w:rFonts w:ascii="Palatino Linotype" w:eastAsia="Calibri" w:hAnsi="Palatino Linotype" w:cs="Arial"/>
          <w:i/>
          <w:iCs/>
        </w:rPr>
      </w:pPr>
      <w:r w:rsidRPr="00502CAF">
        <w:rPr>
          <w:rFonts w:ascii="Palatino Linotype" w:hAnsi="Palatino Linotype" w:cs="Tahoma"/>
          <w:i/>
          <w:iCs/>
          <w:color w:val="000000"/>
        </w:rPr>
        <w:t>“</w:t>
      </w:r>
      <w:r w:rsidRPr="00502CAF">
        <w:rPr>
          <w:rFonts w:ascii="Palatino Linotype" w:hAnsi="Palatino Linotype" w:cs="Tahoma"/>
          <w:b/>
          <w:bCs/>
          <w:i/>
          <w:iCs/>
          <w:color w:val="000000"/>
        </w:rPr>
        <w:t>CONVENCION AMERICANA SOBRE DERECHOS HUMANOS</w:t>
      </w:r>
    </w:p>
    <w:p w14:paraId="6E5DDE5C" w14:textId="77777777" w:rsidR="005F796F" w:rsidRPr="00502CAF" w:rsidRDefault="005F796F" w:rsidP="005F796F">
      <w:pPr>
        <w:pStyle w:val="Prrafodelista"/>
        <w:pBdr>
          <w:top w:val="nil"/>
          <w:left w:val="nil"/>
          <w:bottom w:val="nil"/>
          <w:right w:val="nil"/>
          <w:between w:val="nil"/>
          <w:bar w:val="nil"/>
        </w:pBdr>
        <w:spacing w:line="360" w:lineRule="auto"/>
        <w:ind w:left="567" w:right="616"/>
        <w:jc w:val="center"/>
        <w:rPr>
          <w:rFonts w:ascii="Palatino Linotype" w:hAnsi="Palatino Linotype" w:cs="Tahoma"/>
          <w:b/>
          <w:bCs/>
          <w:i/>
          <w:iCs/>
          <w:color w:val="000000"/>
        </w:rPr>
      </w:pPr>
      <w:r w:rsidRPr="00502CAF">
        <w:rPr>
          <w:rFonts w:ascii="Palatino Linotype" w:hAnsi="Palatino Linotype" w:cs="Tahoma"/>
          <w:b/>
          <w:bCs/>
          <w:i/>
          <w:iCs/>
          <w:color w:val="000000"/>
        </w:rPr>
        <w:t>Artículo 1.  Obligación de Respetar los Derechos</w:t>
      </w:r>
    </w:p>
    <w:p w14:paraId="222867B0" w14:textId="77777777" w:rsidR="005F796F" w:rsidRPr="008A4B0D" w:rsidRDefault="005F796F" w:rsidP="005F796F">
      <w:pPr>
        <w:pStyle w:val="Prrafodelista"/>
        <w:pBdr>
          <w:top w:val="nil"/>
          <w:left w:val="nil"/>
          <w:bottom w:val="nil"/>
          <w:right w:val="nil"/>
          <w:between w:val="nil"/>
          <w:bar w:val="nil"/>
        </w:pBdr>
        <w:spacing w:line="360" w:lineRule="auto"/>
        <w:ind w:left="567" w:right="616"/>
        <w:jc w:val="center"/>
        <w:rPr>
          <w:rFonts w:ascii="Palatino Linotype" w:eastAsia="Calibri" w:hAnsi="Palatino Linotype" w:cs="Arial"/>
          <w:i/>
          <w:iCs/>
          <w:sz w:val="10"/>
          <w:szCs w:val="10"/>
        </w:rPr>
      </w:pPr>
    </w:p>
    <w:p w14:paraId="031E8383" w14:textId="77777777" w:rsidR="005F796F" w:rsidRPr="00502CAF" w:rsidRDefault="005F796F" w:rsidP="005F796F">
      <w:pPr>
        <w:pStyle w:val="Prrafodelista"/>
        <w:pBdr>
          <w:top w:val="nil"/>
          <w:left w:val="nil"/>
          <w:bottom w:val="nil"/>
          <w:right w:val="nil"/>
          <w:between w:val="nil"/>
          <w:bar w:val="nil"/>
        </w:pBdr>
        <w:spacing w:line="360" w:lineRule="auto"/>
        <w:ind w:left="567" w:right="616"/>
        <w:jc w:val="both"/>
        <w:rPr>
          <w:rFonts w:ascii="Palatino Linotype" w:eastAsia="Calibri" w:hAnsi="Palatino Linotype" w:cs="Arial"/>
          <w:i/>
          <w:iCs/>
        </w:rPr>
      </w:pPr>
      <w:r w:rsidRPr="00502CAF">
        <w:rPr>
          <w:rFonts w:ascii="Palatino Linotype" w:eastAsia="Calibri" w:hAnsi="Palatino Linotype" w:cs="Arial"/>
          <w:i/>
          <w:iCs/>
        </w:rPr>
        <w:lastRenderedPageBreak/>
        <w:t xml:space="preserve">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w:t>
      </w:r>
    </w:p>
    <w:p w14:paraId="2981D6B4" w14:textId="77777777" w:rsidR="005F796F" w:rsidRDefault="005F796F" w:rsidP="005F796F">
      <w:pPr>
        <w:pStyle w:val="Prrafodelista"/>
        <w:rPr>
          <w:rFonts w:ascii="Palatino Linotype" w:eastAsiaTheme="minorEastAsia" w:hAnsi="Palatino Linotype"/>
          <w:color w:val="000000" w:themeColor="text1"/>
        </w:rPr>
      </w:pPr>
    </w:p>
    <w:p w14:paraId="75167714" w14:textId="77777777" w:rsidR="005F796F" w:rsidRPr="000F1716" w:rsidRDefault="005F796F" w:rsidP="00035866">
      <w:pPr>
        <w:numPr>
          <w:ilvl w:val="0"/>
          <w:numId w:val="9"/>
        </w:numPr>
        <w:tabs>
          <w:tab w:val="left" w:pos="426"/>
        </w:tabs>
        <w:spacing w:before="240" w:after="240" w:line="360" w:lineRule="auto"/>
        <w:ind w:left="0" w:right="51" w:firstLine="0"/>
        <w:contextualSpacing/>
        <w:jc w:val="both"/>
        <w:rPr>
          <w:rFonts w:ascii="Palatino Linotype" w:eastAsiaTheme="minorEastAsia" w:hAnsi="Palatino Linotype"/>
          <w:color w:val="000000" w:themeColor="text1"/>
          <w:sz w:val="24"/>
        </w:rPr>
      </w:pPr>
      <w:r w:rsidRPr="000F1716">
        <w:rPr>
          <w:rFonts w:ascii="Palatino Linotype" w:eastAsiaTheme="minorEastAsia" w:hAnsi="Palatino Linotype"/>
          <w:color w:val="000000" w:themeColor="text1"/>
          <w:sz w:val="24"/>
        </w:rPr>
        <w:t>Así, el derecho a la verdad tiene, como el derecho a la libertad de expresión, una dimensión individual y otra colectiva. La Corte Interamericana ha sostenido que la sociedad como un todo debe ser informada de todo lo sucedido con en relación a las violaciones graves a derechos humanos. Asimismo, la Comisión Interamericana ha señalado “</w:t>
      </w:r>
      <w:r w:rsidRPr="000F1716">
        <w:rPr>
          <w:rFonts w:ascii="Palatino Linotype" w:eastAsiaTheme="minorEastAsia" w:hAnsi="Palatino Linotype"/>
          <w:i/>
          <w:iCs/>
          <w:color w:val="000000" w:themeColor="text1"/>
          <w:sz w:val="24"/>
        </w:rPr>
        <w:t>que toda la sociedad tiene el irrenunciable derecho de conocer la verdad de lo ocurrido, así como las razones y circunstancias en las que aberrantes delitos llegaron a cometerse, a fin de evitar que esos hechos vuelvan a ocurrir en el futuro”</w:t>
      </w:r>
      <w:r w:rsidRPr="000F1716">
        <w:rPr>
          <w:rFonts w:ascii="Palatino Linotype" w:eastAsiaTheme="minorEastAsia" w:hAnsi="Palatino Linotype"/>
          <w:i/>
          <w:iCs/>
          <w:color w:val="000000" w:themeColor="text1"/>
          <w:sz w:val="24"/>
          <w:vertAlign w:val="superscript"/>
        </w:rPr>
        <w:footnoteReference w:id="7"/>
      </w:r>
      <w:r w:rsidRPr="000F1716">
        <w:rPr>
          <w:rFonts w:ascii="Palatino Linotype" w:eastAsiaTheme="minorEastAsia" w:hAnsi="Palatino Linotype"/>
          <w:color w:val="000000" w:themeColor="text1"/>
          <w:sz w:val="24"/>
        </w:rPr>
        <w:t>.</w:t>
      </w:r>
    </w:p>
    <w:p w14:paraId="79E3233D" w14:textId="77777777" w:rsidR="005F796F" w:rsidRPr="000F1716" w:rsidRDefault="005F796F" w:rsidP="005F796F">
      <w:pPr>
        <w:tabs>
          <w:tab w:val="left" w:pos="426"/>
        </w:tabs>
        <w:spacing w:before="240" w:after="240" w:line="360" w:lineRule="auto"/>
        <w:ind w:right="51"/>
        <w:contextualSpacing/>
        <w:jc w:val="both"/>
        <w:rPr>
          <w:rFonts w:ascii="Palatino Linotype" w:eastAsiaTheme="minorEastAsia" w:hAnsi="Palatino Linotype"/>
          <w:color w:val="000000" w:themeColor="text1"/>
          <w:sz w:val="24"/>
        </w:rPr>
      </w:pPr>
    </w:p>
    <w:p w14:paraId="19CBC76F" w14:textId="77777777" w:rsidR="005F796F" w:rsidRPr="000F1716" w:rsidRDefault="005F796F" w:rsidP="00035866">
      <w:pPr>
        <w:numPr>
          <w:ilvl w:val="0"/>
          <w:numId w:val="9"/>
        </w:numPr>
        <w:tabs>
          <w:tab w:val="left" w:pos="426"/>
        </w:tabs>
        <w:spacing w:before="240" w:after="240" w:line="360" w:lineRule="auto"/>
        <w:ind w:left="0" w:right="51" w:firstLine="0"/>
        <w:contextualSpacing/>
        <w:jc w:val="both"/>
        <w:rPr>
          <w:rFonts w:ascii="Palatino Linotype" w:eastAsiaTheme="minorEastAsia" w:hAnsi="Palatino Linotype"/>
          <w:color w:val="000000" w:themeColor="text1"/>
          <w:sz w:val="24"/>
        </w:rPr>
      </w:pPr>
      <w:r w:rsidRPr="000F1716">
        <w:rPr>
          <w:rFonts w:ascii="Palatino Linotype" w:eastAsiaTheme="minorEastAsia" w:hAnsi="Palatino Linotype"/>
          <w:color w:val="000000" w:themeColor="text1"/>
          <w:sz w:val="24"/>
        </w:rPr>
        <w:t xml:space="preserve">Sin embargo, existen diversas sentencias en materia de Amparo en las que los Jueces han reconocido que </w:t>
      </w:r>
      <w:r w:rsidRPr="000F1716">
        <w:rPr>
          <w:rFonts w:ascii="Palatino Linotype" w:eastAsiaTheme="minorEastAsia" w:hAnsi="Palatino Linotype"/>
          <w:b/>
          <w:bCs/>
          <w:color w:val="000000" w:themeColor="text1"/>
          <w:sz w:val="24"/>
        </w:rPr>
        <w:t xml:space="preserve">no es necesario un pronunciamiento previo de autoridad competente que determine la existencia de violaciones graves a los </w:t>
      </w:r>
      <w:r w:rsidRPr="000F1716">
        <w:rPr>
          <w:rFonts w:ascii="Palatino Linotype" w:eastAsiaTheme="minorEastAsia" w:hAnsi="Palatino Linotype"/>
          <w:b/>
          <w:bCs/>
          <w:color w:val="000000" w:themeColor="text1"/>
          <w:sz w:val="24"/>
        </w:rPr>
        <w:lastRenderedPageBreak/>
        <w:t>derechos humanos o delitos de lesa humanidad</w:t>
      </w:r>
      <w:r w:rsidRPr="000F1716">
        <w:rPr>
          <w:rFonts w:ascii="Palatino Linotype" w:eastAsiaTheme="minorEastAsia" w:hAnsi="Palatino Linotype"/>
          <w:color w:val="000000" w:themeColor="text1"/>
          <w:sz w:val="24"/>
        </w:rPr>
        <w:t>, pues el órgano garante cuenta con las facultades para pronunciarse al respecto:</w:t>
      </w:r>
    </w:p>
    <w:p w14:paraId="39AEB2EF" w14:textId="77777777" w:rsidR="005F796F" w:rsidRDefault="005F796F" w:rsidP="005F796F">
      <w:pPr>
        <w:pStyle w:val="Prrafodelista"/>
        <w:rPr>
          <w:rFonts w:ascii="Palatino Linotype" w:eastAsiaTheme="minorEastAsia" w:hAnsi="Palatino Linotype"/>
          <w:color w:val="000000" w:themeColor="text1"/>
        </w:rPr>
      </w:pPr>
    </w:p>
    <w:p w14:paraId="452B405F" w14:textId="77777777" w:rsidR="005F796F" w:rsidRPr="000F1716" w:rsidRDefault="005F796F" w:rsidP="005F796F">
      <w:pPr>
        <w:pStyle w:val="Prrafodelista"/>
        <w:numPr>
          <w:ilvl w:val="0"/>
          <w:numId w:val="31"/>
        </w:numPr>
        <w:tabs>
          <w:tab w:val="left" w:pos="426"/>
        </w:tabs>
        <w:spacing w:before="240" w:after="240" w:line="360" w:lineRule="auto"/>
        <w:ind w:left="720" w:right="909" w:firstLine="0"/>
        <w:jc w:val="both"/>
        <w:rPr>
          <w:rFonts w:ascii="Palatino Linotype" w:eastAsiaTheme="minorEastAsia" w:hAnsi="Palatino Linotype"/>
          <w:color w:val="000000" w:themeColor="text1"/>
        </w:rPr>
      </w:pPr>
      <w:r w:rsidRPr="000F1716">
        <w:rPr>
          <w:rFonts w:ascii="Palatino Linotype" w:eastAsiaTheme="minorEastAsia" w:hAnsi="Palatino Linotype"/>
          <w:color w:val="000000" w:themeColor="text1"/>
        </w:rPr>
        <w:t>Juicio de Amparo 1371/2013, resuelto por el Juzgado Octavo de Distrito en Materia Administrativa en el entonces Distrito Federal, en cuya sentencia se señala:</w:t>
      </w:r>
      <w:r w:rsidRPr="000F1716">
        <w:rPr>
          <w:rFonts w:ascii="Palatino Linotype" w:eastAsiaTheme="minorEastAsia" w:hAnsi="Palatino Linotype"/>
          <w:i/>
          <w:color w:val="000000" w:themeColor="text1"/>
        </w:rPr>
        <w:t xml:space="preserve"> “Contrario a lo asentado por el IFAI, dicho Instituto sí cuenta con facultades para pronunciarse prima facie sobre las violaciones graves de derechos humanos únicamente para efectos de asumir y ejercer sus propias competencias en materia de acceso a la información de las averiguaciones previas”</w:t>
      </w:r>
      <w:r w:rsidRPr="000F1716">
        <w:rPr>
          <w:rFonts w:ascii="Palatino Linotype" w:eastAsiaTheme="minorEastAsia" w:hAnsi="Palatino Linotype"/>
          <w:iCs/>
          <w:vertAlign w:val="superscript"/>
        </w:rPr>
        <w:footnoteReference w:id="8"/>
      </w:r>
    </w:p>
    <w:p w14:paraId="275158C0" w14:textId="77777777" w:rsidR="005F796F" w:rsidRPr="000F1716" w:rsidRDefault="005F796F" w:rsidP="005F796F">
      <w:pPr>
        <w:pStyle w:val="Prrafodelista"/>
        <w:tabs>
          <w:tab w:val="left" w:pos="426"/>
        </w:tabs>
        <w:spacing w:before="240" w:after="240" w:line="360" w:lineRule="auto"/>
        <w:ind w:right="909"/>
        <w:jc w:val="both"/>
        <w:rPr>
          <w:rFonts w:ascii="Palatino Linotype" w:eastAsiaTheme="minorEastAsia" w:hAnsi="Palatino Linotype"/>
          <w:color w:val="000000" w:themeColor="text1"/>
        </w:rPr>
      </w:pPr>
    </w:p>
    <w:p w14:paraId="76C6883A" w14:textId="77777777" w:rsidR="005F796F" w:rsidRPr="000F1716" w:rsidRDefault="005F796F" w:rsidP="005F796F">
      <w:pPr>
        <w:pStyle w:val="Prrafodelista"/>
        <w:numPr>
          <w:ilvl w:val="0"/>
          <w:numId w:val="31"/>
        </w:numPr>
        <w:tabs>
          <w:tab w:val="left" w:pos="426"/>
        </w:tabs>
        <w:spacing w:before="240" w:after="240" w:line="360" w:lineRule="auto"/>
        <w:ind w:left="720" w:right="909" w:firstLine="0"/>
        <w:jc w:val="both"/>
        <w:rPr>
          <w:rFonts w:ascii="Palatino Linotype" w:eastAsiaTheme="minorEastAsia" w:hAnsi="Palatino Linotype"/>
          <w:color w:val="000000" w:themeColor="text1"/>
        </w:rPr>
      </w:pPr>
      <w:r w:rsidRPr="000F1716">
        <w:rPr>
          <w:rFonts w:ascii="Palatino Linotype" w:eastAsiaTheme="minorEastAsia" w:hAnsi="Palatino Linotype"/>
          <w:iCs/>
          <w:color w:val="000000" w:themeColor="text1"/>
        </w:rPr>
        <w:t>Juicio de Amparo 1189/2013 resuelto por el Juzgado Sexto de Distrito en Materia Administrativa en el entonces Distrito Federal:</w:t>
      </w:r>
      <w:r w:rsidRPr="000F1716">
        <w:rPr>
          <w:rFonts w:ascii="Palatino Linotype" w:eastAsiaTheme="minorEastAsia" w:hAnsi="Palatino Linotype"/>
          <w:i/>
          <w:iCs/>
          <w:color w:val="000000" w:themeColor="text1"/>
        </w:rPr>
        <w:t xml:space="preserve"> “En este contexto, de los razonamientos anteriores, se concluye que el Instituto Federal de Acceso a la Información, en términos del artículo 37 de la Ley Federal de Transparencia y Acceso a la Información Pública Gubernamental, sí cuenta con facultades para interpretar si en el caso específico, opera la excepción de reserva prevista en el artículo 14, último párrafo, respecto de la averiguación previa (…)”</w:t>
      </w:r>
      <w:r w:rsidRPr="000F1716">
        <w:rPr>
          <w:rFonts w:ascii="Palatino Linotype" w:eastAsiaTheme="minorEastAsia" w:hAnsi="Palatino Linotype"/>
          <w:vertAlign w:val="superscript"/>
        </w:rPr>
        <w:footnoteReference w:id="9"/>
      </w:r>
      <w:r w:rsidRPr="000F1716">
        <w:rPr>
          <w:rFonts w:ascii="Palatino Linotype" w:eastAsiaTheme="minorEastAsia" w:hAnsi="Palatino Linotype"/>
          <w:color w:val="000000" w:themeColor="text1"/>
        </w:rPr>
        <w:t>.</w:t>
      </w:r>
    </w:p>
    <w:p w14:paraId="3965080A" w14:textId="77777777" w:rsidR="005F796F" w:rsidRPr="003271CF" w:rsidRDefault="005F796F" w:rsidP="005F796F">
      <w:pPr>
        <w:tabs>
          <w:tab w:val="left" w:pos="426"/>
        </w:tabs>
        <w:spacing w:before="240" w:after="240" w:line="360" w:lineRule="auto"/>
        <w:ind w:right="51"/>
        <w:contextualSpacing/>
        <w:jc w:val="both"/>
        <w:rPr>
          <w:rFonts w:ascii="Palatino Linotype" w:eastAsiaTheme="minorEastAsia" w:hAnsi="Palatino Linotype"/>
          <w:color w:val="000000" w:themeColor="text1"/>
        </w:rPr>
      </w:pPr>
    </w:p>
    <w:p w14:paraId="085AFF77" w14:textId="17CC58FF" w:rsidR="005F796F" w:rsidRDefault="005F796F" w:rsidP="00035866">
      <w:pPr>
        <w:numPr>
          <w:ilvl w:val="0"/>
          <w:numId w:val="9"/>
        </w:numPr>
        <w:tabs>
          <w:tab w:val="left" w:pos="426"/>
        </w:tabs>
        <w:spacing w:before="240" w:after="240" w:line="360" w:lineRule="auto"/>
        <w:ind w:left="0" w:right="51" w:firstLine="0"/>
        <w:contextualSpacing/>
        <w:jc w:val="both"/>
        <w:rPr>
          <w:rFonts w:ascii="Palatino Linotype" w:eastAsiaTheme="minorEastAsia" w:hAnsi="Palatino Linotype"/>
          <w:color w:val="000000" w:themeColor="text1"/>
          <w:sz w:val="24"/>
        </w:rPr>
      </w:pPr>
      <w:r w:rsidRPr="00035866">
        <w:rPr>
          <w:rFonts w:ascii="Palatino Linotype" w:eastAsiaTheme="minorEastAsia" w:hAnsi="Palatino Linotype"/>
          <w:color w:val="000000" w:themeColor="text1"/>
          <w:sz w:val="24"/>
        </w:rPr>
        <w:lastRenderedPageBreak/>
        <w:t xml:space="preserve">Razón de lo anterior, se debe señalar que, en casos relacionados con violaciones a derechos humanos, el principio de máxima publicidad abarca un espectro mayor sobre información que pudiera actualizar el carácter de reserva o confidencialidad, permitiendo inclusive difundir el nombre de la o las víctimas, pues su publicidad se relaciona con el deber de despertar la conciencia, tanto de la autoridad como de la ciudadanía, buscando evitar la repetición de hechos </w:t>
      </w:r>
      <w:r w:rsidR="00035866">
        <w:rPr>
          <w:rFonts w:ascii="Palatino Linotype" w:eastAsiaTheme="minorEastAsia" w:hAnsi="Palatino Linotype"/>
          <w:color w:val="000000" w:themeColor="text1"/>
          <w:sz w:val="24"/>
        </w:rPr>
        <w:t>lesivos.</w:t>
      </w:r>
    </w:p>
    <w:p w14:paraId="316432DF" w14:textId="77777777" w:rsidR="00035866" w:rsidRPr="00035866" w:rsidRDefault="00035866" w:rsidP="00035866">
      <w:pPr>
        <w:tabs>
          <w:tab w:val="left" w:pos="426"/>
        </w:tabs>
        <w:spacing w:before="240" w:after="240" w:line="360" w:lineRule="auto"/>
        <w:ind w:right="51"/>
        <w:contextualSpacing/>
        <w:jc w:val="both"/>
        <w:rPr>
          <w:rFonts w:ascii="Palatino Linotype" w:eastAsiaTheme="minorEastAsia" w:hAnsi="Palatino Linotype"/>
          <w:color w:val="000000" w:themeColor="text1"/>
          <w:sz w:val="24"/>
        </w:rPr>
      </w:pPr>
    </w:p>
    <w:p w14:paraId="26073DFE" w14:textId="77777777" w:rsidR="005F796F" w:rsidRPr="000F1716" w:rsidRDefault="005F796F" w:rsidP="00035866">
      <w:pPr>
        <w:numPr>
          <w:ilvl w:val="0"/>
          <w:numId w:val="9"/>
        </w:numPr>
        <w:tabs>
          <w:tab w:val="left" w:pos="426"/>
        </w:tabs>
        <w:spacing w:before="240" w:after="240" w:line="360" w:lineRule="auto"/>
        <w:ind w:left="0" w:right="51" w:firstLine="0"/>
        <w:contextualSpacing/>
        <w:jc w:val="both"/>
        <w:rPr>
          <w:rFonts w:ascii="Palatino Linotype" w:eastAsiaTheme="minorEastAsia" w:hAnsi="Palatino Linotype"/>
          <w:color w:val="000000" w:themeColor="text1"/>
          <w:sz w:val="24"/>
        </w:rPr>
      </w:pPr>
      <w:r w:rsidRPr="000F1716">
        <w:rPr>
          <w:rFonts w:ascii="Palatino Linotype" w:eastAsiaTheme="minorEastAsia" w:hAnsi="Palatino Linotype"/>
          <w:color w:val="000000" w:themeColor="text1"/>
          <w:sz w:val="24"/>
        </w:rPr>
        <w:t>Sustenta lo anterior la Tesis 2a. LIII/2017 (10a.), emitida por el Máximo Tribunal de la Nación, cuyo rubro y texto establecen lo siguiente:</w:t>
      </w:r>
    </w:p>
    <w:p w14:paraId="3CE26C4F" w14:textId="77777777" w:rsidR="005F796F" w:rsidRDefault="005F796F" w:rsidP="005F796F">
      <w:pPr>
        <w:tabs>
          <w:tab w:val="left" w:pos="426"/>
        </w:tabs>
        <w:spacing w:before="240" w:line="360" w:lineRule="auto"/>
        <w:ind w:left="567" w:right="567"/>
        <w:contextualSpacing/>
        <w:jc w:val="both"/>
        <w:rPr>
          <w:rFonts w:ascii="Palatino Linotype" w:eastAsiaTheme="minorEastAsia" w:hAnsi="Palatino Linotype"/>
          <w:b/>
          <w:bCs/>
          <w:i/>
          <w:iCs/>
          <w:color w:val="000000" w:themeColor="text1"/>
        </w:rPr>
      </w:pPr>
      <w:r w:rsidRPr="003271CF">
        <w:rPr>
          <w:rFonts w:ascii="Palatino Linotype" w:eastAsiaTheme="minorEastAsia" w:hAnsi="Palatino Linotype"/>
          <w:b/>
          <w:bCs/>
          <w:i/>
          <w:iCs/>
          <w:color w:val="000000" w:themeColor="text1"/>
        </w:rPr>
        <w:t>VIOLACIONES GRAVES DE DERECHOS FUNDAMENTALES. POR REGLA GENERAL EL PRINCIPIO DE MÁXIMA PUBLICIDAD DE LAS INVESTIGACIONES RELACIONADAS CON AQUÉLLAS, ABARCA EL NOMBRE DE LAS VÍCTIMAS.</w:t>
      </w:r>
      <w:r w:rsidRPr="003271CF">
        <w:rPr>
          <w:rFonts w:ascii="Palatino Linotype" w:eastAsiaTheme="minorEastAsia" w:hAnsi="Palatino Linotype"/>
          <w:i/>
          <w:iCs/>
          <w:color w:val="000000" w:themeColor="text1"/>
        </w:rPr>
        <w:t xml:space="preserve"> “Del artículo 14, párrafo último, de la Ley Federal de Transparencia y Acceso a la Información Pública Gubernamental, vigente hasta el 9 de mayo de 2016, se advierte que, </w:t>
      </w:r>
      <w:r w:rsidRPr="003271CF">
        <w:rPr>
          <w:rFonts w:ascii="Palatino Linotype" w:eastAsiaTheme="minorEastAsia" w:hAnsi="Palatino Linotype"/>
          <w:b/>
          <w:bCs/>
          <w:i/>
          <w:iCs/>
          <w:color w:val="000000" w:themeColor="text1"/>
        </w:rPr>
        <w:t>por regla general, no podrá invocarse el carácter de información reservada cuando se trate de la investigación  de violaciones graves de derechos fundamentales o delitos contra la humanidad, sin hacer distinciones o excepciones respecto al nombre de las víctimas</w:t>
      </w:r>
      <w:r w:rsidRPr="003271CF">
        <w:rPr>
          <w:rFonts w:ascii="Palatino Linotype" w:eastAsiaTheme="minorEastAsia" w:hAnsi="Palatino Linotype"/>
          <w:i/>
          <w:iCs/>
          <w:color w:val="000000" w:themeColor="text1"/>
        </w:rPr>
        <w:t xml:space="preserve">, sino que presenta una directriz clara e indubitable del acceso a la publicidad de esa información, ante la entidad de las violaciones o delitos implicados que generan un interés de la sociedad para conocer la conducta estatal respecto a la debida investigación de tales actos, protegiendo en cualquier caso el honor de las víctimas. En ese sentido, la función social derivada de la publicidad de los nombres de las víctimas en esos casos radica en despertar la </w:t>
      </w:r>
      <w:r w:rsidRPr="003271CF">
        <w:rPr>
          <w:rFonts w:ascii="Palatino Linotype" w:eastAsiaTheme="minorEastAsia" w:hAnsi="Palatino Linotype"/>
          <w:i/>
          <w:iCs/>
          <w:color w:val="000000" w:themeColor="text1"/>
        </w:rPr>
        <w:lastRenderedPageBreak/>
        <w:t xml:space="preserve">conciencia, tanto de la autoridad como de las personas en general, sobre la necesidad de evitar la repetición de hechos lesivos como los ocurridos en esos casos y conservar viva la memoria de la víctima; así, </w:t>
      </w:r>
      <w:r w:rsidRPr="003271CF">
        <w:rPr>
          <w:rFonts w:ascii="Palatino Linotype" w:eastAsiaTheme="minorEastAsia" w:hAnsi="Palatino Linotype"/>
          <w:b/>
          <w:bCs/>
          <w:i/>
          <w:iCs/>
          <w:color w:val="000000" w:themeColor="text1"/>
        </w:rPr>
        <w:t>trasladar una mera cifra estadística o número de expediente por un "nombre o rostro" implica adquirir verdadera conciencia del problema en cuestión y dignifica al ser humano, dando</w:t>
      </w:r>
    </w:p>
    <w:p w14:paraId="5561EFAF" w14:textId="77777777" w:rsidR="005F796F" w:rsidRDefault="005F796F" w:rsidP="005F796F">
      <w:pPr>
        <w:tabs>
          <w:tab w:val="left" w:pos="426"/>
        </w:tabs>
        <w:spacing w:before="240" w:line="360" w:lineRule="auto"/>
        <w:ind w:left="567" w:right="567"/>
        <w:contextualSpacing/>
        <w:jc w:val="both"/>
        <w:rPr>
          <w:rFonts w:ascii="Palatino Linotype" w:eastAsiaTheme="minorEastAsia" w:hAnsi="Palatino Linotype"/>
          <w:b/>
          <w:bCs/>
          <w:i/>
          <w:iCs/>
          <w:color w:val="000000" w:themeColor="text1"/>
        </w:rPr>
      </w:pPr>
    </w:p>
    <w:p w14:paraId="2934F660" w14:textId="77777777" w:rsidR="005F796F" w:rsidRDefault="005F796F" w:rsidP="005F796F">
      <w:pPr>
        <w:tabs>
          <w:tab w:val="left" w:pos="426"/>
        </w:tabs>
        <w:spacing w:before="240" w:line="360" w:lineRule="auto"/>
        <w:ind w:left="567" w:right="567"/>
        <w:contextualSpacing/>
        <w:jc w:val="both"/>
        <w:rPr>
          <w:rFonts w:ascii="Palatino Linotype" w:eastAsiaTheme="minorEastAsia" w:hAnsi="Palatino Linotype"/>
          <w:i/>
          <w:iCs/>
          <w:color w:val="000000" w:themeColor="text1"/>
        </w:rPr>
      </w:pPr>
      <w:r w:rsidRPr="003271CF">
        <w:rPr>
          <w:rFonts w:ascii="Palatino Linotype" w:eastAsiaTheme="minorEastAsia" w:hAnsi="Palatino Linotype"/>
          <w:b/>
          <w:bCs/>
          <w:i/>
          <w:iCs/>
          <w:color w:val="000000" w:themeColor="text1"/>
        </w:rPr>
        <w:t xml:space="preserve"> un lugar decoroso a la memoria de quienes fueron lesionados por conductas especialmente gravosas y permite que la sociedad interpele ante el Estado para conocer la verdad de los hechos acontecidos, y vigile que las autoridades cumplan su deber de investigar, juzgar y, en su caso, sancionar y reparar las violaciones graves de derechos fundamentales</w:t>
      </w:r>
      <w:r w:rsidRPr="003271CF">
        <w:rPr>
          <w:rFonts w:ascii="Palatino Linotype" w:eastAsiaTheme="minorEastAsia" w:hAnsi="Palatino Linotype"/>
          <w:i/>
          <w:iCs/>
          <w:color w:val="000000" w:themeColor="text1"/>
        </w:rPr>
        <w:t>.”</w:t>
      </w:r>
    </w:p>
    <w:p w14:paraId="7A25D2CF" w14:textId="77777777" w:rsidR="005F796F" w:rsidRDefault="005F796F" w:rsidP="005F796F">
      <w:pPr>
        <w:tabs>
          <w:tab w:val="left" w:pos="426"/>
        </w:tabs>
        <w:spacing w:before="240" w:line="360" w:lineRule="auto"/>
        <w:ind w:left="567" w:right="567"/>
        <w:contextualSpacing/>
        <w:jc w:val="both"/>
        <w:rPr>
          <w:rFonts w:ascii="Palatino Linotype" w:eastAsiaTheme="minorEastAsia" w:hAnsi="Palatino Linotype"/>
          <w:color w:val="000000" w:themeColor="text1"/>
        </w:rPr>
      </w:pPr>
      <w:r w:rsidRPr="003271CF">
        <w:rPr>
          <w:rFonts w:ascii="Palatino Linotype" w:eastAsiaTheme="minorEastAsia" w:hAnsi="Palatino Linotype"/>
          <w:color w:val="000000" w:themeColor="text1"/>
        </w:rPr>
        <w:t>(Énfasis añadido)</w:t>
      </w:r>
    </w:p>
    <w:p w14:paraId="04141C78" w14:textId="0AFBC332" w:rsidR="0049418C" w:rsidRDefault="0049418C" w:rsidP="00035866">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Theme="majorEastAsia" w:hAnsi="Palatino Linotype" w:cstheme="majorBidi"/>
          <w:sz w:val="24"/>
          <w:szCs w:val="24"/>
          <w:bdr w:val="nil"/>
        </w:rPr>
      </w:pPr>
      <w:r>
        <w:rPr>
          <w:rFonts w:ascii="Palatino Linotype" w:eastAsiaTheme="majorEastAsia" w:hAnsi="Palatino Linotype" w:cstheme="majorBidi"/>
          <w:sz w:val="24"/>
          <w:szCs w:val="24"/>
          <w:bdr w:val="nil"/>
        </w:rPr>
        <w:t>En México, la Comisión Nacional de Derechos Humanos enlista diversos asuntos en los que se han emitido recomendaciones por la constitución de violaciones a los derechos humanos de protección de la salud, a la vida, entre otros, siendo los más actuales los siguientes:</w:t>
      </w:r>
    </w:p>
    <w:p w14:paraId="6CB1E9C1" w14:textId="77777777" w:rsidR="0049418C" w:rsidRDefault="0049418C" w:rsidP="0049418C">
      <w:pPr>
        <w:pStyle w:val="Prrafodelista"/>
        <w:pBdr>
          <w:top w:val="nil"/>
          <w:left w:val="nil"/>
          <w:bottom w:val="nil"/>
          <w:right w:val="nil"/>
          <w:between w:val="nil"/>
          <w:bar w:val="nil"/>
        </w:pBdr>
        <w:spacing w:after="0" w:line="360" w:lineRule="auto"/>
        <w:ind w:left="0"/>
        <w:jc w:val="both"/>
        <w:rPr>
          <w:rFonts w:ascii="Palatino Linotype" w:eastAsiaTheme="majorEastAsia" w:hAnsi="Palatino Linotype" w:cstheme="majorBidi"/>
          <w:sz w:val="24"/>
          <w:szCs w:val="24"/>
          <w:bdr w:val="nil"/>
        </w:rPr>
      </w:pPr>
    </w:p>
    <w:p w14:paraId="006194C4" w14:textId="4F8D780A" w:rsidR="0049418C" w:rsidRPr="00443B50" w:rsidRDefault="0049418C" w:rsidP="00D90277">
      <w:pPr>
        <w:pStyle w:val="Prrafodelista"/>
        <w:numPr>
          <w:ilvl w:val="0"/>
          <w:numId w:val="37"/>
        </w:numPr>
        <w:pBdr>
          <w:top w:val="nil"/>
          <w:left w:val="nil"/>
          <w:bottom w:val="nil"/>
          <w:right w:val="nil"/>
          <w:between w:val="nil"/>
          <w:bar w:val="nil"/>
        </w:pBdr>
        <w:spacing w:after="0" w:line="360" w:lineRule="auto"/>
        <w:ind w:left="567"/>
        <w:jc w:val="both"/>
        <w:rPr>
          <w:rFonts w:ascii="Palatino Linotype" w:eastAsiaTheme="majorEastAsia" w:hAnsi="Palatino Linotype" w:cstheme="majorBidi"/>
          <w:i/>
          <w:sz w:val="20"/>
          <w:szCs w:val="24"/>
          <w:bdr w:val="nil"/>
        </w:rPr>
      </w:pPr>
      <w:r w:rsidRPr="00443B50">
        <w:rPr>
          <w:rFonts w:ascii="Palatino Linotype" w:hAnsi="Palatino Linotype" w:cs="Arial"/>
          <w:i/>
          <w:color w:val="333333"/>
          <w:szCs w:val="27"/>
          <w:shd w:val="clear" w:color="auto" w:fill="FFFFFF"/>
        </w:rPr>
        <w:t xml:space="preserve">La Comisión Nacional de los Derechos Humanos (CNDH) emitió la Recomendación 04/2023 al director general del Hospital Juárez de México, Gustavo Esteban Lugo Zamudio, por las omisiones en la atención médica proporcionada a una persona de 47 años, quien falleció como consecuencia de ello, lo cual constituye violaciones a los derechos humanos de protección de la salud, a la vida, así como al acceso a la información en materia de salud en agravio de la víctima </w:t>
      </w:r>
      <w:r w:rsidRPr="00443B50">
        <w:rPr>
          <w:rFonts w:ascii="Palatino Linotype" w:hAnsi="Palatino Linotype" w:cs="Arial"/>
          <w:i/>
          <w:color w:val="333333"/>
          <w:szCs w:val="27"/>
          <w:shd w:val="clear" w:color="auto" w:fill="FFFFFF"/>
        </w:rPr>
        <w:lastRenderedPageBreak/>
        <w:t>y de personas de su núcleo familiar, atribuibles al personal del mencionado hospital en la Ciudad de México.</w:t>
      </w:r>
      <w:r w:rsidRPr="00443B50">
        <w:rPr>
          <w:rStyle w:val="Refdenotaalpie"/>
          <w:rFonts w:ascii="Palatino Linotype" w:hAnsi="Palatino Linotype" w:cs="Arial"/>
          <w:i/>
          <w:color w:val="333333"/>
          <w:szCs w:val="27"/>
          <w:shd w:val="clear" w:color="auto" w:fill="FFFFFF"/>
        </w:rPr>
        <w:footnoteReference w:id="10"/>
      </w:r>
    </w:p>
    <w:p w14:paraId="593097A1" w14:textId="77777777" w:rsidR="0049418C" w:rsidRPr="00443B50" w:rsidRDefault="0049418C" w:rsidP="00D90277">
      <w:pPr>
        <w:pStyle w:val="Prrafodelista"/>
        <w:pBdr>
          <w:top w:val="nil"/>
          <w:left w:val="nil"/>
          <w:bottom w:val="nil"/>
          <w:right w:val="nil"/>
          <w:between w:val="nil"/>
          <w:bar w:val="nil"/>
        </w:pBdr>
        <w:spacing w:after="0" w:line="360" w:lineRule="auto"/>
        <w:ind w:left="567"/>
        <w:jc w:val="both"/>
        <w:rPr>
          <w:rFonts w:ascii="Palatino Linotype" w:eastAsiaTheme="majorEastAsia" w:hAnsi="Palatino Linotype" w:cstheme="majorBidi"/>
          <w:i/>
          <w:sz w:val="20"/>
          <w:szCs w:val="24"/>
          <w:bdr w:val="nil"/>
        </w:rPr>
      </w:pPr>
    </w:p>
    <w:p w14:paraId="56C50C0C" w14:textId="3835EE34" w:rsidR="0049418C" w:rsidRPr="00443B50" w:rsidRDefault="0049418C" w:rsidP="00D90277">
      <w:pPr>
        <w:pStyle w:val="Prrafodelista"/>
        <w:numPr>
          <w:ilvl w:val="0"/>
          <w:numId w:val="37"/>
        </w:numPr>
        <w:pBdr>
          <w:top w:val="nil"/>
          <w:left w:val="nil"/>
          <w:bottom w:val="nil"/>
          <w:right w:val="nil"/>
          <w:between w:val="nil"/>
          <w:bar w:val="nil"/>
        </w:pBdr>
        <w:spacing w:after="0" w:line="360" w:lineRule="auto"/>
        <w:ind w:left="567"/>
        <w:jc w:val="both"/>
        <w:rPr>
          <w:rFonts w:ascii="Palatino Linotype" w:eastAsiaTheme="majorEastAsia" w:hAnsi="Palatino Linotype" w:cstheme="majorBidi"/>
          <w:i/>
          <w:sz w:val="20"/>
          <w:szCs w:val="24"/>
          <w:bdr w:val="nil"/>
        </w:rPr>
      </w:pPr>
      <w:r w:rsidRPr="00443B50">
        <w:rPr>
          <w:rFonts w:ascii="Palatino Linotype" w:hAnsi="Palatino Linotype" w:cs="Arial"/>
          <w:i/>
          <w:color w:val="333333"/>
          <w:szCs w:val="27"/>
          <w:shd w:val="clear" w:color="auto" w:fill="FFFFFF"/>
        </w:rPr>
        <w:t>La Comisión Nacional de los Derechos Humanos (CNDH) emitió la Recomendación 138/2022 al titular de la Secretaría de Salud (SSA), Jorge Alcocer Varela; y a la directora general del Hospital General de México “Dr. Eduardo Liceaga”, Guadalupe Mercedes Lucía Guerrero Avendaño, por violaciones a los derechos humanos a la protección a la salud, a la vida y al acceso a la información en materia de salud, en agravio de una víctima de 54 años, quien falleció como resultado de mala prestación del servicio médico, atribuible a personal adscrito al Hospital Nacional Homeopático y al Hospital “Dr. Eduardo Liceaga”, ambos de la Secretaría de Salud Federal, en la Ciudad de México.</w:t>
      </w:r>
      <w:r w:rsidRPr="00443B50">
        <w:rPr>
          <w:rStyle w:val="Refdenotaalpie"/>
          <w:rFonts w:ascii="Palatino Linotype" w:hAnsi="Palatino Linotype" w:cs="Arial"/>
          <w:i/>
          <w:color w:val="333333"/>
          <w:szCs w:val="27"/>
          <w:shd w:val="clear" w:color="auto" w:fill="FFFFFF"/>
        </w:rPr>
        <w:footnoteReference w:id="11"/>
      </w:r>
    </w:p>
    <w:p w14:paraId="0640A27F" w14:textId="77777777" w:rsidR="0049418C" w:rsidRPr="00443B50" w:rsidRDefault="0049418C" w:rsidP="00D90277">
      <w:pPr>
        <w:pStyle w:val="Prrafodelista"/>
        <w:ind w:left="567"/>
        <w:rPr>
          <w:rFonts w:ascii="Palatino Linotype" w:eastAsiaTheme="majorEastAsia" w:hAnsi="Palatino Linotype" w:cstheme="majorBidi"/>
          <w:i/>
          <w:sz w:val="20"/>
          <w:szCs w:val="24"/>
          <w:bdr w:val="nil"/>
        </w:rPr>
      </w:pPr>
    </w:p>
    <w:p w14:paraId="1E177DC5" w14:textId="4F8CC58A" w:rsidR="0049418C" w:rsidRPr="00443B50" w:rsidRDefault="0049418C" w:rsidP="00D90277">
      <w:pPr>
        <w:pStyle w:val="Prrafodelista"/>
        <w:numPr>
          <w:ilvl w:val="0"/>
          <w:numId w:val="37"/>
        </w:numPr>
        <w:pBdr>
          <w:top w:val="nil"/>
          <w:left w:val="nil"/>
          <w:bottom w:val="nil"/>
          <w:right w:val="nil"/>
          <w:between w:val="nil"/>
          <w:bar w:val="nil"/>
        </w:pBdr>
        <w:spacing w:after="0" w:line="360" w:lineRule="auto"/>
        <w:ind w:left="567"/>
        <w:jc w:val="both"/>
        <w:rPr>
          <w:rFonts w:ascii="Palatino Linotype" w:eastAsiaTheme="majorEastAsia" w:hAnsi="Palatino Linotype" w:cstheme="majorBidi"/>
          <w:i/>
          <w:sz w:val="20"/>
          <w:szCs w:val="24"/>
          <w:bdr w:val="nil"/>
        </w:rPr>
      </w:pPr>
      <w:r w:rsidRPr="00443B50">
        <w:rPr>
          <w:rFonts w:ascii="Palatino Linotype" w:hAnsi="Palatino Linotype" w:cs="Arial"/>
          <w:i/>
          <w:color w:val="333333"/>
          <w:szCs w:val="27"/>
          <w:shd w:val="clear" w:color="auto" w:fill="FFFFFF"/>
        </w:rPr>
        <w:t xml:space="preserve">La Comisión Nacional de los Derechos Humanos (CNDH) emitió la Recomendación 136/2022 al director general del Instituto de Seguridad y Servicios Sociales de los Trabajadores del Estado (ISSSTE), Pedro Mario Zenteno Santaella, por violaciones a los derechos humanos a la protección de la salud, a la vida y al interés superior de la niñez, en agravio de una persona menor de edad con entonces un mes de vida; así como al acceso a la información en materia de salud, atribuibles a personas servidoras públicas adscritas a los Servicios de Urgencia y </w:t>
      </w:r>
      <w:r w:rsidRPr="00443B50">
        <w:rPr>
          <w:rFonts w:ascii="Palatino Linotype" w:hAnsi="Palatino Linotype" w:cs="Arial"/>
          <w:i/>
          <w:color w:val="333333"/>
          <w:szCs w:val="27"/>
          <w:shd w:val="clear" w:color="auto" w:fill="FFFFFF"/>
        </w:rPr>
        <w:lastRenderedPageBreak/>
        <w:t>Neonatología del Hospital Regional 1° de Octubre (HR-1° de Octubre) del ISSSTE, en la Ciudad de México.</w:t>
      </w:r>
      <w:r w:rsidR="00D90277" w:rsidRPr="00443B50">
        <w:rPr>
          <w:rStyle w:val="Refdenotaalpie"/>
          <w:rFonts w:ascii="Palatino Linotype" w:hAnsi="Palatino Linotype" w:cs="Arial"/>
          <w:i/>
          <w:color w:val="333333"/>
          <w:szCs w:val="27"/>
          <w:shd w:val="clear" w:color="auto" w:fill="FFFFFF"/>
        </w:rPr>
        <w:footnoteReference w:id="12"/>
      </w:r>
    </w:p>
    <w:p w14:paraId="6C2669F5" w14:textId="77777777" w:rsidR="0049418C" w:rsidRDefault="0049418C" w:rsidP="0049418C">
      <w:pPr>
        <w:pStyle w:val="Prrafodelista"/>
        <w:pBdr>
          <w:top w:val="nil"/>
          <w:left w:val="nil"/>
          <w:bottom w:val="nil"/>
          <w:right w:val="nil"/>
          <w:between w:val="nil"/>
          <w:bar w:val="nil"/>
        </w:pBdr>
        <w:spacing w:after="0" w:line="360" w:lineRule="auto"/>
        <w:jc w:val="both"/>
        <w:rPr>
          <w:rFonts w:ascii="Arial" w:hAnsi="Arial" w:cs="Arial"/>
          <w:color w:val="333333"/>
          <w:sz w:val="27"/>
          <w:szCs w:val="27"/>
          <w:shd w:val="clear" w:color="auto" w:fill="FFFFFF"/>
        </w:rPr>
      </w:pPr>
    </w:p>
    <w:p w14:paraId="49ED947B" w14:textId="0A19496C" w:rsidR="0049418C" w:rsidRDefault="00D90277" w:rsidP="00035866">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Theme="majorEastAsia" w:hAnsi="Palatino Linotype" w:cstheme="majorBidi"/>
          <w:sz w:val="24"/>
          <w:szCs w:val="24"/>
          <w:bdr w:val="nil"/>
        </w:rPr>
      </w:pPr>
      <w:r>
        <w:rPr>
          <w:rFonts w:ascii="Palatino Linotype" w:eastAsiaTheme="majorEastAsia" w:hAnsi="Palatino Linotype" w:cstheme="majorBidi"/>
          <w:sz w:val="24"/>
          <w:szCs w:val="24"/>
          <w:bdr w:val="nil"/>
        </w:rPr>
        <w:t xml:space="preserve">El tema negligencia médica o, también denominado mala praxis médica, se encuentra no sólo en nivel nacional, sino su relevancia y trascendencia ha alcanzado niveles internacionales que incluso, la Corte Interamericana ha emitido resoluciones relevantes al respecto, tal es el caso </w:t>
      </w:r>
      <w:r>
        <w:rPr>
          <w:rFonts w:ascii="Palatino Linotype" w:eastAsiaTheme="majorEastAsia" w:hAnsi="Palatino Linotype" w:cstheme="majorBidi"/>
          <w:i/>
          <w:sz w:val="24"/>
          <w:szCs w:val="24"/>
          <w:bdr w:val="nil"/>
        </w:rPr>
        <w:t>Alban Cornejo y otros Vs Ecuador noviembre 2007</w:t>
      </w:r>
      <w:r>
        <w:rPr>
          <w:rStyle w:val="Refdenotaalpie"/>
          <w:rFonts w:ascii="Palatino Linotype" w:eastAsiaTheme="majorEastAsia" w:hAnsi="Palatino Linotype" w:cstheme="majorBidi"/>
          <w:i/>
          <w:sz w:val="24"/>
          <w:szCs w:val="24"/>
          <w:bdr w:val="nil"/>
        </w:rPr>
        <w:footnoteReference w:id="13"/>
      </w:r>
      <w:r>
        <w:rPr>
          <w:rFonts w:ascii="Palatino Linotype" w:eastAsiaTheme="majorEastAsia" w:hAnsi="Palatino Linotype" w:cstheme="majorBidi"/>
          <w:i/>
          <w:sz w:val="24"/>
          <w:szCs w:val="24"/>
          <w:bdr w:val="nil"/>
        </w:rPr>
        <w:t xml:space="preserve">, </w:t>
      </w:r>
      <w:r>
        <w:rPr>
          <w:rFonts w:ascii="Palatino Linotype" w:eastAsiaTheme="majorEastAsia" w:hAnsi="Palatino Linotype" w:cstheme="majorBidi"/>
          <w:sz w:val="24"/>
          <w:szCs w:val="24"/>
          <w:bdr w:val="nil"/>
        </w:rPr>
        <w:t>entre los derechos humanos violentados resaltan el derecho a la vida y a la integridad personal, contemplados en los artículos 4.1 y 51 de la Convención Americana sobre Derechos Humanos, determinando lo siguiente:</w:t>
      </w:r>
    </w:p>
    <w:p w14:paraId="0722774D" w14:textId="77777777" w:rsidR="00D90277" w:rsidRPr="00D90277" w:rsidRDefault="00D90277" w:rsidP="00D90277">
      <w:pPr>
        <w:pStyle w:val="Prrafodelista"/>
        <w:pBdr>
          <w:top w:val="nil"/>
          <w:left w:val="nil"/>
          <w:bottom w:val="nil"/>
          <w:right w:val="nil"/>
          <w:between w:val="nil"/>
          <w:bar w:val="nil"/>
        </w:pBdr>
        <w:spacing w:after="0" w:line="360" w:lineRule="auto"/>
        <w:ind w:left="0"/>
        <w:jc w:val="both"/>
        <w:rPr>
          <w:rFonts w:ascii="Palatino Linotype" w:eastAsiaTheme="majorEastAsia" w:hAnsi="Palatino Linotype" w:cstheme="majorBidi"/>
          <w:sz w:val="24"/>
          <w:szCs w:val="24"/>
          <w:bdr w:val="nil"/>
        </w:rPr>
      </w:pPr>
    </w:p>
    <w:p w14:paraId="763B02DC" w14:textId="77777777" w:rsidR="00D90277" w:rsidRPr="00320619" w:rsidRDefault="00D90277" w:rsidP="00320619">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320619">
        <w:rPr>
          <w:rFonts w:ascii="Palatino Linotype" w:hAnsi="Palatino Linotype"/>
          <w:i/>
        </w:rPr>
        <w:t xml:space="preserve">1.1. Artículo 4.1 (Derecho a la vida) </w:t>
      </w:r>
    </w:p>
    <w:p w14:paraId="31185F4D" w14:textId="77777777" w:rsidR="00D90277" w:rsidRPr="00320619" w:rsidRDefault="00D90277" w:rsidP="00320619">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320619">
        <w:rPr>
          <w:rFonts w:ascii="Palatino Linotype" w:hAnsi="Palatino Linotype"/>
          <w:i/>
        </w:rPr>
        <w:t>42. Respecto a los alegatos mencionados por los representantes, la Corte no encuentra elementos suficientes para atribuir al Estado responsabilidad internacional por la muerte de Laura Albán, en los términos del artículo 4 de la Convención. Sin perjuicio de lo anterior, la Corte examinará (…) si el Estado ha cumplido con su obligación de garantizar el derecho a la vida, mediante una investigación seria para esclarecer los hechos del presente caso, los cuales se refieren a una denuncia que era constitutiva de un delito.</w:t>
      </w:r>
    </w:p>
    <w:p w14:paraId="61F23CB5" w14:textId="7A9B46C7" w:rsidR="00D90277" w:rsidRPr="00320619" w:rsidRDefault="00D90277" w:rsidP="00320619">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320619">
        <w:rPr>
          <w:rFonts w:ascii="Palatino Linotype" w:hAnsi="Palatino Linotype"/>
          <w:i/>
        </w:rPr>
        <w:t>1.2. Artículo 5.1 (Derecho a la integridad personal)</w:t>
      </w:r>
    </w:p>
    <w:p w14:paraId="2BE65963" w14:textId="77777777" w:rsidR="00320619" w:rsidRPr="00320619" w:rsidRDefault="00D90277" w:rsidP="00320619">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320619">
        <w:rPr>
          <w:rFonts w:ascii="Palatino Linotype" w:hAnsi="Palatino Linotype"/>
          <w:i/>
        </w:rPr>
        <w:lastRenderedPageBreak/>
        <w:t xml:space="preserve">46. En otras oportunidades, el Tribunal ha considerado violado el derecho a la integridad psíquica y moral de algunos familiares con motivo del sufrimiento que estos han padecido a causa de las actuaciones u omisiones de las autoridades estatales. Entre los extremos a considerar en todo caso se encuentran la respuesta ofrecida por el Estado a las gestiones realizadas para obtener justicia y a la existencia de un estrecho vínculo familiar. </w:t>
      </w:r>
    </w:p>
    <w:p w14:paraId="7B108F2F" w14:textId="77777777" w:rsidR="00320619" w:rsidRPr="00320619" w:rsidRDefault="00D90277" w:rsidP="00320619">
      <w:pPr>
        <w:pStyle w:val="Prrafodelista"/>
        <w:pBdr>
          <w:top w:val="nil"/>
          <w:left w:val="nil"/>
          <w:bottom w:val="nil"/>
          <w:right w:val="nil"/>
          <w:between w:val="nil"/>
          <w:bar w:val="nil"/>
        </w:pBdr>
        <w:spacing w:after="0" w:line="360" w:lineRule="auto"/>
        <w:ind w:left="567" w:right="616"/>
        <w:jc w:val="both"/>
        <w:rPr>
          <w:rFonts w:ascii="Palatino Linotype" w:hAnsi="Palatino Linotype"/>
          <w:i/>
        </w:rPr>
      </w:pPr>
      <w:r w:rsidRPr="00320619">
        <w:rPr>
          <w:rFonts w:ascii="Palatino Linotype" w:hAnsi="Palatino Linotype"/>
          <w:i/>
        </w:rPr>
        <w:t xml:space="preserve">47. En el presente caso está probada la estrecha vinculación afectiva de Carmen Cornejo de Albán y de Bismarck Albán Sánchez con su hija para considerarlos como víctimas de hechos violatorios al artículo 5 de la Convención Americana, y en particular, la situación de Carmen Cornejo de Albán, quién se ha dedicado a la búsqueda de justicia a propósito de las circunstancias en que ocurrió la muerte de su hija. </w:t>
      </w:r>
    </w:p>
    <w:p w14:paraId="55F043D5" w14:textId="4551E8B2" w:rsidR="00D90277" w:rsidRPr="00320619" w:rsidRDefault="00D90277" w:rsidP="00320619">
      <w:pPr>
        <w:pStyle w:val="Prrafodelista"/>
        <w:pBdr>
          <w:top w:val="nil"/>
          <w:left w:val="nil"/>
          <w:bottom w:val="nil"/>
          <w:right w:val="nil"/>
          <w:between w:val="nil"/>
          <w:bar w:val="nil"/>
        </w:pBdr>
        <w:spacing w:after="0" w:line="360" w:lineRule="auto"/>
        <w:ind w:left="567" w:right="616"/>
        <w:jc w:val="both"/>
        <w:rPr>
          <w:rFonts w:ascii="Palatino Linotype" w:eastAsiaTheme="majorEastAsia" w:hAnsi="Palatino Linotype" w:cstheme="majorBidi"/>
          <w:i/>
          <w:sz w:val="24"/>
          <w:szCs w:val="24"/>
          <w:bdr w:val="nil"/>
        </w:rPr>
      </w:pPr>
      <w:r w:rsidRPr="00320619">
        <w:rPr>
          <w:rFonts w:ascii="Palatino Linotype" w:hAnsi="Palatino Linotype"/>
          <w:i/>
        </w:rPr>
        <w:t>50. (…) [L]a Corte considera que la falta de respuesta judicial para esclarecer la muerte de Laura Albán afectó la integridad personal de sus padres, Carmen Cornejo de Albán y de Bismarck Albán Sánchez, lo que hace responsable al Estado por la violación del derecho consagrado en el artículo 5.1 de la Convención, en relación con el artículo 1.1 de la misma, en perjuicio de las referidas personas.</w:t>
      </w:r>
    </w:p>
    <w:p w14:paraId="250FDB66" w14:textId="77777777" w:rsidR="00D90277" w:rsidRDefault="00D90277" w:rsidP="00D90277">
      <w:pPr>
        <w:pStyle w:val="Prrafodelista"/>
        <w:pBdr>
          <w:top w:val="nil"/>
          <w:left w:val="nil"/>
          <w:bottom w:val="nil"/>
          <w:right w:val="nil"/>
          <w:between w:val="nil"/>
          <w:bar w:val="nil"/>
        </w:pBdr>
        <w:spacing w:after="0" w:line="360" w:lineRule="auto"/>
        <w:ind w:left="0"/>
        <w:jc w:val="both"/>
        <w:rPr>
          <w:rFonts w:ascii="Palatino Linotype" w:eastAsiaTheme="majorEastAsia" w:hAnsi="Palatino Linotype" w:cstheme="majorBidi"/>
          <w:sz w:val="24"/>
          <w:szCs w:val="24"/>
          <w:bdr w:val="nil"/>
        </w:rPr>
      </w:pPr>
    </w:p>
    <w:p w14:paraId="3A660FD2" w14:textId="092004B6" w:rsidR="0049418C" w:rsidRDefault="00320619" w:rsidP="00035866">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Theme="majorEastAsia" w:hAnsi="Palatino Linotype" w:cstheme="majorBidi"/>
          <w:sz w:val="24"/>
          <w:szCs w:val="24"/>
          <w:bdr w:val="nil"/>
        </w:rPr>
      </w:pPr>
      <w:r>
        <w:rPr>
          <w:rFonts w:ascii="Palatino Linotype" w:eastAsiaTheme="majorEastAsia" w:hAnsi="Palatino Linotype" w:cstheme="majorBidi"/>
          <w:sz w:val="24"/>
          <w:szCs w:val="24"/>
          <w:bdr w:val="nil"/>
        </w:rPr>
        <w:t xml:space="preserve">En el mismo sentido se encuentra el caso </w:t>
      </w:r>
      <w:r w:rsidRPr="00443B50">
        <w:rPr>
          <w:rFonts w:ascii="Palatino Linotype" w:eastAsiaTheme="majorEastAsia" w:hAnsi="Palatino Linotype" w:cstheme="majorBidi"/>
          <w:b/>
          <w:sz w:val="24"/>
          <w:szCs w:val="24"/>
          <w:bdr w:val="nil"/>
        </w:rPr>
        <w:t>Gonzales Lluy y otros Vs Ecuador septiembre 2015</w:t>
      </w:r>
      <w:r>
        <w:rPr>
          <w:rFonts w:ascii="Palatino Linotype" w:eastAsiaTheme="majorEastAsia" w:hAnsi="Palatino Linotype" w:cstheme="majorBidi"/>
          <w:sz w:val="24"/>
          <w:szCs w:val="24"/>
          <w:bdr w:val="nil"/>
        </w:rPr>
        <w:t xml:space="preserve">, en la que se determinó la interferencia al derecho a la vida y a la integridad personal, este caso resulta relevante, ya que los hechos sucedieron en un hospital privado, determinándose que, al tratarse del de un bien público (la salud) la protección está a cargo de los Estaos y tienen el deber de prevenir que terceros interfieran indebidamente en el goce de los derechos a la vida y a la integridad </w:t>
      </w:r>
      <w:r>
        <w:rPr>
          <w:rFonts w:ascii="Palatino Linotype" w:eastAsiaTheme="majorEastAsia" w:hAnsi="Palatino Linotype" w:cstheme="majorBidi"/>
          <w:sz w:val="24"/>
          <w:szCs w:val="24"/>
          <w:bdr w:val="nil"/>
        </w:rPr>
        <w:lastRenderedPageBreak/>
        <w:t xml:space="preserve">personal, </w:t>
      </w:r>
      <w:r>
        <w:rPr>
          <w:rFonts w:ascii="Palatino Linotype" w:eastAsiaTheme="majorEastAsia" w:hAnsi="Palatino Linotype" w:cstheme="majorBidi"/>
          <w:b/>
          <w:sz w:val="24"/>
          <w:szCs w:val="24"/>
          <w:bdr w:val="nil"/>
        </w:rPr>
        <w:t>particularmente vulnerables cuando una persona se encuentra bajo tratamiento de salud.</w:t>
      </w:r>
    </w:p>
    <w:p w14:paraId="7879BCA8" w14:textId="77777777" w:rsidR="0049418C" w:rsidRDefault="0049418C" w:rsidP="00320619">
      <w:pPr>
        <w:pStyle w:val="Prrafodelista"/>
        <w:pBdr>
          <w:top w:val="nil"/>
          <w:left w:val="nil"/>
          <w:bottom w:val="nil"/>
          <w:right w:val="nil"/>
          <w:between w:val="nil"/>
          <w:bar w:val="nil"/>
        </w:pBdr>
        <w:spacing w:after="0" w:line="360" w:lineRule="auto"/>
        <w:ind w:left="0"/>
        <w:jc w:val="both"/>
        <w:rPr>
          <w:rFonts w:ascii="Palatino Linotype" w:eastAsiaTheme="majorEastAsia" w:hAnsi="Palatino Linotype" w:cstheme="majorBidi"/>
          <w:sz w:val="24"/>
          <w:szCs w:val="24"/>
          <w:bdr w:val="nil"/>
        </w:rPr>
      </w:pPr>
    </w:p>
    <w:p w14:paraId="71478345" w14:textId="3F06B417" w:rsidR="0049418C" w:rsidRDefault="002D4A4A" w:rsidP="00035866">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Theme="majorEastAsia" w:hAnsi="Palatino Linotype" w:cstheme="majorBidi"/>
          <w:sz w:val="24"/>
          <w:szCs w:val="24"/>
          <w:bdr w:val="nil"/>
        </w:rPr>
      </w:pPr>
      <w:r>
        <w:rPr>
          <w:rFonts w:ascii="Palatino Linotype" w:eastAsiaTheme="majorEastAsia" w:hAnsi="Palatino Linotype" w:cstheme="majorBidi"/>
          <w:sz w:val="24"/>
          <w:szCs w:val="24"/>
          <w:bdr w:val="nil"/>
        </w:rPr>
        <w:t>En consecuencia, al tratarse de negligencia médica o mala praxis médica, deben considerarse también las violaciones graves a derechos humanos por interferir en el derecho a la vida y a la integridad personal contemplados en la Convención Americana sobre Derechos Humanos, se inserta contenido:</w:t>
      </w:r>
    </w:p>
    <w:p w14:paraId="185BCF7B" w14:textId="77777777" w:rsidR="002D4A4A" w:rsidRPr="002D4A4A" w:rsidRDefault="002D4A4A" w:rsidP="002D4A4A">
      <w:pPr>
        <w:pStyle w:val="Prrafodelista"/>
        <w:rPr>
          <w:rFonts w:ascii="Palatino Linotype" w:eastAsiaTheme="majorEastAsia" w:hAnsi="Palatino Linotype" w:cstheme="majorBidi"/>
          <w:sz w:val="24"/>
          <w:szCs w:val="24"/>
          <w:bdr w:val="nil"/>
        </w:rPr>
      </w:pPr>
    </w:p>
    <w:p w14:paraId="0B31EC4C" w14:textId="77777777" w:rsidR="002D4A4A" w:rsidRPr="002D4A4A" w:rsidRDefault="002D4A4A" w:rsidP="00212142">
      <w:pPr>
        <w:spacing w:before="100" w:beforeAutospacing="1" w:after="100" w:afterAutospacing="1" w:line="360" w:lineRule="auto"/>
        <w:ind w:left="567" w:right="616"/>
        <w:jc w:val="center"/>
        <w:rPr>
          <w:rFonts w:ascii="Palatino Linotype" w:eastAsia="Times New Roman" w:hAnsi="Palatino Linotype" w:cs="Times New Roman"/>
          <w:i/>
          <w:color w:val="000000"/>
          <w:sz w:val="28"/>
          <w:szCs w:val="27"/>
          <w:lang w:eastAsia="es-MX"/>
        </w:rPr>
      </w:pPr>
      <w:r w:rsidRPr="002D4A4A">
        <w:rPr>
          <w:rFonts w:ascii="Palatino Linotype" w:eastAsia="Times New Roman" w:hAnsi="Palatino Linotype" w:cs="Times New Roman"/>
          <w:b/>
          <w:bCs/>
          <w:i/>
          <w:color w:val="000000"/>
          <w:spacing w:val="-3"/>
          <w:szCs w:val="20"/>
          <w:lang w:val="es-ES_tradnl" w:eastAsia="es-MX"/>
        </w:rPr>
        <w:t>CAPÍTULO II</w:t>
      </w:r>
    </w:p>
    <w:p w14:paraId="1542E73E" w14:textId="77777777" w:rsidR="002D4A4A" w:rsidRPr="002D4A4A" w:rsidRDefault="002D4A4A" w:rsidP="00212142">
      <w:pPr>
        <w:spacing w:before="100" w:beforeAutospacing="1" w:after="100" w:afterAutospacing="1" w:line="360" w:lineRule="auto"/>
        <w:ind w:left="567" w:right="616"/>
        <w:jc w:val="center"/>
        <w:rPr>
          <w:rFonts w:ascii="Palatino Linotype" w:eastAsia="Times New Roman" w:hAnsi="Palatino Linotype" w:cs="Times New Roman"/>
          <w:i/>
          <w:color w:val="000000"/>
          <w:sz w:val="28"/>
          <w:szCs w:val="27"/>
          <w:lang w:eastAsia="es-MX"/>
        </w:rPr>
      </w:pPr>
      <w:r w:rsidRPr="002D4A4A">
        <w:rPr>
          <w:rFonts w:ascii="Palatino Linotype" w:eastAsia="Times New Roman" w:hAnsi="Palatino Linotype" w:cs="Times New Roman"/>
          <w:b/>
          <w:bCs/>
          <w:i/>
          <w:color w:val="000000"/>
          <w:spacing w:val="-3"/>
          <w:szCs w:val="20"/>
          <w:lang w:val="es-ES_tradnl" w:eastAsia="es-MX"/>
        </w:rPr>
        <w:t>DERECHOS CIVILES Y POLÍTICOS</w:t>
      </w:r>
    </w:p>
    <w:p w14:paraId="6FB6D192" w14:textId="77777777" w:rsidR="002D4A4A" w:rsidRPr="002D4A4A" w:rsidRDefault="002D4A4A" w:rsidP="00212142">
      <w:pPr>
        <w:spacing w:before="100" w:beforeAutospacing="1" w:after="100" w:afterAutospacing="1" w:line="360" w:lineRule="auto"/>
        <w:ind w:left="567" w:right="616"/>
        <w:rPr>
          <w:rFonts w:ascii="Palatino Linotype" w:eastAsia="Times New Roman" w:hAnsi="Palatino Linotype" w:cs="Times New Roman"/>
          <w:i/>
          <w:color w:val="000000"/>
          <w:sz w:val="28"/>
          <w:szCs w:val="27"/>
          <w:lang w:eastAsia="es-MX"/>
        </w:rPr>
      </w:pPr>
      <w:r w:rsidRPr="002D4A4A">
        <w:rPr>
          <w:rFonts w:ascii="Palatino Linotype" w:eastAsia="Times New Roman" w:hAnsi="Palatino Linotype" w:cs="Times New Roman"/>
          <w:b/>
          <w:bCs/>
          <w:i/>
          <w:color w:val="000000"/>
          <w:szCs w:val="20"/>
          <w:u w:val="single"/>
          <w:lang w:eastAsia="es-MX"/>
        </w:rPr>
        <w:t>Artículo 4.  Derecho a la Vida</w:t>
      </w:r>
    </w:p>
    <w:p w14:paraId="5392CBEB" w14:textId="77777777" w:rsidR="002D4A4A" w:rsidRPr="002D4A4A" w:rsidRDefault="002D4A4A" w:rsidP="002D4A4A">
      <w:pPr>
        <w:spacing w:before="100" w:beforeAutospacing="1" w:after="100" w:afterAutospacing="1" w:line="360" w:lineRule="auto"/>
        <w:ind w:left="709" w:right="616" w:hanging="709"/>
        <w:jc w:val="both"/>
        <w:rPr>
          <w:rFonts w:ascii="Palatino Linotype" w:eastAsia="Times New Roman" w:hAnsi="Palatino Linotype" w:cs="Times New Roman"/>
          <w:i/>
          <w:color w:val="000000"/>
          <w:sz w:val="28"/>
          <w:szCs w:val="27"/>
          <w:lang w:eastAsia="es-MX"/>
        </w:rPr>
      </w:pPr>
      <w:r w:rsidRPr="002D4A4A">
        <w:rPr>
          <w:rFonts w:ascii="Palatino Linotype" w:eastAsia="Times New Roman" w:hAnsi="Palatino Linotype" w:cs="Times New Roman"/>
          <w:i/>
          <w:color w:val="000000"/>
          <w:szCs w:val="20"/>
          <w:lang w:eastAsia="es-MX"/>
        </w:rPr>
        <w:t>       1.    Toda persona tiene derecho a que se respete su vida.  Este derecho estará protegido por la ley y, en general, a partir del momento de la concepción.  Nadie puede ser privado de la vida arbitrariamente.</w:t>
      </w:r>
    </w:p>
    <w:p w14:paraId="41A5D634" w14:textId="77777777" w:rsidR="002D4A4A" w:rsidRPr="002D4A4A" w:rsidRDefault="002D4A4A" w:rsidP="002D4A4A">
      <w:pPr>
        <w:spacing w:before="100" w:beforeAutospacing="1" w:after="100" w:afterAutospacing="1" w:line="360" w:lineRule="auto"/>
        <w:ind w:left="709" w:right="616" w:hanging="709"/>
        <w:jc w:val="both"/>
        <w:rPr>
          <w:rFonts w:ascii="Palatino Linotype" w:eastAsia="Times New Roman" w:hAnsi="Palatino Linotype" w:cs="Times New Roman"/>
          <w:i/>
          <w:color w:val="000000"/>
          <w:sz w:val="28"/>
          <w:szCs w:val="27"/>
          <w:lang w:eastAsia="es-MX"/>
        </w:rPr>
      </w:pPr>
      <w:r w:rsidRPr="002D4A4A">
        <w:rPr>
          <w:rFonts w:ascii="Palatino Linotype" w:eastAsia="Times New Roman" w:hAnsi="Palatino Linotype" w:cs="Times New Roman"/>
          <w:i/>
          <w:color w:val="000000"/>
          <w:szCs w:val="20"/>
          <w:lang w:eastAsia="es-MX"/>
        </w:rPr>
        <w:t>       2.    En los países que no han abolido la pena de muerte, ésta sólo podrá imponerse por los delitos más graves, en cumplimiento de sentencia ejecutoriada de tribunal competente y de conformidad con una ley que establezca tal pena, dictada con anterioridad a la comisión del delito.  Tampoco se extenderá su aplicación a delitos a los cuales no se la aplique actualmente.</w:t>
      </w:r>
    </w:p>
    <w:p w14:paraId="12176EF2" w14:textId="77777777" w:rsidR="002D4A4A" w:rsidRPr="002D4A4A" w:rsidRDefault="002D4A4A" w:rsidP="002D4A4A">
      <w:pPr>
        <w:spacing w:before="100" w:beforeAutospacing="1" w:after="100" w:afterAutospacing="1" w:line="360" w:lineRule="auto"/>
        <w:ind w:left="709" w:right="616" w:hanging="709"/>
        <w:jc w:val="both"/>
        <w:rPr>
          <w:rFonts w:ascii="Palatino Linotype" w:eastAsia="Times New Roman" w:hAnsi="Palatino Linotype" w:cs="Times New Roman"/>
          <w:i/>
          <w:color w:val="000000"/>
          <w:sz w:val="28"/>
          <w:szCs w:val="27"/>
          <w:lang w:eastAsia="es-MX"/>
        </w:rPr>
      </w:pPr>
      <w:r w:rsidRPr="002D4A4A">
        <w:rPr>
          <w:rFonts w:ascii="Palatino Linotype" w:eastAsia="Times New Roman" w:hAnsi="Palatino Linotype" w:cs="Times New Roman"/>
          <w:i/>
          <w:color w:val="000000"/>
          <w:szCs w:val="20"/>
          <w:lang w:eastAsia="es-MX"/>
        </w:rPr>
        <w:lastRenderedPageBreak/>
        <w:t>       3.    No se restablecerá la pena de muerte en los Estados que la han abolido.</w:t>
      </w:r>
    </w:p>
    <w:p w14:paraId="2807FC87" w14:textId="77777777" w:rsidR="002D4A4A" w:rsidRPr="002D4A4A" w:rsidRDefault="002D4A4A" w:rsidP="002D4A4A">
      <w:pPr>
        <w:spacing w:before="100" w:beforeAutospacing="1" w:after="100" w:afterAutospacing="1" w:line="360" w:lineRule="auto"/>
        <w:ind w:left="709" w:right="616" w:hanging="709"/>
        <w:jc w:val="both"/>
        <w:rPr>
          <w:rFonts w:ascii="Palatino Linotype" w:eastAsia="Times New Roman" w:hAnsi="Palatino Linotype" w:cs="Times New Roman"/>
          <w:i/>
          <w:color w:val="000000"/>
          <w:sz w:val="28"/>
          <w:szCs w:val="27"/>
          <w:lang w:eastAsia="es-MX"/>
        </w:rPr>
      </w:pPr>
      <w:r w:rsidRPr="002D4A4A">
        <w:rPr>
          <w:rFonts w:ascii="Palatino Linotype" w:eastAsia="Times New Roman" w:hAnsi="Palatino Linotype" w:cs="Times New Roman"/>
          <w:i/>
          <w:color w:val="000000"/>
          <w:szCs w:val="20"/>
          <w:lang w:eastAsia="es-MX"/>
        </w:rPr>
        <w:t>      4.    En ningún caso se puede aplicar la pena de muerte por delitos políticos ni comunes conexos con los políticos.</w:t>
      </w:r>
    </w:p>
    <w:p w14:paraId="556F8CE0" w14:textId="77777777" w:rsidR="002D4A4A" w:rsidRPr="002D4A4A" w:rsidRDefault="002D4A4A" w:rsidP="002D4A4A">
      <w:pPr>
        <w:spacing w:before="100" w:beforeAutospacing="1" w:after="100" w:afterAutospacing="1" w:line="360" w:lineRule="auto"/>
        <w:ind w:left="709" w:right="616" w:hanging="709"/>
        <w:jc w:val="both"/>
        <w:rPr>
          <w:rFonts w:ascii="Palatino Linotype" w:eastAsia="Times New Roman" w:hAnsi="Palatino Linotype" w:cs="Times New Roman"/>
          <w:i/>
          <w:color w:val="000000"/>
          <w:sz w:val="28"/>
          <w:szCs w:val="27"/>
          <w:lang w:eastAsia="es-MX"/>
        </w:rPr>
      </w:pPr>
      <w:r w:rsidRPr="002D4A4A">
        <w:rPr>
          <w:rFonts w:ascii="Palatino Linotype" w:eastAsia="Times New Roman" w:hAnsi="Palatino Linotype" w:cs="Times New Roman"/>
          <w:i/>
          <w:color w:val="000000"/>
          <w:szCs w:val="20"/>
          <w:lang w:eastAsia="es-MX"/>
        </w:rPr>
        <w:t xml:space="preserve">       5.    No se impondrá la pena de muerte a personas que, en el momento de la comisión del delito, tuvieren menos de dieciocho años de edad o más de setenta, ni se </w:t>
      </w:r>
      <w:proofErr w:type="gramStart"/>
      <w:r w:rsidRPr="002D4A4A">
        <w:rPr>
          <w:rFonts w:ascii="Palatino Linotype" w:eastAsia="Times New Roman" w:hAnsi="Palatino Linotype" w:cs="Times New Roman"/>
          <w:i/>
          <w:color w:val="000000"/>
          <w:szCs w:val="20"/>
          <w:lang w:eastAsia="es-MX"/>
        </w:rPr>
        <w:t>le</w:t>
      </w:r>
      <w:proofErr w:type="gramEnd"/>
      <w:r w:rsidRPr="002D4A4A">
        <w:rPr>
          <w:rFonts w:ascii="Palatino Linotype" w:eastAsia="Times New Roman" w:hAnsi="Palatino Linotype" w:cs="Times New Roman"/>
          <w:i/>
          <w:color w:val="000000"/>
          <w:szCs w:val="20"/>
          <w:lang w:eastAsia="es-MX"/>
        </w:rPr>
        <w:t xml:space="preserve"> aplicará a las mujeres en estado de gravidez.</w:t>
      </w:r>
    </w:p>
    <w:p w14:paraId="337C524E" w14:textId="77777777" w:rsidR="002D4A4A" w:rsidRPr="002D4A4A" w:rsidRDefault="002D4A4A" w:rsidP="002D4A4A">
      <w:pPr>
        <w:spacing w:before="100" w:beforeAutospacing="1" w:after="100" w:afterAutospacing="1" w:line="360" w:lineRule="auto"/>
        <w:ind w:left="709" w:right="616" w:hanging="709"/>
        <w:jc w:val="both"/>
        <w:rPr>
          <w:rFonts w:ascii="Palatino Linotype" w:eastAsia="Times New Roman" w:hAnsi="Palatino Linotype" w:cs="Times New Roman"/>
          <w:i/>
          <w:color w:val="000000"/>
          <w:sz w:val="28"/>
          <w:szCs w:val="27"/>
          <w:lang w:eastAsia="es-MX"/>
        </w:rPr>
      </w:pPr>
      <w:r w:rsidRPr="002D4A4A">
        <w:rPr>
          <w:rFonts w:ascii="Palatino Linotype" w:eastAsia="Times New Roman" w:hAnsi="Palatino Linotype" w:cs="Times New Roman"/>
          <w:i/>
          <w:color w:val="000000"/>
          <w:szCs w:val="20"/>
          <w:lang w:eastAsia="es-MX"/>
        </w:rPr>
        <w:t>       6.    Toda persona condenada a muerte tiene derecho a solicitar la amnistía, el indulto o la conmutación de la pena, los cuales podrán ser concedidos en todos los casos.  No se puede aplicar la pena de muerte mientras la solicitud esté pendiente de decisión ante autoridad competente.</w:t>
      </w:r>
    </w:p>
    <w:p w14:paraId="436E4783" w14:textId="77777777" w:rsidR="002D4A4A" w:rsidRPr="002D4A4A" w:rsidRDefault="002D4A4A" w:rsidP="002D4A4A">
      <w:pPr>
        <w:spacing w:before="100" w:beforeAutospacing="1" w:after="100" w:afterAutospacing="1" w:line="360" w:lineRule="auto"/>
        <w:ind w:left="567" w:right="616"/>
        <w:jc w:val="both"/>
        <w:rPr>
          <w:rFonts w:ascii="Palatino Linotype" w:eastAsia="Times New Roman" w:hAnsi="Palatino Linotype" w:cs="Times New Roman"/>
          <w:i/>
          <w:color w:val="000000"/>
          <w:sz w:val="28"/>
          <w:szCs w:val="27"/>
          <w:lang w:eastAsia="es-MX"/>
        </w:rPr>
      </w:pPr>
      <w:r w:rsidRPr="002D4A4A">
        <w:rPr>
          <w:rFonts w:ascii="Palatino Linotype" w:eastAsia="Times New Roman" w:hAnsi="Palatino Linotype" w:cs="Times New Roman"/>
          <w:b/>
          <w:bCs/>
          <w:i/>
          <w:color w:val="000000"/>
          <w:szCs w:val="20"/>
          <w:u w:val="single"/>
          <w:lang w:eastAsia="es-MX"/>
        </w:rPr>
        <w:t>Artículo 5.  Derecho a la Integridad Personal</w:t>
      </w:r>
    </w:p>
    <w:p w14:paraId="78BA49DF" w14:textId="77777777" w:rsidR="002D4A4A" w:rsidRPr="002D4A4A" w:rsidRDefault="002D4A4A" w:rsidP="005D265C">
      <w:pPr>
        <w:tabs>
          <w:tab w:val="left" w:pos="851"/>
          <w:tab w:val="left" w:pos="993"/>
        </w:tabs>
        <w:spacing w:before="100" w:beforeAutospacing="1" w:after="100" w:afterAutospacing="1" w:line="360" w:lineRule="auto"/>
        <w:ind w:left="993" w:right="616" w:hanging="709"/>
        <w:jc w:val="both"/>
        <w:rPr>
          <w:rFonts w:ascii="Palatino Linotype" w:eastAsia="Times New Roman" w:hAnsi="Palatino Linotype" w:cs="Times New Roman"/>
          <w:i/>
          <w:color w:val="000000"/>
          <w:sz w:val="28"/>
          <w:szCs w:val="27"/>
          <w:lang w:eastAsia="es-MX"/>
        </w:rPr>
      </w:pPr>
      <w:r w:rsidRPr="002D4A4A">
        <w:rPr>
          <w:rFonts w:ascii="Palatino Linotype" w:eastAsia="Times New Roman" w:hAnsi="Palatino Linotype" w:cs="Times New Roman"/>
          <w:i/>
          <w:color w:val="000000"/>
          <w:szCs w:val="20"/>
          <w:lang w:eastAsia="es-MX"/>
        </w:rPr>
        <w:t>       1.    Toda persona tiene derecho a que se respete su integridad física, psíquica y moral.</w:t>
      </w:r>
    </w:p>
    <w:p w14:paraId="1DB0F5B0" w14:textId="77777777" w:rsidR="002D4A4A" w:rsidRPr="002D4A4A" w:rsidRDefault="002D4A4A" w:rsidP="005D265C">
      <w:pPr>
        <w:tabs>
          <w:tab w:val="left" w:pos="851"/>
          <w:tab w:val="left" w:pos="993"/>
        </w:tabs>
        <w:spacing w:before="100" w:beforeAutospacing="1" w:after="100" w:afterAutospacing="1" w:line="360" w:lineRule="auto"/>
        <w:ind w:left="993" w:right="616" w:hanging="709"/>
        <w:jc w:val="both"/>
        <w:rPr>
          <w:rFonts w:ascii="Palatino Linotype" w:eastAsia="Times New Roman" w:hAnsi="Palatino Linotype" w:cs="Times New Roman"/>
          <w:i/>
          <w:color w:val="000000"/>
          <w:sz w:val="28"/>
          <w:szCs w:val="27"/>
          <w:lang w:eastAsia="es-MX"/>
        </w:rPr>
      </w:pPr>
      <w:r w:rsidRPr="002D4A4A">
        <w:rPr>
          <w:rFonts w:ascii="Palatino Linotype" w:eastAsia="Times New Roman" w:hAnsi="Palatino Linotype" w:cs="Times New Roman"/>
          <w:i/>
          <w:color w:val="000000"/>
          <w:szCs w:val="20"/>
          <w:lang w:eastAsia="es-MX"/>
        </w:rPr>
        <w:t>      2.    Nadie debe ser sometido a torturas ni a penas o tratos crueles, inhumanos o degradantes.  Toda persona privada de libertad será tratada con el respeto debido a la dignidad inherente al ser humano.</w:t>
      </w:r>
    </w:p>
    <w:p w14:paraId="28CE1637" w14:textId="77777777" w:rsidR="002D4A4A" w:rsidRPr="002D4A4A" w:rsidRDefault="002D4A4A" w:rsidP="005D265C">
      <w:pPr>
        <w:tabs>
          <w:tab w:val="left" w:pos="851"/>
          <w:tab w:val="left" w:pos="993"/>
        </w:tabs>
        <w:spacing w:before="100" w:beforeAutospacing="1" w:after="100" w:afterAutospacing="1" w:line="360" w:lineRule="auto"/>
        <w:ind w:left="993" w:right="616" w:hanging="709"/>
        <w:jc w:val="both"/>
        <w:rPr>
          <w:rFonts w:ascii="Palatino Linotype" w:eastAsia="Times New Roman" w:hAnsi="Palatino Linotype" w:cs="Times New Roman"/>
          <w:i/>
          <w:color w:val="000000"/>
          <w:sz w:val="28"/>
          <w:szCs w:val="27"/>
          <w:lang w:eastAsia="es-MX"/>
        </w:rPr>
      </w:pPr>
      <w:r w:rsidRPr="002D4A4A">
        <w:rPr>
          <w:rFonts w:ascii="Palatino Linotype" w:eastAsia="Times New Roman" w:hAnsi="Palatino Linotype" w:cs="Times New Roman"/>
          <w:i/>
          <w:color w:val="000000"/>
          <w:szCs w:val="20"/>
          <w:lang w:eastAsia="es-MX"/>
        </w:rPr>
        <w:t>       3.    La pena no puede trascender de la persona del delincuente.</w:t>
      </w:r>
    </w:p>
    <w:p w14:paraId="0536F514" w14:textId="77777777" w:rsidR="002D4A4A" w:rsidRPr="002D4A4A" w:rsidRDefault="002D4A4A" w:rsidP="005D265C">
      <w:pPr>
        <w:tabs>
          <w:tab w:val="left" w:pos="851"/>
          <w:tab w:val="left" w:pos="993"/>
        </w:tabs>
        <w:spacing w:before="100" w:beforeAutospacing="1" w:after="100" w:afterAutospacing="1" w:line="360" w:lineRule="auto"/>
        <w:ind w:left="993" w:right="616" w:hanging="709"/>
        <w:jc w:val="both"/>
        <w:rPr>
          <w:rFonts w:ascii="Palatino Linotype" w:eastAsia="Times New Roman" w:hAnsi="Palatino Linotype" w:cs="Times New Roman"/>
          <w:i/>
          <w:color w:val="000000"/>
          <w:sz w:val="28"/>
          <w:szCs w:val="27"/>
          <w:lang w:eastAsia="es-MX"/>
        </w:rPr>
      </w:pPr>
      <w:r w:rsidRPr="002D4A4A">
        <w:rPr>
          <w:rFonts w:ascii="Palatino Linotype" w:eastAsia="Times New Roman" w:hAnsi="Palatino Linotype" w:cs="Times New Roman"/>
          <w:i/>
          <w:color w:val="000000"/>
          <w:szCs w:val="20"/>
          <w:lang w:eastAsia="es-MX"/>
        </w:rPr>
        <w:lastRenderedPageBreak/>
        <w:t>       4.    Los procesados deben estar separados de los condenados, salvo en circunstancias excepcionales, y serán sometidos a un tratamiento adecuado a su condición de personas no condenadas.</w:t>
      </w:r>
    </w:p>
    <w:p w14:paraId="2864C37A" w14:textId="77777777" w:rsidR="002D4A4A" w:rsidRPr="002D4A4A" w:rsidRDefault="002D4A4A" w:rsidP="005D265C">
      <w:pPr>
        <w:tabs>
          <w:tab w:val="left" w:pos="851"/>
          <w:tab w:val="left" w:pos="993"/>
        </w:tabs>
        <w:spacing w:before="100" w:beforeAutospacing="1" w:after="100" w:afterAutospacing="1" w:line="360" w:lineRule="auto"/>
        <w:ind w:left="993" w:right="616" w:hanging="709"/>
        <w:jc w:val="both"/>
        <w:rPr>
          <w:rFonts w:ascii="Palatino Linotype" w:eastAsia="Times New Roman" w:hAnsi="Palatino Linotype" w:cs="Times New Roman"/>
          <w:i/>
          <w:color w:val="000000"/>
          <w:sz w:val="28"/>
          <w:szCs w:val="27"/>
          <w:lang w:eastAsia="es-MX"/>
        </w:rPr>
      </w:pPr>
      <w:r w:rsidRPr="002D4A4A">
        <w:rPr>
          <w:rFonts w:ascii="Palatino Linotype" w:eastAsia="Times New Roman" w:hAnsi="Palatino Linotype" w:cs="Times New Roman"/>
          <w:i/>
          <w:color w:val="000000"/>
          <w:szCs w:val="20"/>
          <w:lang w:eastAsia="es-MX"/>
        </w:rPr>
        <w:t>       5.       Cuando los menores puedan ser procesados, deben ser separados de los adultos y llevados ante tribunales especializados, con la mayor celeridad posible, para su tratamiento.</w:t>
      </w:r>
    </w:p>
    <w:p w14:paraId="3CABF68A" w14:textId="77777777" w:rsidR="002D4A4A" w:rsidRPr="002D4A4A" w:rsidRDefault="002D4A4A" w:rsidP="005D265C">
      <w:pPr>
        <w:tabs>
          <w:tab w:val="left" w:pos="851"/>
          <w:tab w:val="left" w:pos="993"/>
        </w:tabs>
        <w:spacing w:before="100" w:beforeAutospacing="1" w:after="100" w:afterAutospacing="1" w:line="360" w:lineRule="auto"/>
        <w:ind w:left="993" w:right="616" w:hanging="709"/>
        <w:jc w:val="both"/>
        <w:rPr>
          <w:rFonts w:ascii="Palatino Linotype" w:eastAsia="Times New Roman" w:hAnsi="Palatino Linotype" w:cs="Times New Roman"/>
          <w:i/>
          <w:color w:val="000000"/>
          <w:sz w:val="28"/>
          <w:szCs w:val="27"/>
          <w:lang w:eastAsia="es-MX"/>
        </w:rPr>
      </w:pPr>
      <w:r w:rsidRPr="002D4A4A">
        <w:rPr>
          <w:rFonts w:ascii="Palatino Linotype" w:eastAsia="Times New Roman" w:hAnsi="Palatino Linotype" w:cs="Times New Roman"/>
          <w:i/>
          <w:color w:val="000000"/>
          <w:szCs w:val="20"/>
          <w:lang w:eastAsia="es-MX"/>
        </w:rPr>
        <w:t>       6.    Las penas privativas de la libertad tendrán como finalidad esencial la reforma y la readaptación social de los condenados.</w:t>
      </w:r>
    </w:p>
    <w:p w14:paraId="5F83F336" w14:textId="2C4B022A" w:rsidR="0049418C" w:rsidRDefault="00212142" w:rsidP="00035866">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Theme="majorEastAsia" w:hAnsi="Palatino Linotype" w:cstheme="majorBidi"/>
          <w:sz w:val="24"/>
          <w:szCs w:val="24"/>
          <w:bdr w:val="nil"/>
        </w:rPr>
      </w:pPr>
      <w:r>
        <w:rPr>
          <w:rFonts w:ascii="Palatino Linotype" w:eastAsiaTheme="majorEastAsia" w:hAnsi="Palatino Linotype" w:cstheme="majorBidi"/>
          <w:sz w:val="24"/>
          <w:szCs w:val="24"/>
          <w:bdr w:val="nil"/>
        </w:rPr>
        <w:t>En consecuencia, la negligencia médica puede entenderse como el acto u omisión del personal médico del cual se deriva una lesión o muerte de un paciente. Puede atribuirse como un descuido o a la ejecución errónea de la praxis médica, a manera de ejemplos de mala praxis son los siguientes:</w:t>
      </w:r>
    </w:p>
    <w:p w14:paraId="549EC698" w14:textId="77777777" w:rsidR="00212142" w:rsidRDefault="00212142" w:rsidP="00212142">
      <w:pPr>
        <w:pStyle w:val="Prrafodelista"/>
        <w:pBdr>
          <w:top w:val="nil"/>
          <w:left w:val="nil"/>
          <w:bottom w:val="nil"/>
          <w:right w:val="nil"/>
          <w:between w:val="nil"/>
          <w:bar w:val="nil"/>
        </w:pBdr>
        <w:spacing w:after="0" w:line="360" w:lineRule="auto"/>
        <w:ind w:left="0"/>
        <w:jc w:val="both"/>
        <w:rPr>
          <w:rFonts w:ascii="Palatino Linotype" w:eastAsiaTheme="majorEastAsia" w:hAnsi="Palatino Linotype" w:cstheme="majorBidi"/>
          <w:sz w:val="24"/>
          <w:szCs w:val="24"/>
          <w:bdr w:val="nil"/>
        </w:rPr>
      </w:pPr>
    </w:p>
    <w:p w14:paraId="5D5689FB" w14:textId="77777777" w:rsidR="00212142" w:rsidRPr="00212142" w:rsidRDefault="00212142" w:rsidP="00414AC0">
      <w:pPr>
        <w:numPr>
          <w:ilvl w:val="0"/>
          <w:numId w:val="38"/>
        </w:numPr>
        <w:spacing w:before="120" w:after="0" w:line="420" w:lineRule="atLeast"/>
        <w:ind w:left="567" w:right="616"/>
        <w:jc w:val="both"/>
        <w:rPr>
          <w:rFonts w:ascii="Palatino Linotype" w:eastAsia="Times New Roman" w:hAnsi="Palatino Linotype" w:cs="Arial"/>
          <w:color w:val="333333"/>
          <w:szCs w:val="24"/>
          <w:lang w:eastAsia="es-MX"/>
        </w:rPr>
      </w:pPr>
      <w:r w:rsidRPr="00212142">
        <w:rPr>
          <w:rFonts w:ascii="Palatino Linotype" w:eastAsia="Times New Roman" w:hAnsi="Palatino Linotype" w:cs="Arial"/>
          <w:szCs w:val="24"/>
          <w:lang w:eastAsia="es-MX"/>
        </w:rPr>
        <w:t>Instrumentos</w:t>
      </w:r>
      <w:r w:rsidRPr="00212142">
        <w:rPr>
          <w:rFonts w:ascii="Palatino Linotype" w:eastAsia="Times New Roman" w:hAnsi="Palatino Linotype" w:cs="Arial"/>
          <w:color w:val="333333"/>
          <w:szCs w:val="24"/>
          <w:lang w:eastAsia="es-MX"/>
        </w:rPr>
        <w:t xml:space="preserve"> de cirugía que</w:t>
      </w:r>
      <w:r w:rsidRPr="00414AC0">
        <w:rPr>
          <w:rFonts w:ascii="Palatino Linotype" w:eastAsia="Times New Roman" w:hAnsi="Palatino Linotype" w:cs="Arial"/>
          <w:b/>
          <w:bCs/>
          <w:color w:val="333333"/>
          <w:szCs w:val="24"/>
          <w:lang w:eastAsia="es-MX"/>
        </w:rPr>
        <w:t xml:space="preserve"> han quedado en el interior </w:t>
      </w:r>
      <w:proofErr w:type="gramStart"/>
      <w:r w:rsidRPr="00414AC0">
        <w:rPr>
          <w:rFonts w:ascii="Palatino Linotype" w:eastAsia="Times New Roman" w:hAnsi="Palatino Linotype" w:cs="Arial"/>
          <w:b/>
          <w:bCs/>
          <w:color w:val="333333"/>
          <w:szCs w:val="24"/>
          <w:lang w:eastAsia="es-MX"/>
        </w:rPr>
        <w:t>del paciente</w:t>
      </w:r>
      <w:r w:rsidRPr="00212142">
        <w:rPr>
          <w:rFonts w:ascii="Palatino Linotype" w:eastAsia="Times New Roman" w:hAnsi="Palatino Linotype" w:cs="Arial"/>
          <w:color w:val="333333"/>
          <w:szCs w:val="24"/>
          <w:lang w:eastAsia="es-MX"/>
        </w:rPr>
        <w:t> una vez terminada</w:t>
      </w:r>
      <w:proofErr w:type="gramEnd"/>
      <w:r w:rsidRPr="00212142">
        <w:rPr>
          <w:rFonts w:ascii="Palatino Linotype" w:eastAsia="Times New Roman" w:hAnsi="Palatino Linotype" w:cs="Arial"/>
          <w:color w:val="333333"/>
          <w:szCs w:val="24"/>
          <w:lang w:eastAsia="es-MX"/>
        </w:rPr>
        <w:t xml:space="preserve"> la operación.</w:t>
      </w:r>
    </w:p>
    <w:p w14:paraId="5BF851E6" w14:textId="77777777" w:rsidR="00212142" w:rsidRPr="00212142" w:rsidRDefault="00212142" w:rsidP="00414AC0">
      <w:pPr>
        <w:numPr>
          <w:ilvl w:val="0"/>
          <w:numId w:val="38"/>
        </w:numPr>
        <w:spacing w:before="120" w:after="0" w:line="420" w:lineRule="atLeast"/>
        <w:ind w:left="567" w:right="616"/>
        <w:jc w:val="both"/>
        <w:rPr>
          <w:rFonts w:ascii="Palatino Linotype" w:eastAsia="Times New Roman" w:hAnsi="Palatino Linotype" w:cs="Arial"/>
          <w:color w:val="333333"/>
          <w:szCs w:val="24"/>
          <w:lang w:eastAsia="es-MX"/>
        </w:rPr>
      </w:pPr>
      <w:r w:rsidRPr="00212142">
        <w:rPr>
          <w:rFonts w:ascii="Palatino Linotype" w:eastAsia="Times New Roman" w:hAnsi="Palatino Linotype" w:cs="Arial"/>
          <w:color w:val="333333"/>
          <w:szCs w:val="24"/>
          <w:lang w:eastAsia="es-MX"/>
        </w:rPr>
        <w:t>Administración de un </w:t>
      </w:r>
      <w:r w:rsidRPr="00414AC0">
        <w:rPr>
          <w:rFonts w:ascii="Palatino Linotype" w:eastAsia="Times New Roman" w:hAnsi="Palatino Linotype" w:cs="Arial"/>
          <w:b/>
          <w:bCs/>
          <w:color w:val="333333"/>
          <w:szCs w:val="24"/>
          <w:lang w:eastAsia="es-MX"/>
        </w:rPr>
        <w:t>medicamento que no era tolerable</w:t>
      </w:r>
      <w:r w:rsidRPr="00212142">
        <w:rPr>
          <w:rFonts w:ascii="Palatino Linotype" w:eastAsia="Times New Roman" w:hAnsi="Palatino Linotype" w:cs="Arial"/>
          <w:color w:val="333333"/>
          <w:szCs w:val="24"/>
          <w:lang w:eastAsia="es-MX"/>
        </w:rPr>
        <w:t> por parte del organismo del paciente.</w:t>
      </w:r>
    </w:p>
    <w:p w14:paraId="606ADE16" w14:textId="77777777" w:rsidR="00212142" w:rsidRPr="00212142" w:rsidRDefault="00212142" w:rsidP="00414AC0">
      <w:pPr>
        <w:numPr>
          <w:ilvl w:val="0"/>
          <w:numId w:val="38"/>
        </w:numPr>
        <w:spacing w:before="120" w:after="0" w:line="420" w:lineRule="atLeast"/>
        <w:ind w:left="567" w:right="616"/>
        <w:jc w:val="both"/>
        <w:rPr>
          <w:rFonts w:ascii="Palatino Linotype" w:eastAsia="Times New Roman" w:hAnsi="Palatino Linotype" w:cs="Arial"/>
          <w:color w:val="333333"/>
          <w:szCs w:val="24"/>
          <w:lang w:eastAsia="es-MX"/>
        </w:rPr>
      </w:pPr>
      <w:r w:rsidRPr="00414AC0">
        <w:rPr>
          <w:rFonts w:ascii="Palatino Linotype" w:eastAsia="Times New Roman" w:hAnsi="Palatino Linotype" w:cs="Arial"/>
          <w:b/>
          <w:bCs/>
          <w:color w:val="333333"/>
          <w:szCs w:val="24"/>
          <w:lang w:eastAsia="es-MX"/>
        </w:rPr>
        <w:t>Lesiones a órganos cercanos</w:t>
      </w:r>
      <w:r w:rsidRPr="00212142">
        <w:rPr>
          <w:rFonts w:ascii="Palatino Linotype" w:eastAsia="Times New Roman" w:hAnsi="Palatino Linotype" w:cs="Arial"/>
          <w:color w:val="333333"/>
          <w:szCs w:val="24"/>
          <w:lang w:eastAsia="es-MX"/>
        </w:rPr>
        <w:t> de la zona que fue sometida a una cirugía.</w:t>
      </w:r>
    </w:p>
    <w:p w14:paraId="7ED6E3A8" w14:textId="77777777" w:rsidR="00212142" w:rsidRPr="00212142" w:rsidRDefault="00212142" w:rsidP="00414AC0">
      <w:pPr>
        <w:numPr>
          <w:ilvl w:val="0"/>
          <w:numId w:val="38"/>
        </w:numPr>
        <w:spacing w:before="120" w:after="0" w:line="420" w:lineRule="atLeast"/>
        <w:ind w:left="567" w:right="616"/>
        <w:jc w:val="both"/>
        <w:rPr>
          <w:rFonts w:ascii="Palatino Linotype" w:eastAsia="Times New Roman" w:hAnsi="Palatino Linotype" w:cs="Arial"/>
          <w:color w:val="333333"/>
          <w:szCs w:val="24"/>
          <w:lang w:eastAsia="es-MX"/>
        </w:rPr>
      </w:pPr>
      <w:r w:rsidRPr="00414AC0">
        <w:rPr>
          <w:rFonts w:ascii="Palatino Linotype" w:eastAsia="Times New Roman" w:hAnsi="Palatino Linotype" w:cs="Arial"/>
          <w:b/>
          <w:bCs/>
          <w:color w:val="333333"/>
          <w:szCs w:val="24"/>
          <w:lang w:eastAsia="es-MX"/>
        </w:rPr>
        <w:t>Transfusión de sangre que no es compatible</w:t>
      </w:r>
      <w:r w:rsidRPr="00212142">
        <w:rPr>
          <w:rFonts w:ascii="Palatino Linotype" w:eastAsia="Times New Roman" w:hAnsi="Palatino Linotype" w:cs="Arial"/>
          <w:color w:val="333333"/>
          <w:szCs w:val="24"/>
          <w:lang w:eastAsia="es-MX"/>
        </w:rPr>
        <w:t> con su grupo sanguíneo.</w:t>
      </w:r>
    </w:p>
    <w:p w14:paraId="14E892EE" w14:textId="77777777" w:rsidR="00212142" w:rsidRPr="00212142" w:rsidRDefault="00212142" w:rsidP="00414AC0">
      <w:pPr>
        <w:numPr>
          <w:ilvl w:val="0"/>
          <w:numId w:val="38"/>
        </w:numPr>
        <w:spacing w:before="120" w:after="0" w:line="420" w:lineRule="atLeast"/>
        <w:ind w:left="567" w:right="616"/>
        <w:jc w:val="both"/>
        <w:rPr>
          <w:rFonts w:ascii="Palatino Linotype" w:eastAsia="Times New Roman" w:hAnsi="Palatino Linotype" w:cs="Arial"/>
          <w:color w:val="333333"/>
          <w:szCs w:val="24"/>
          <w:lang w:eastAsia="es-MX"/>
        </w:rPr>
      </w:pPr>
      <w:r w:rsidRPr="00414AC0">
        <w:rPr>
          <w:rFonts w:ascii="Palatino Linotype" w:eastAsia="Times New Roman" w:hAnsi="Palatino Linotype" w:cs="Arial"/>
          <w:b/>
          <w:bCs/>
          <w:color w:val="333333"/>
          <w:szCs w:val="24"/>
          <w:lang w:eastAsia="es-MX"/>
        </w:rPr>
        <w:lastRenderedPageBreak/>
        <w:t>Infecciones derivadas de la falta de higiene</w:t>
      </w:r>
      <w:r w:rsidRPr="00212142">
        <w:rPr>
          <w:rFonts w:ascii="Palatino Linotype" w:eastAsia="Times New Roman" w:hAnsi="Palatino Linotype" w:cs="Arial"/>
          <w:color w:val="333333"/>
          <w:szCs w:val="24"/>
          <w:lang w:eastAsia="es-MX"/>
        </w:rPr>
        <w:t> por parte del personal médico que asistió durante la cirugía.</w:t>
      </w:r>
    </w:p>
    <w:p w14:paraId="39596158" w14:textId="77777777" w:rsidR="00212142" w:rsidRPr="00212142" w:rsidRDefault="00212142" w:rsidP="00414AC0">
      <w:pPr>
        <w:numPr>
          <w:ilvl w:val="0"/>
          <w:numId w:val="38"/>
        </w:numPr>
        <w:spacing w:before="120" w:after="0" w:line="420" w:lineRule="atLeast"/>
        <w:ind w:left="567" w:right="616"/>
        <w:jc w:val="both"/>
        <w:rPr>
          <w:rFonts w:ascii="Palatino Linotype" w:eastAsia="Times New Roman" w:hAnsi="Palatino Linotype" w:cs="Arial"/>
          <w:color w:val="333333"/>
          <w:szCs w:val="24"/>
          <w:lang w:eastAsia="es-MX"/>
        </w:rPr>
      </w:pPr>
      <w:r w:rsidRPr="00212142">
        <w:rPr>
          <w:rFonts w:ascii="Palatino Linotype" w:eastAsia="Times New Roman" w:hAnsi="Palatino Linotype" w:cs="Arial"/>
          <w:color w:val="333333"/>
          <w:szCs w:val="24"/>
          <w:lang w:eastAsia="es-MX"/>
        </w:rPr>
        <w:t>Administración de sustancias que </w:t>
      </w:r>
      <w:r w:rsidRPr="00414AC0">
        <w:rPr>
          <w:rFonts w:ascii="Palatino Linotype" w:eastAsia="Times New Roman" w:hAnsi="Palatino Linotype" w:cs="Arial"/>
          <w:b/>
          <w:bCs/>
          <w:color w:val="333333"/>
          <w:szCs w:val="24"/>
          <w:lang w:eastAsia="es-MX"/>
        </w:rPr>
        <w:t>simulan ser medicamentos y engañar al paciente</w:t>
      </w:r>
      <w:r w:rsidRPr="00212142">
        <w:rPr>
          <w:rFonts w:ascii="Palatino Linotype" w:eastAsia="Times New Roman" w:hAnsi="Palatino Linotype" w:cs="Arial"/>
          <w:color w:val="333333"/>
          <w:szCs w:val="24"/>
          <w:lang w:eastAsia="es-MX"/>
        </w:rPr>
        <w:t>. Existen casos en los que el personal médico alega haber aplicado un medicamento vía intravenosa cuando solo fue suero fisiológico.</w:t>
      </w:r>
    </w:p>
    <w:p w14:paraId="6A359E0B" w14:textId="77777777" w:rsidR="00212142" w:rsidRPr="00414AC0" w:rsidRDefault="00212142" w:rsidP="00414AC0">
      <w:pPr>
        <w:pStyle w:val="Prrafodelista"/>
        <w:pBdr>
          <w:top w:val="nil"/>
          <w:left w:val="nil"/>
          <w:bottom w:val="nil"/>
          <w:right w:val="nil"/>
          <w:between w:val="nil"/>
          <w:bar w:val="nil"/>
        </w:pBdr>
        <w:spacing w:after="0" w:line="360" w:lineRule="auto"/>
        <w:ind w:left="567"/>
        <w:jc w:val="both"/>
        <w:rPr>
          <w:rFonts w:ascii="Palatino Linotype" w:eastAsiaTheme="majorEastAsia" w:hAnsi="Palatino Linotype" w:cstheme="majorBidi"/>
          <w:sz w:val="24"/>
          <w:szCs w:val="24"/>
          <w:bdr w:val="nil"/>
        </w:rPr>
      </w:pPr>
    </w:p>
    <w:p w14:paraId="531E39DE" w14:textId="497A092B" w:rsidR="00414AC0" w:rsidRPr="00414AC0" w:rsidRDefault="00414AC0" w:rsidP="00035866">
      <w:pPr>
        <w:pStyle w:val="NormalWeb"/>
        <w:numPr>
          <w:ilvl w:val="0"/>
          <w:numId w:val="9"/>
        </w:numPr>
        <w:spacing w:before="0" w:beforeAutospacing="0" w:after="420" w:afterAutospacing="0" w:line="420" w:lineRule="atLeast"/>
        <w:ind w:left="0" w:firstLine="0"/>
        <w:jc w:val="both"/>
        <w:rPr>
          <w:rFonts w:ascii="Palatino Linotype" w:hAnsi="Palatino Linotype" w:cs="Arial"/>
          <w:color w:val="333333"/>
        </w:rPr>
      </w:pPr>
      <w:r w:rsidRPr="00414AC0">
        <w:rPr>
          <w:rFonts w:ascii="Palatino Linotype" w:hAnsi="Palatino Linotype" w:cs="Arial"/>
          <w:color w:val="333333"/>
        </w:rPr>
        <w:t>La mal praxis suele catalogarse en cuatro variantes, según la acción u omisión que se haya cometido.</w:t>
      </w:r>
    </w:p>
    <w:p w14:paraId="499ED73C" w14:textId="77777777" w:rsidR="00414AC0" w:rsidRPr="00414AC0" w:rsidRDefault="00414AC0" w:rsidP="00414AC0">
      <w:pPr>
        <w:numPr>
          <w:ilvl w:val="0"/>
          <w:numId w:val="39"/>
        </w:numPr>
        <w:spacing w:before="120" w:after="0" w:line="420" w:lineRule="atLeast"/>
        <w:ind w:left="567" w:right="616"/>
        <w:jc w:val="both"/>
        <w:rPr>
          <w:rFonts w:ascii="Palatino Linotype" w:hAnsi="Palatino Linotype" w:cs="Arial"/>
          <w:color w:val="333333"/>
        </w:rPr>
      </w:pPr>
      <w:r w:rsidRPr="00414AC0">
        <w:rPr>
          <w:rStyle w:val="Textoennegrita"/>
          <w:rFonts w:ascii="Palatino Linotype" w:hAnsi="Palatino Linotype" w:cs="Arial"/>
          <w:color w:val="333333"/>
        </w:rPr>
        <w:t>Negligencia</w:t>
      </w:r>
      <w:r w:rsidRPr="00414AC0">
        <w:rPr>
          <w:rFonts w:ascii="Palatino Linotype" w:hAnsi="Palatino Linotype" w:cs="Arial"/>
          <w:color w:val="333333"/>
        </w:rPr>
        <w:t>. Falta de precauciones médicas. Se distingue por la falta de prudencia para evitar un riesgo.</w:t>
      </w:r>
    </w:p>
    <w:p w14:paraId="6DB3ED9D" w14:textId="77777777" w:rsidR="00414AC0" w:rsidRPr="00414AC0" w:rsidRDefault="00414AC0" w:rsidP="00414AC0">
      <w:pPr>
        <w:numPr>
          <w:ilvl w:val="0"/>
          <w:numId w:val="39"/>
        </w:numPr>
        <w:spacing w:before="120" w:after="0" w:line="420" w:lineRule="atLeast"/>
        <w:ind w:left="567" w:right="616"/>
        <w:jc w:val="both"/>
        <w:rPr>
          <w:rFonts w:ascii="Palatino Linotype" w:hAnsi="Palatino Linotype" w:cs="Arial"/>
          <w:color w:val="333333"/>
        </w:rPr>
      </w:pPr>
      <w:r w:rsidRPr="00414AC0">
        <w:rPr>
          <w:rStyle w:val="Textoennegrita"/>
          <w:rFonts w:ascii="Palatino Linotype" w:hAnsi="Palatino Linotype" w:cs="Arial"/>
          <w:color w:val="333333"/>
        </w:rPr>
        <w:t>Impericia</w:t>
      </w:r>
      <w:r w:rsidRPr="00414AC0">
        <w:rPr>
          <w:rFonts w:ascii="Palatino Linotype" w:hAnsi="Palatino Linotype" w:cs="Arial"/>
          <w:color w:val="333333"/>
        </w:rPr>
        <w:t>. El médico no tiene capacidad ni formación suficiente para tratar a un paciente y este sufre daños o muere.</w:t>
      </w:r>
    </w:p>
    <w:p w14:paraId="2AAF918E" w14:textId="77777777" w:rsidR="00414AC0" w:rsidRPr="00414AC0" w:rsidRDefault="00414AC0" w:rsidP="00414AC0">
      <w:pPr>
        <w:numPr>
          <w:ilvl w:val="0"/>
          <w:numId w:val="39"/>
        </w:numPr>
        <w:spacing w:before="120" w:after="0" w:line="420" w:lineRule="atLeast"/>
        <w:ind w:left="567" w:right="616"/>
        <w:jc w:val="both"/>
        <w:rPr>
          <w:rFonts w:ascii="Palatino Linotype" w:hAnsi="Palatino Linotype" w:cs="Arial"/>
          <w:color w:val="333333"/>
        </w:rPr>
      </w:pPr>
      <w:r w:rsidRPr="00414AC0">
        <w:rPr>
          <w:rStyle w:val="Textoennegrita"/>
          <w:rFonts w:ascii="Palatino Linotype" w:hAnsi="Palatino Linotype" w:cs="Arial"/>
          <w:color w:val="333333"/>
        </w:rPr>
        <w:t>Impericia temeraria</w:t>
      </w:r>
      <w:r w:rsidRPr="00414AC0">
        <w:rPr>
          <w:rFonts w:ascii="Palatino Linotype" w:hAnsi="Palatino Linotype" w:cs="Arial"/>
          <w:color w:val="333333"/>
        </w:rPr>
        <w:t>. A pesar de que el médico no domina cierta estrategia, decide realizarla.</w:t>
      </w:r>
    </w:p>
    <w:p w14:paraId="2C6FAF42" w14:textId="5EE29686" w:rsidR="00414AC0" w:rsidRPr="00414AC0" w:rsidRDefault="005D265C" w:rsidP="00414AC0">
      <w:pPr>
        <w:numPr>
          <w:ilvl w:val="0"/>
          <w:numId w:val="39"/>
        </w:numPr>
        <w:spacing w:before="120" w:after="0" w:line="420" w:lineRule="atLeast"/>
        <w:ind w:left="567" w:right="616"/>
        <w:jc w:val="both"/>
        <w:rPr>
          <w:rFonts w:ascii="Palatino Linotype" w:hAnsi="Palatino Linotype" w:cs="Arial"/>
          <w:color w:val="333333"/>
        </w:rPr>
      </w:pPr>
      <w:r>
        <w:rPr>
          <w:rFonts w:ascii="Palatino Linotype" w:hAnsi="Palatino Linotype" w:cs="Arial"/>
          <w:b/>
          <w:color w:val="333333"/>
        </w:rPr>
        <w:t xml:space="preserve">Dolo </w:t>
      </w:r>
      <w:r w:rsidR="00414AC0" w:rsidRPr="00414AC0">
        <w:rPr>
          <w:rFonts w:ascii="Palatino Linotype" w:hAnsi="Palatino Linotype" w:cs="Arial"/>
          <w:color w:val="333333"/>
        </w:rPr>
        <w:t>Acción u omisión con el propósito de causar daño.</w:t>
      </w:r>
    </w:p>
    <w:p w14:paraId="73ABE3D6" w14:textId="77777777" w:rsidR="00414AC0" w:rsidRPr="00414AC0" w:rsidRDefault="00414AC0" w:rsidP="00414AC0">
      <w:pPr>
        <w:pBdr>
          <w:top w:val="nil"/>
          <w:left w:val="nil"/>
          <w:bottom w:val="nil"/>
          <w:right w:val="nil"/>
          <w:between w:val="nil"/>
          <w:bar w:val="nil"/>
        </w:pBdr>
        <w:spacing w:after="0" w:line="360" w:lineRule="auto"/>
        <w:jc w:val="both"/>
        <w:rPr>
          <w:rFonts w:ascii="Palatino Linotype" w:eastAsiaTheme="majorEastAsia" w:hAnsi="Palatino Linotype" w:cstheme="majorBidi"/>
          <w:sz w:val="24"/>
          <w:szCs w:val="24"/>
          <w:bdr w:val="nil"/>
        </w:rPr>
      </w:pPr>
    </w:p>
    <w:p w14:paraId="7EBD26F2" w14:textId="09657D41" w:rsidR="00414AC0" w:rsidRPr="00414AC0" w:rsidRDefault="00414AC0" w:rsidP="00035866">
      <w:pPr>
        <w:pStyle w:val="NormalWeb"/>
        <w:numPr>
          <w:ilvl w:val="0"/>
          <w:numId w:val="9"/>
        </w:numPr>
        <w:spacing w:before="0" w:beforeAutospacing="0" w:after="420" w:afterAutospacing="0" w:line="420" w:lineRule="atLeast"/>
        <w:ind w:left="0" w:firstLine="0"/>
        <w:jc w:val="both"/>
        <w:rPr>
          <w:rFonts w:ascii="Palatino Linotype" w:hAnsi="Palatino Linotype" w:cs="Arial"/>
          <w:color w:val="333333"/>
        </w:rPr>
      </w:pPr>
      <w:r w:rsidRPr="00414AC0">
        <w:rPr>
          <w:rFonts w:ascii="Palatino Linotype" w:hAnsi="Palatino Linotype" w:cs="Arial"/>
          <w:color w:val="333333"/>
        </w:rPr>
        <w:t>El </w:t>
      </w:r>
      <w:r w:rsidRPr="00414AC0">
        <w:rPr>
          <w:rStyle w:val="Textoennegrita"/>
          <w:rFonts w:ascii="Palatino Linotype" w:eastAsia="Arial Unicode MS" w:hAnsi="Palatino Linotype" w:cs="Arial"/>
          <w:color w:val="333333"/>
        </w:rPr>
        <w:t>error médico</w:t>
      </w:r>
      <w:r w:rsidRPr="00414AC0">
        <w:rPr>
          <w:rFonts w:ascii="Palatino Linotype" w:hAnsi="Palatino Linotype" w:cs="Arial"/>
          <w:color w:val="333333"/>
        </w:rPr>
        <w:t> se refiere a </w:t>
      </w:r>
      <w:r w:rsidRPr="00414AC0">
        <w:rPr>
          <w:rStyle w:val="Textoennegrita"/>
          <w:rFonts w:ascii="Palatino Linotype" w:eastAsia="Arial Unicode MS" w:hAnsi="Palatino Linotype" w:cs="Arial"/>
          <w:color w:val="333333"/>
        </w:rPr>
        <w:t>errores u omisiones causadas por los descuidos por parte del personal</w:t>
      </w:r>
      <w:r w:rsidRPr="00414AC0">
        <w:rPr>
          <w:rFonts w:ascii="Palatino Linotype" w:hAnsi="Palatino Linotype" w:cs="Arial"/>
          <w:color w:val="333333"/>
        </w:rPr>
        <w:t> de la clínica. Algunos casos son los siguientes:</w:t>
      </w:r>
    </w:p>
    <w:p w14:paraId="398C20A7" w14:textId="77777777" w:rsidR="00414AC0" w:rsidRPr="00414AC0" w:rsidRDefault="00414AC0" w:rsidP="00414AC0">
      <w:pPr>
        <w:numPr>
          <w:ilvl w:val="0"/>
          <w:numId w:val="40"/>
        </w:numPr>
        <w:spacing w:before="120" w:after="0" w:line="420" w:lineRule="atLeast"/>
        <w:ind w:left="567" w:right="616"/>
        <w:jc w:val="both"/>
        <w:rPr>
          <w:rFonts w:ascii="Palatino Linotype" w:hAnsi="Palatino Linotype" w:cs="Arial"/>
          <w:color w:val="333333"/>
        </w:rPr>
      </w:pPr>
      <w:r w:rsidRPr="00414AC0">
        <w:rPr>
          <w:rStyle w:val="Textoennegrita"/>
          <w:rFonts w:ascii="Palatino Linotype" w:hAnsi="Palatino Linotype" w:cs="Arial"/>
          <w:color w:val="333333"/>
        </w:rPr>
        <w:t>Ausencia de personal capacitado para atender emergencias</w:t>
      </w:r>
      <w:r w:rsidRPr="00414AC0">
        <w:rPr>
          <w:rFonts w:ascii="Palatino Linotype" w:hAnsi="Palatino Linotype" w:cs="Arial"/>
          <w:color w:val="333333"/>
        </w:rPr>
        <w:t>. Un caso demasiado frecuente es cuando una embarazada pierde la vida mientras espera ser atendida.</w:t>
      </w:r>
    </w:p>
    <w:p w14:paraId="4FCD818E" w14:textId="77777777" w:rsidR="00414AC0" w:rsidRPr="00414AC0" w:rsidRDefault="00414AC0" w:rsidP="00414AC0">
      <w:pPr>
        <w:numPr>
          <w:ilvl w:val="0"/>
          <w:numId w:val="40"/>
        </w:numPr>
        <w:spacing w:before="120" w:after="0" w:line="420" w:lineRule="atLeast"/>
        <w:ind w:left="567" w:right="616"/>
        <w:jc w:val="both"/>
        <w:rPr>
          <w:rFonts w:ascii="Palatino Linotype" w:hAnsi="Palatino Linotype" w:cs="Arial"/>
          <w:color w:val="333333"/>
        </w:rPr>
      </w:pPr>
      <w:r w:rsidRPr="00414AC0">
        <w:rPr>
          <w:rStyle w:val="Textoennegrita"/>
          <w:rFonts w:ascii="Palatino Linotype" w:hAnsi="Palatino Linotype" w:cs="Arial"/>
          <w:color w:val="333333"/>
        </w:rPr>
        <w:lastRenderedPageBreak/>
        <w:t>Negativa</w:t>
      </w:r>
      <w:r w:rsidRPr="00414AC0">
        <w:rPr>
          <w:rFonts w:ascii="Palatino Linotype" w:hAnsi="Palatino Linotype" w:cs="Arial"/>
          <w:color w:val="333333"/>
        </w:rPr>
        <w:t> sin justificación de parte de la recepción para otorgar una cita.</w:t>
      </w:r>
    </w:p>
    <w:p w14:paraId="19F00B17" w14:textId="77777777" w:rsidR="00414AC0" w:rsidRPr="00414AC0" w:rsidRDefault="00414AC0" w:rsidP="00414AC0">
      <w:pPr>
        <w:numPr>
          <w:ilvl w:val="0"/>
          <w:numId w:val="40"/>
        </w:numPr>
        <w:spacing w:before="120" w:after="0" w:line="420" w:lineRule="atLeast"/>
        <w:ind w:left="567" w:right="616"/>
        <w:jc w:val="both"/>
        <w:rPr>
          <w:rFonts w:ascii="Palatino Linotype" w:hAnsi="Palatino Linotype" w:cs="Arial"/>
          <w:color w:val="333333"/>
        </w:rPr>
      </w:pPr>
      <w:r w:rsidRPr="00414AC0">
        <w:rPr>
          <w:rStyle w:val="Textoennegrita"/>
          <w:rFonts w:ascii="Palatino Linotype" w:hAnsi="Palatino Linotype" w:cs="Arial"/>
          <w:color w:val="333333"/>
        </w:rPr>
        <w:t>Falta de disponibilidad de citas</w:t>
      </w:r>
      <w:r w:rsidRPr="00414AC0">
        <w:rPr>
          <w:rFonts w:ascii="Palatino Linotype" w:hAnsi="Palatino Linotype" w:cs="Arial"/>
          <w:color w:val="333333"/>
        </w:rPr>
        <w:t> para la atención médica por mala administración. Este caso suele ser más persistente en los hospitales públicos.</w:t>
      </w:r>
    </w:p>
    <w:p w14:paraId="28E6376A" w14:textId="77777777" w:rsidR="00414AC0" w:rsidRPr="00414AC0" w:rsidRDefault="00000000" w:rsidP="00414AC0">
      <w:pPr>
        <w:numPr>
          <w:ilvl w:val="0"/>
          <w:numId w:val="40"/>
        </w:numPr>
        <w:spacing w:before="120" w:after="0" w:line="420" w:lineRule="atLeast"/>
        <w:ind w:left="567" w:right="616"/>
        <w:jc w:val="both"/>
        <w:rPr>
          <w:rFonts w:ascii="Palatino Linotype" w:hAnsi="Palatino Linotype" w:cs="Arial"/>
          <w:color w:val="333333"/>
        </w:rPr>
      </w:pPr>
      <w:hyperlink r:id="rId8" w:history="1">
        <w:r w:rsidR="00414AC0" w:rsidRPr="00414AC0">
          <w:rPr>
            <w:rStyle w:val="Hipervnculo"/>
            <w:rFonts w:ascii="Palatino Linotype" w:hAnsi="Palatino Linotype" w:cs="Arial"/>
            <w:b/>
            <w:bCs/>
            <w:color w:val="0067C3"/>
          </w:rPr>
          <w:t>Coacción</w:t>
        </w:r>
      </w:hyperlink>
      <w:r w:rsidR="00414AC0" w:rsidRPr="00414AC0">
        <w:rPr>
          <w:rStyle w:val="Textoennegrita"/>
          <w:rFonts w:ascii="Palatino Linotype" w:hAnsi="Palatino Linotype" w:cs="Arial"/>
          <w:color w:val="333333"/>
        </w:rPr>
        <w:t> de la administración de un hospital</w:t>
      </w:r>
      <w:r w:rsidR="00414AC0" w:rsidRPr="00414AC0">
        <w:rPr>
          <w:rFonts w:ascii="Palatino Linotype" w:hAnsi="Palatino Linotype" w:cs="Arial"/>
          <w:color w:val="333333"/>
        </w:rPr>
        <w:t> de gobierno para que el paciente otorgue algo a cambio del servicio. En algunos hospitales suele exigirse al paciente que done sangre si quiere ser atendido.</w:t>
      </w:r>
    </w:p>
    <w:p w14:paraId="24507AEF" w14:textId="77777777" w:rsidR="00414AC0" w:rsidRPr="00414AC0" w:rsidRDefault="00414AC0" w:rsidP="00414AC0">
      <w:pPr>
        <w:pBdr>
          <w:top w:val="nil"/>
          <w:left w:val="nil"/>
          <w:bottom w:val="nil"/>
          <w:right w:val="nil"/>
          <w:between w:val="nil"/>
          <w:bar w:val="nil"/>
        </w:pBdr>
        <w:spacing w:after="0" w:line="360" w:lineRule="auto"/>
        <w:jc w:val="both"/>
        <w:rPr>
          <w:rFonts w:ascii="Palatino Linotype" w:eastAsiaTheme="majorEastAsia" w:hAnsi="Palatino Linotype" w:cstheme="majorBidi"/>
          <w:sz w:val="24"/>
          <w:szCs w:val="24"/>
          <w:bdr w:val="nil"/>
        </w:rPr>
      </w:pPr>
    </w:p>
    <w:p w14:paraId="1F9E23D2" w14:textId="4C87D2A6" w:rsidR="00414AC0" w:rsidRDefault="00414AC0" w:rsidP="00035866">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Theme="majorEastAsia" w:hAnsi="Palatino Linotype" w:cstheme="majorBidi"/>
          <w:sz w:val="24"/>
          <w:szCs w:val="24"/>
          <w:bdr w:val="nil"/>
        </w:rPr>
      </w:pPr>
      <w:r>
        <w:rPr>
          <w:rFonts w:ascii="Palatino Linotype" w:eastAsiaTheme="majorEastAsia" w:hAnsi="Palatino Linotype" w:cstheme="majorBidi"/>
          <w:sz w:val="24"/>
          <w:szCs w:val="24"/>
          <w:bdr w:val="nil"/>
        </w:rPr>
        <w:t>Entonces, siempre que exista una negligencia médica o mala praxis médica tiene como consecuencia una lesión o perdida de la vida del paciente, lo que puede interpretarse, en algunos casos, violaciones graves a derechos humanos, tal y como lo ha señalado la Corte Interamericana en las resoluciones antes señaladas, razón por la cual, no se comparte el sentido de la presente resolución d la que se deriva el voto disidente, toda vez que, previo a la clasificación de la información, los sujetos obligados deben privilegiar el principio de máxima publicidad y verificar si la información que se pretende clasificar actualiza alguna causal de excepción a la clasificación.</w:t>
      </w:r>
    </w:p>
    <w:p w14:paraId="63359CD0" w14:textId="77777777" w:rsidR="00414AC0" w:rsidRDefault="00414AC0" w:rsidP="00414AC0">
      <w:pPr>
        <w:pStyle w:val="Prrafodelista"/>
        <w:pBdr>
          <w:top w:val="nil"/>
          <w:left w:val="nil"/>
          <w:bottom w:val="nil"/>
          <w:right w:val="nil"/>
          <w:between w:val="nil"/>
          <w:bar w:val="nil"/>
        </w:pBdr>
        <w:spacing w:after="0" w:line="360" w:lineRule="auto"/>
        <w:ind w:left="0"/>
        <w:jc w:val="both"/>
        <w:rPr>
          <w:rFonts w:ascii="Palatino Linotype" w:eastAsiaTheme="majorEastAsia" w:hAnsi="Palatino Linotype" w:cstheme="majorBidi"/>
          <w:sz w:val="24"/>
          <w:szCs w:val="24"/>
          <w:bdr w:val="nil"/>
        </w:rPr>
      </w:pPr>
    </w:p>
    <w:p w14:paraId="28BABE82" w14:textId="09DB52B1" w:rsidR="000F1716" w:rsidRDefault="000F1716" w:rsidP="00035866">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Theme="majorEastAsia" w:hAnsi="Palatino Linotype" w:cstheme="majorBidi"/>
          <w:sz w:val="24"/>
          <w:szCs w:val="24"/>
          <w:bdr w:val="nil"/>
        </w:rPr>
      </w:pPr>
      <w:r w:rsidRPr="000F1716">
        <w:rPr>
          <w:rFonts w:ascii="Palatino Linotype" w:eastAsiaTheme="majorEastAsia" w:hAnsi="Palatino Linotype" w:cstheme="majorBidi"/>
          <w:sz w:val="24"/>
          <w:szCs w:val="24"/>
          <w:bdr w:val="nil"/>
        </w:rPr>
        <w:t>Los elementos mencion</w:t>
      </w:r>
      <w:r>
        <w:rPr>
          <w:rFonts w:ascii="Palatino Linotype" w:eastAsiaTheme="majorEastAsia" w:hAnsi="Palatino Linotype" w:cstheme="majorBidi"/>
          <w:sz w:val="24"/>
          <w:szCs w:val="24"/>
          <w:bdr w:val="nil"/>
        </w:rPr>
        <w:t>ados</w:t>
      </w:r>
      <w:r w:rsidRPr="000F1716">
        <w:rPr>
          <w:rFonts w:ascii="Palatino Linotype" w:eastAsiaTheme="majorEastAsia" w:hAnsi="Palatino Linotype" w:cstheme="majorBidi"/>
          <w:sz w:val="24"/>
          <w:szCs w:val="24"/>
          <w:bdr w:val="nil"/>
        </w:rPr>
        <w:t xml:space="preserve"> permiten identificar que, en </w:t>
      </w:r>
      <w:r w:rsidR="00414AC0">
        <w:rPr>
          <w:rFonts w:ascii="Palatino Linotype" w:eastAsiaTheme="majorEastAsia" w:hAnsi="Palatino Linotype" w:cstheme="majorBidi"/>
          <w:sz w:val="24"/>
          <w:szCs w:val="24"/>
          <w:bdr w:val="nil"/>
        </w:rPr>
        <w:t>los casos de violaciones graves a derechos humanos,</w:t>
      </w:r>
      <w:r w:rsidRPr="000F1716">
        <w:rPr>
          <w:rFonts w:ascii="Palatino Linotype" w:eastAsiaTheme="majorEastAsia" w:hAnsi="Palatino Linotype" w:cstheme="majorBidi"/>
          <w:sz w:val="24"/>
          <w:szCs w:val="24"/>
          <w:bdr w:val="nil"/>
        </w:rPr>
        <w:t xml:space="preserve"> se encuentran en la excepción a la clasificación de la información contemplada en el artículo 142 fracción II</w:t>
      </w:r>
      <w:r>
        <w:rPr>
          <w:rFonts w:ascii="Palatino Linotype" w:eastAsiaTheme="majorEastAsia" w:hAnsi="Palatino Linotype" w:cstheme="majorBidi"/>
          <w:sz w:val="24"/>
          <w:szCs w:val="24"/>
          <w:bdr w:val="nil"/>
        </w:rPr>
        <w:t>, en ese sentido debe prevalecer la publicidad de la informaci</w:t>
      </w:r>
      <w:r w:rsidR="00B142A9">
        <w:rPr>
          <w:rFonts w:ascii="Palatino Linotype" w:eastAsiaTheme="majorEastAsia" w:hAnsi="Palatino Linotype" w:cstheme="majorBidi"/>
          <w:sz w:val="24"/>
          <w:szCs w:val="24"/>
          <w:bdr w:val="nil"/>
        </w:rPr>
        <w:t>ón conforme a la fundamentación y motivación establecida en líneas anteriores.</w:t>
      </w:r>
    </w:p>
    <w:p w14:paraId="57A1E48B" w14:textId="77777777" w:rsidR="0049418C" w:rsidRDefault="0049418C" w:rsidP="0049418C">
      <w:pPr>
        <w:pBdr>
          <w:top w:val="nil"/>
          <w:left w:val="nil"/>
          <w:bottom w:val="nil"/>
          <w:right w:val="nil"/>
          <w:between w:val="nil"/>
          <w:bar w:val="nil"/>
        </w:pBdr>
        <w:spacing w:after="0" w:line="360" w:lineRule="auto"/>
        <w:jc w:val="both"/>
        <w:rPr>
          <w:rFonts w:ascii="Palatino Linotype" w:eastAsiaTheme="majorEastAsia" w:hAnsi="Palatino Linotype" w:cstheme="majorBidi"/>
          <w:sz w:val="24"/>
          <w:szCs w:val="24"/>
          <w:bdr w:val="nil"/>
        </w:rPr>
      </w:pPr>
    </w:p>
    <w:p w14:paraId="260D1637" w14:textId="4B3A4DFB" w:rsidR="001C4337" w:rsidRPr="002A43BC" w:rsidRDefault="0027224D" w:rsidP="001C4337">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r>
        <w:rPr>
          <w:rFonts w:ascii="Palatino Linotype" w:eastAsiaTheme="majorEastAsia" w:hAnsi="Palatino Linotype" w:cstheme="majorBidi"/>
          <w:b/>
          <w:sz w:val="24"/>
          <w:szCs w:val="24"/>
          <w:bdr w:val="nil"/>
        </w:rPr>
        <w:t>VI</w:t>
      </w:r>
      <w:r w:rsidR="00250780">
        <w:rPr>
          <w:rFonts w:ascii="Palatino Linotype" w:eastAsiaTheme="majorEastAsia" w:hAnsi="Palatino Linotype" w:cstheme="majorBidi"/>
          <w:b/>
          <w:sz w:val="24"/>
          <w:szCs w:val="24"/>
          <w:bdr w:val="nil"/>
        </w:rPr>
        <w:t xml:space="preserve">. </w:t>
      </w:r>
      <w:r w:rsidR="001C4337">
        <w:rPr>
          <w:rFonts w:ascii="Palatino Linotype" w:eastAsiaTheme="majorEastAsia" w:hAnsi="Palatino Linotype" w:cstheme="majorBidi"/>
          <w:b/>
          <w:sz w:val="24"/>
          <w:szCs w:val="24"/>
          <w:bdr w:val="nil"/>
        </w:rPr>
        <w:t>Conclusión.</w:t>
      </w:r>
      <w:bookmarkEnd w:id="10"/>
      <w:r w:rsidR="001C4337">
        <w:rPr>
          <w:rFonts w:ascii="Palatino Linotype" w:eastAsiaTheme="majorEastAsia" w:hAnsi="Palatino Linotype" w:cstheme="majorBidi"/>
          <w:b/>
          <w:sz w:val="24"/>
          <w:szCs w:val="24"/>
          <w:bdr w:val="nil"/>
        </w:rPr>
        <w:t xml:space="preserve"> </w:t>
      </w:r>
    </w:p>
    <w:p w14:paraId="40266B43" w14:textId="77777777" w:rsidR="00CD5C84" w:rsidRDefault="00CD5C84" w:rsidP="00CD5C84"/>
    <w:p w14:paraId="7DEEAD6F" w14:textId="131B7009" w:rsidR="00414AC0" w:rsidRPr="00414AC0" w:rsidRDefault="00414AC0" w:rsidP="00035866">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Theme="majorEastAsia" w:hAnsi="Palatino Linotype" w:cstheme="majorBidi"/>
          <w:b/>
          <w:sz w:val="24"/>
          <w:szCs w:val="24"/>
          <w:bdr w:val="nil"/>
        </w:rPr>
      </w:pPr>
      <w:bookmarkStart w:id="11" w:name="_Hlk21365612"/>
      <w:r>
        <w:rPr>
          <w:rFonts w:ascii="Palatino Linotype" w:eastAsiaTheme="majorEastAsia" w:hAnsi="Palatino Linotype" w:cstheme="majorBidi"/>
          <w:bCs/>
          <w:sz w:val="24"/>
          <w:szCs w:val="24"/>
          <w:bdr w:val="nil"/>
        </w:rPr>
        <w:t>No se comparte el sentido de la resolución al rubro indicada, por el hecho de que, al tratarse de negligencias médicas o mala praxis médica, que derivaron en la interposición de denuncias y la apertura de carpetas de investigación por parte de la autoridad competente, no se haya considerado la valoración de la información a efecto de determinar si hay violaciones graves a derechos humanos, siendo esta una excepción a la regla de la clasificación, toda vez que las negligencias médicas tien</w:t>
      </w:r>
      <w:r w:rsidR="005D265C">
        <w:rPr>
          <w:rFonts w:ascii="Palatino Linotype" w:eastAsiaTheme="majorEastAsia" w:hAnsi="Palatino Linotype" w:cstheme="majorBidi"/>
          <w:bCs/>
          <w:sz w:val="24"/>
          <w:szCs w:val="24"/>
          <w:bdr w:val="nil"/>
        </w:rPr>
        <w:t>de</w:t>
      </w:r>
      <w:r>
        <w:rPr>
          <w:rFonts w:ascii="Palatino Linotype" w:eastAsiaTheme="majorEastAsia" w:hAnsi="Palatino Linotype" w:cstheme="majorBidi"/>
          <w:bCs/>
          <w:sz w:val="24"/>
          <w:szCs w:val="24"/>
          <w:bdr w:val="nil"/>
        </w:rPr>
        <w:t>n a vulnerar el derecho a la vida y a la integridad personal de los pacientes.</w:t>
      </w:r>
    </w:p>
    <w:p w14:paraId="02AB4BD5" w14:textId="77777777" w:rsidR="00414AC0" w:rsidRPr="00414AC0" w:rsidRDefault="00414AC0" w:rsidP="00414AC0">
      <w:pPr>
        <w:pStyle w:val="Prrafodelista"/>
        <w:pBdr>
          <w:top w:val="nil"/>
          <w:left w:val="nil"/>
          <w:bottom w:val="nil"/>
          <w:right w:val="nil"/>
          <w:between w:val="nil"/>
          <w:bar w:val="nil"/>
        </w:pBdr>
        <w:spacing w:after="0" w:line="360" w:lineRule="auto"/>
        <w:ind w:left="0"/>
        <w:jc w:val="both"/>
        <w:rPr>
          <w:rFonts w:ascii="Palatino Linotype" w:eastAsiaTheme="majorEastAsia" w:hAnsi="Palatino Linotype" w:cstheme="majorBidi"/>
          <w:b/>
          <w:sz w:val="24"/>
          <w:szCs w:val="24"/>
          <w:bdr w:val="nil"/>
        </w:rPr>
      </w:pPr>
    </w:p>
    <w:p w14:paraId="57B0B340" w14:textId="451A0E13" w:rsidR="00E6742A" w:rsidRPr="005D265C" w:rsidRDefault="005D265C" w:rsidP="00035866">
      <w:pPr>
        <w:pStyle w:val="Prrafodelista"/>
        <w:numPr>
          <w:ilvl w:val="0"/>
          <w:numId w:val="9"/>
        </w:numPr>
        <w:pBdr>
          <w:top w:val="nil"/>
          <w:left w:val="nil"/>
          <w:bottom w:val="nil"/>
          <w:right w:val="nil"/>
          <w:between w:val="nil"/>
          <w:bar w:val="nil"/>
        </w:pBdr>
        <w:spacing w:after="0" w:line="360" w:lineRule="auto"/>
        <w:ind w:left="0" w:firstLine="0"/>
        <w:jc w:val="both"/>
        <w:rPr>
          <w:rFonts w:ascii="Palatino Linotype" w:eastAsiaTheme="majorEastAsia" w:hAnsi="Palatino Linotype" w:cstheme="majorBidi"/>
          <w:b/>
          <w:sz w:val="24"/>
          <w:szCs w:val="24"/>
          <w:bdr w:val="nil"/>
        </w:rPr>
      </w:pPr>
      <w:r>
        <w:rPr>
          <w:rFonts w:ascii="Palatino Linotype" w:eastAsiaTheme="majorEastAsia" w:hAnsi="Palatino Linotype" w:cstheme="majorBidi"/>
          <w:bCs/>
          <w:sz w:val="24"/>
          <w:szCs w:val="24"/>
          <w:bdr w:val="nil"/>
        </w:rPr>
        <w:t xml:space="preserve">Estos elementos no fueron valorados por el Sujeto Obligado durante la sustanciación del procedimiento de acceso a la información pública, restringiendo así, </w:t>
      </w:r>
      <w:r w:rsidR="00E6742A" w:rsidRPr="00DB7F8E">
        <w:rPr>
          <w:rFonts w:ascii="Palatino Linotype" w:eastAsiaTheme="majorEastAsia" w:hAnsi="Palatino Linotype" w:cstheme="majorBidi"/>
          <w:bCs/>
          <w:sz w:val="24"/>
          <w:szCs w:val="24"/>
          <w:bdr w:val="nil"/>
        </w:rPr>
        <w:t>de manera arbitraria el der</w:t>
      </w:r>
      <w:r>
        <w:rPr>
          <w:rFonts w:ascii="Palatino Linotype" w:eastAsiaTheme="majorEastAsia" w:hAnsi="Palatino Linotype" w:cstheme="majorBidi"/>
          <w:bCs/>
          <w:sz w:val="24"/>
          <w:szCs w:val="24"/>
          <w:bdr w:val="nil"/>
        </w:rPr>
        <w:t>echo de acceso a la información, inaplicando también, e</w:t>
      </w:r>
      <w:r w:rsidR="00E6742A" w:rsidRPr="00DB7F8E">
        <w:rPr>
          <w:rFonts w:ascii="Palatino Linotype" w:eastAsiaTheme="majorEastAsia" w:hAnsi="Palatino Linotype" w:cstheme="majorBidi"/>
          <w:bCs/>
          <w:sz w:val="24"/>
          <w:szCs w:val="24"/>
          <w:bdr w:val="nil"/>
        </w:rPr>
        <w:t>l artículo primero constitucional, toda vez que la resoluci</w:t>
      </w:r>
      <w:r w:rsidR="00AC21D4" w:rsidRPr="00DB7F8E">
        <w:rPr>
          <w:rFonts w:ascii="Palatino Linotype" w:eastAsiaTheme="majorEastAsia" w:hAnsi="Palatino Linotype" w:cstheme="majorBidi"/>
          <w:bCs/>
          <w:sz w:val="24"/>
          <w:szCs w:val="24"/>
          <w:bdr w:val="nil"/>
        </w:rPr>
        <w:t xml:space="preserve">ón emitida no promueve, respeta, protege ni garantiza el derecho ejercido por el particular, en relación al artículo 142, fracción II de la Ley de Transparencia y Acceso a la Información Pública del Estado de México y Municipios.  </w:t>
      </w:r>
    </w:p>
    <w:p w14:paraId="1230AB5C" w14:textId="77777777" w:rsidR="005D265C" w:rsidRPr="005D265C" w:rsidRDefault="005D265C" w:rsidP="005D265C">
      <w:pPr>
        <w:pStyle w:val="Prrafodelista"/>
        <w:rPr>
          <w:rFonts w:ascii="Palatino Linotype" w:eastAsiaTheme="majorEastAsia" w:hAnsi="Palatino Linotype" w:cstheme="majorBidi"/>
          <w:b/>
          <w:sz w:val="24"/>
          <w:szCs w:val="24"/>
          <w:bdr w:val="nil"/>
        </w:rPr>
      </w:pPr>
    </w:p>
    <w:p w14:paraId="0F0B4CD6" w14:textId="77777777" w:rsidR="00E6742A" w:rsidRDefault="00E6742A" w:rsidP="00E6742A">
      <w:pPr>
        <w:pBdr>
          <w:top w:val="nil"/>
          <w:left w:val="nil"/>
          <w:bottom w:val="nil"/>
          <w:right w:val="nil"/>
          <w:between w:val="nil"/>
          <w:bar w:val="nil"/>
        </w:pBdr>
        <w:spacing w:after="0" w:line="360" w:lineRule="auto"/>
        <w:jc w:val="both"/>
        <w:rPr>
          <w:rFonts w:ascii="Palatino Linotype" w:eastAsiaTheme="majorEastAsia" w:hAnsi="Palatino Linotype" w:cstheme="majorBidi"/>
          <w:b/>
          <w:sz w:val="24"/>
          <w:szCs w:val="24"/>
          <w:bdr w:val="nil"/>
        </w:rPr>
      </w:pPr>
    </w:p>
    <w:p w14:paraId="2BCE228F" w14:textId="77777777" w:rsidR="005D265C" w:rsidRDefault="005D265C" w:rsidP="00E6742A">
      <w:pPr>
        <w:pBdr>
          <w:top w:val="nil"/>
          <w:left w:val="nil"/>
          <w:bottom w:val="nil"/>
          <w:right w:val="nil"/>
          <w:between w:val="nil"/>
          <w:bar w:val="nil"/>
        </w:pBdr>
        <w:spacing w:after="0" w:line="360" w:lineRule="auto"/>
        <w:jc w:val="both"/>
        <w:rPr>
          <w:rFonts w:ascii="Palatino Linotype" w:eastAsiaTheme="majorEastAsia" w:hAnsi="Palatino Linotype" w:cstheme="majorBidi"/>
          <w:b/>
          <w:sz w:val="24"/>
          <w:szCs w:val="24"/>
          <w:bdr w:val="nil"/>
        </w:rPr>
      </w:pPr>
    </w:p>
    <w:p w14:paraId="64A58E69" w14:textId="77777777" w:rsidR="00035866" w:rsidRDefault="00035866" w:rsidP="00E6742A">
      <w:pPr>
        <w:pBdr>
          <w:top w:val="nil"/>
          <w:left w:val="nil"/>
          <w:bottom w:val="nil"/>
          <w:right w:val="nil"/>
          <w:between w:val="nil"/>
          <w:bar w:val="nil"/>
        </w:pBdr>
        <w:spacing w:after="0" w:line="360" w:lineRule="auto"/>
        <w:jc w:val="both"/>
        <w:rPr>
          <w:rFonts w:ascii="Palatino Linotype" w:eastAsiaTheme="majorEastAsia" w:hAnsi="Palatino Linotype" w:cstheme="majorBidi"/>
          <w:b/>
          <w:sz w:val="24"/>
          <w:szCs w:val="24"/>
          <w:bdr w:val="nil"/>
        </w:rPr>
      </w:pPr>
    </w:p>
    <w:p w14:paraId="4AE31283" w14:textId="77777777" w:rsidR="00035866" w:rsidRDefault="00035866" w:rsidP="00E6742A">
      <w:pPr>
        <w:pBdr>
          <w:top w:val="nil"/>
          <w:left w:val="nil"/>
          <w:bottom w:val="nil"/>
          <w:right w:val="nil"/>
          <w:between w:val="nil"/>
          <w:bar w:val="nil"/>
        </w:pBdr>
        <w:spacing w:after="0" w:line="360" w:lineRule="auto"/>
        <w:jc w:val="both"/>
        <w:rPr>
          <w:rFonts w:ascii="Palatino Linotype" w:eastAsiaTheme="majorEastAsia" w:hAnsi="Palatino Linotype" w:cstheme="majorBidi"/>
          <w:b/>
          <w:sz w:val="24"/>
          <w:szCs w:val="24"/>
          <w:bdr w:val="nil"/>
        </w:rPr>
      </w:pPr>
    </w:p>
    <w:p w14:paraId="28ECC58C" w14:textId="77777777" w:rsidR="00035866" w:rsidRDefault="00035866" w:rsidP="00E6742A">
      <w:pPr>
        <w:pBdr>
          <w:top w:val="nil"/>
          <w:left w:val="nil"/>
          <w:bottom w:val="nil"/>
          <w:right w:val="nil"/>
          <w:between w:val="nil"/>
          <w:bar w:val="nil"/>
        </w:pBdr>
        <w:spacing w:after="0" w:line="360" w:lineRule="auto"/>
        <w:jc w:val="both"/>
        <w:rPr>
          <w:rFonts w:ascii="Palatino Linotype" w:eastAsiaTheme="majorEastAsia" w:hAnsi="Palatino Linotype" w:cstheme="majorBidi"/>
          <w:b/>
          <w:sz w:val="24"/>
          <w:szCs w:val="24"/>
          <w:bdr w:val="nil"/>
        </w:rPr>
      </w:pPr>
    </w:p>
    <w:bookmarkEnd w:id="11"/>
    <w:p w14:paraId="71A4A47B" w14:textId="4C3CE389" w:rsidR="009F0BC5" w:rsidRPr="002A43BC" w:rsidRDefault="00B142A9" w:rsidP="009F0BC5">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Pr>
          <w:rFonts w:ascii="Palatino Linotype" w:eastAsia="Arial" w:hAnsi="Palatino Linotype" w:cs="Arial"/>
          <w:b/>
          <w:color w:val="000000" w:themeColor="text1"/>
          <w:sz w:val="24"/>
          <w:szCs w:val="24"/>
          <w:bdr w:val="nil"/>
          <w:lang w:eastAsia="es-MX"/>
        </w:rPr>
        <w:t>MARÍA DEL ROSARIO MEJÍA AYALA</w:t>
      </w:r>
    </w:p>
    <w:p w14:paraId="5446F8D8" w14:textId="7DF0A6C7" w:rsidR="009F0BC5" w:rsidRDefault="00035866" w:rsidP="009F0BC5">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Pr>
          <w:rFonts w:ascii="Palatino Linotype" w:eastAsia="Arial" w:hAnsi="Palatino Linotype" w:cs="Arial"/>
          <w:b/>
          <w:color w:val="000000" w:themeColor="text1"/>
          <w:sz w:val="24"/>
          <w:szCs w:val="24"/>
          <w:bdr w:val="nil"/>
          <w:lang w:eastAsia="es-MX"/>
        </w:rPr>
        <w:t>COMISIONADA</w:t>
      </w:r>
    </w:p>
    <w:p w14:paraId="42909C83" w14:textId="77777777" w:rsidR="00035866" w:rsidRDefault="00035866" w:rsidP="009F0BC5">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p>
    <w:p w14:paraId="143B19D4" w14:textId="77777777" w:rsidR="00035866" w:rsidRDefault="00035866" w:rsidP="009F0BC5">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p>
    <w:p w14:paraId="3A5AA578" w14:textId="77777777" w:rsidR="00035866" w:rsidRDefault="00035866" w:rsidP="009F0BC5">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p>
    <w:p w14:paraId="4EED35ED" w14:textId="77777777" w:rsidR="00035866" w:rsidRDefault="00035866" w:rsidP="009F0BC5">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p>
    <w:p w14:paraId="26D950BF" w14:textId="36BDB5CF" w:rsidR="0027224D" w:rsidRPr="008A4B0D" w:rsidRDefault="005D265C" w:rsidP="0027224D">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r>
        <w:rPr>
          <w:rFonts w:ascii="Palatino Linotype" w:eastAsia="Arial" w:hAnsi="Palatino Linotype" w:cs="Arial"/>
          <w:b/>
          <w:color w:val="000000" w:themeColor="text1"/>
          <w:sz w:val="24"/>
          <w:szCs w:val="24"/>
          <w:bdr w:val="nil"/>
          <w:lang w:eastAsia="es-MX"/>
        </w:rPr>
        <w:t>MRMA/ADM</w:t>
      </w:r>
    </w:p>
    <w:sectPr w:rsidR="0027224D" w:rsidRPr="008A4B0D" w:rsidSect="002A43BC">
      <w:headerReference w:type="even" r:id="rId9"/>
      <w:headerReference w:type="default" r:id="rId10"/>
      <w:footerReference w:type="default" r:id="rId11"/>
      <w:headerReference w:type="first" r:id="rId12"/>
      <w:pgSz w:w="12240" w:h="15840" w:code="1"/>
      <w:pgMar w:top="2268" w:right="1701" w:bottom="226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C8439" w14:textId="77777777" w:rsidR="009A5761" w:rsidRDefault="009A5761" w:rsidP="002C0425">
      <w:pPr>
        <w:spacing w:after="0" w:line="240" w:lineRule="auto"/>
      </w:pPr>
      <w:r>
        <w:separator/>
      </w:r>
    </w:p>
  </w:endnote>
  <w:endnote w:type="continuationSeparator" w:id="0">
    <w:p w14:paraId="6DFC124B" w14:textId="77777777" w:rsidR="009A5761" w:rsidRDefault="009A5761" w:rsidP="002C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585527"/>
      <w:docPartObj>
        <w:docPartGallery w:val="Page Numbers (Bottom of Page)"/>
        <w:docPartUnique/>
      </w:docPartObj>
    </w:sdtPr>
    <w:sdtContent>
      <w:sdt>
        <w:sdtPr>
          <w:id w:val="-1769616900"/>
          <w:docPartObj>
            <w:docPartGallery w:val="Page Numbers (Top of Page)"/>
            <w:docPartUnique/>
          </w:docPartObj>
        </w:sdtPr>
        <w:sdtContent>
          <w:p w14:paraId="545B0F92" w14:textId="77777777" w:rsidR="0032435A" w:rsidRDefault="0032435A">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355753">
              <w:rPr>
                <w:rFonts w:ascii="Palatino Linotype" w:hAnsi="Palatino Linotype"/>
                <w:b/>
                <w:bCs/>
                <w:noProof/>
                <w:sz w:val="20"/>
                <w:szCs w:val="20"/>
              </w:rPr>
              <w:t>33</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355753">
              <w:rPr>
                <w:rFonts w:ascii="Palatino Linotype" w:hAnsi="Palatino Linotype"/>
                <w:b/>
                <w:bCs/>
                <w:noProof/>
                <w:sz w:val="20"/>
                <w:szCs w:val="20"/>
              </w:rPr>
              <w:t>33</w:t>
            </w:r>
            <w:r w:rsidRPr="0052203D">
              <w:rPr>
                <w:rFonts w:ascii="Palatino Linotype" w:hAnsi="Palatino Linotype"/>
                <w:b/>
                <w:bCs/>
                <w:sz w:val="20"/>
                <w:szCs w:val="20"/>
              </w:rPr>
              <w:fldChar w:fldCharType="end"/>
            </w:r>
          </w:p>
        </w:sdtContent>
      </w:sdt>
    </w:sdtContent>
  </w:sdt>
  <w:p w14:paraId="447141E2" w14:textId="77777777" w:rsidR="0032435A" w:rsidRDefault="003243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ED068" w14:textId="77777777" w:rsidR="009A5761" w:rsidRDefault="009A5761" w:rsidP="002C0425">
      <w:pPr>
        <w:spacing w:after="0" w:line="240" w:lineRule="auto"/>
      </w:pPr>
      <w:r>
        <w:separator/>
      </w:r>
    </w:p>
  </w:footnote>
  <w:footnote w:type="continuationSeparator" w:id="0">
    <w:p w14:paraId="69FF85C6" w14:textId="77777777" w:rsidR="009A5761" w:rsidRDefault="009A5761" w:rsidP="002C0425">
      <w:pPr>
        <w:spacing w:after="0" w:line="240" w:lineRule="auto"/>
      </w:pPr>
      <w:r>
        <w:continuationSeparator/>
      </w:r>
    </w:p>
  </w:footnote>
  <w:footnote w:id="1">
    <w:p w14:paraId="4AB14614" w14:textId="3D8A8EAC" w:rsidR="0032435A" w:rsidRDefault="0032435A">
      <w:pPr>
        <w:pStyle w:val="Textonotapie"/>
      </w:pPr>
      <w:r>
        <w:rPr>
          <w:rStyle w:val="Refdenotaalpie"/>
        </w:rPr>
        <w:footnoteRef/>
      </w:r>
      <w:r>
        <w:t xml:space="preserve"> Democracia y Garantismo. Ferrajoli Luigi. Página 27. </w:t>
      </w:r>
    </w:p>
  </w:footnote>
  <w:footnote w:id="2">
    <w:p w14:paraId="4FD216BE" w14:textId="77777777" w:rsidR="0032435A" w:rsidRDefault="0032435A" w:rsidP="005F796F">
      <w:pPr>
        <w:pStyle w:val="Textonotapie"/>
      </w:pPr>
      <w:r>
        <w:rPr>
          <w:rStyle w:val="Refdenotaalpie"/>
        </w:rPr>
        <w:footnoteRef/>
      </w:r>
      <w:hyperlink r:id="rId1" w:history="1">
        <w:r w:rsidRPr="00F962A3">
          <w:rPr>
            <w:rStyle w:val="Hipervnculo"/>
          </w:rPr>
          <w:t>https://www.cndh.org.mx/documento/caso-radilla-pacheco-vs-mexico</w:t>
        </w:r>
      </w:hyperlink>
      <w:r>
        <w:t xml:space="preserve">  </w:t>
      </w:r>
    </w:p>
  </w:footnote>
  <w:footnote w:id="3">
    <w:p w14:paraId="49BF4626" w14:textId="77777777" w:rsidR="0032435A" w:rsidRPr="00C66DEC" w:rsidRDefault="0032435A" w:rsidP="005F796F">
      <w:pPr>
        <w:pStyle w:val="Textonotapie"/>
        <w:jc w:val="both"/>
        <w:rPr>
          <w:rFonts w:ascii="Palatino Linotype" w:hAnsi="Palatino Linotype"/>
        </w:rPr>
      </w:pPr>
      <w:r>
        <w:rPr>
          <w:rStyle w:val="Refdenotaalpie"/>
        </w:rPr>
        <w:footnoteRef/>
      </w:r>
      <w:r>
        <w:t xml:space="preserve"> </w:t>
      </w:r>
      <w:r w:rsidRPr="00C66DEC">
        <w:rPr>
          <w:rFonts w:ascii="Palatino Linotype" w:hAnsi="Palatino Linotype"/>
        </w:rPr>
        <w:t>ARTÍCULO 8. Garantías Judiciales</w:t>
      </w:r>
    </w:p>
    <w:p w14:paraId="49F2F273" w14:textId="77777777" w:rsidR="0032435A" w:rsidRPr="00C66DEC" w:rsidRDefault="0032435A" w:rsidP="005F796F">
      <w:pPr>
        <w:pStyle w:val="Textonotapie"/>
        <w:jc w:val="both"/>
        <w:rPr>
          <w:rFonts w:ascii="Palatino Linotype" w:hAnsi="Palatino Linotype"/>
        </w:rPr>
      </w:pPr>
      <w:r w:rsidRPr="00C66DEC">
        <w:rPr>
          <w:rFonts w:ascii="Palatino Linotype" w:hAnsi="Palatino Linotype"/>
        </w:rPr>
        <w:t>1. Toda persona tiene derecho a ser oída, con la</w:t>
      </w:r>
      <w:r>
        <w:rPr>
          <w:rFonts w:ascii="Palatino Linotype" w:hAnsi="Palatino Linotype"/>
        </w:rPr>
        <w:t xml:space="preserve">s debidas garantías y dentro de </w:t>
      </w:r>
      <w:r w:rsidRPr="00C66DEC">
        <w:rPr>
          <w:rFonts w:ascii="Palatino Linotype" w:hAnsi="Palatino Linotype"/>
        </w:rPr>
        <w:t>un plazo razonable, por un juez o tribunal compete</w:t>
      </w:r>
      <w:r>
        <w:rPr>
          <w:rFonts w:ascii="Palatino Linotype" w:hAnsi="Palatino Linotype"/>
        </w:rPr>
        <w:t xml:space="preserve">nte, independiente e imparcial, </w:t>
      </w:r>
      <w:r w:rsidRPr="00C66DEC">
        <w:rPr>
          <w:rFonts w:ascii="Palatino Linotype" w:hAnsi="Palatino Linotype"/>
        </w:rPr>
        <w:t>establecido con anterioridad por la ley, en la sustanciaci</w:t>
      </w:r>
      <w:r>
        <w:rPr>
          <w:rFonts w:ascii="Palatino Linotype" w:hAnsi="Palatino Linotype"/>
        </w:rPr>
        <w:t xml:space="preserve">ón de cualquier </w:t>
      </w:r>
      <w:r w:rsidRPr="00C66DEC">
        <w:rPr>
          <w:rFonts w:ascii="Palatino Linotype" w:hAnsi="Palatino Linotype"/>
        </w:rPr>
        <w:t>acusación penal formulada contra ella, o para l</w:t>
      </w:r>
      <w:r>
        <w:rPr>
          <w:rFonts w:ascii="Palatino Linotype" w:hAnsi="Palatino Linotype"/>
        </w:rPr>
        <w:t xml:space="preserve">a determinación de sus derechos </w:t>
      </w:r>
      <w:r w:rsidRPr="00C66DEC">
        <w:rPr>
          <w:rFonts w:ascii="Palatino Linotype" w:hAnsi="Palatino Linotype"/>
        </w:rPr>
        <w:t>y obligaciones de orden civil, laboral, fiscal o de cualquier otro carácter.</w:t>
      </w:r>
    </w:p>
  </w:footnote>
  <w:footnote w:id="4">
    <w:p w14:paraId="084C0D08" w14:textId="77777777" w:rsidR="0032435A" w:rsidRDefault="0032435A" w:rsidP="005F796F">
      <w:pPr>
        <w:pStyle w:val="Textonotapie"/>
      </w:pPr>
      <w:r>
        <w:rPr>
          <w:rStyle w:val="Refdenotaalpie"/>
        </w:rPr>
        <w:footnoteRef/>
      </w:r>
      <w:r>
        <w:t xml:space="preserve"> </w:t>
      </w:r>
      <w:hyperlink r:id="rId2" w:history="1">
        <w:r w:rsidRPr="00F962A3">
          <w:rPr>
            <w:rStyle w:val="Hipervnculo"/>
          </w:rPr>
          <w:t>https://www.corteidh.or.cr/docs/casos/articulos/seriec_219_esp.pdf</w:t>
        </w:r>
      </w:hyperlink>
      <w:r>
        <w:t xml:space="preserve"> </w:t>
      </w:r>
    </w:p>
  </w:footnote>
  <w:footnote w:id="5">
    <w:p w14:paraId="44F2BDFB" w14:textId="77777777" w:rsidR="0032435A" w:rsidRDefault="0032435A" w:rsidP="005F796F">
      <w:pPr>
        <w:pStyle w:val="Textonotapie"/>
        <w:jc w:val="both"/>
      </w:pPr>
      <w:r>
        <w:rPr>
          <w:rStyle w:val="Refdenotaalpie"/>
        </w:rPr>
        <w:footnoteRef/>
      </w:r>
      <w:r>
        <w:t xml:space="preserve"> Cfr. Amparo en revisión 38/2017. Fundación para la Justicia y el Estado Democrático de Derecho, A.C. 24 de mayo de 2017. Unanimidad de cuatro votos de los Ministros Alberto Pérez Dayán, Javier Laynez Potisek, José Fernando Franco González Salas y Eduardo Medina Mora I. Ausente: Margarita Beatriz Luna Ramos. Ponente: Alberto Pérez Dayán. Secretario: Isidro Emmanuel Muñoz Acevedo.</w:t>
      </w:r>
    </w:p>
  </w:footnote>
  <w:footnote w:id="6">
    <w:p w14:paraId="2F6F27BE" w14:textId="77777777" w:rsidR="0032435A" w:rsidRDefault="0032435A" w:rsidP="005F796F">
      <w:pPr>
        <w:pStyle w:val="Textonotapie"/>
        <w:jc w:val="both"/>
      </w:pPr>
      <w:r>
        <w:rPr>
          <w:rStyle w:val="Refdenotaalpie"/>
        </w:rPr>
        <w:footnoteRef/>
      </w:r>
      <w:r>
        <w:t xml:space="preserve"> Amparo en revisión 38/2017. Fundación para la Justicia y el Estado Democrático de Derecho, A.C. 24 de mayo de 2017. Unanimidad de cuatro votos de los Ministros Alberto Pérez Dayán, Javier Laynez Potisek, José Fernando Franco González Salas y Eduardo Medina Mora I. Ausente: Margarita Beatriz Luna Ramos. Ponente: Alberto Pérez Dayán. Secretario: Isidro Emmanuel Muñoz Acevedo. Página 25. </w:t>
      </w:r>
    </w:p>
  </w:footnote>
  <w:footnote w:id="7">
    <w:p w14:paraId="56546A88" w14:textId="77777777" w:rsidR="0032435A" w:rsidRDefault="0032435A" w:rsidP="005F796F">
      <w:pPr>
        <w:pStyle w:val="Textonotapie"/>
        <w:jc w:val="both"/>
      </w:pPr>
      <w:r>
        <w:rPr>
          <w:rStyle w:val="Refdenotaalpie"/>
        </w:rPr>
        <w:footnoteRef/>
      </w:r>
      <w:r>
        <w:t xml:space="preserve"> Ver: Corte IDH. Caso Myrna Mack Chang Vs. Guatemala. Fondo, Reparaciones y Costas. Sentencia de 25 de noviembre de 2003. Serie C No. 101. </w:t>
      </w:r>
    </w:p>
    <w:p w14:paraId="7F87BA52" w14:textId="77777777" w:rsidR="0032435A" w:rsidRDefault="0032435A" w:rsidP="005F796F">
      <w:pPr>
        <w:pStyle w:val="Textonotapie"/>
        <w:jc w:val="both"/>
      </w:pPr>
      <w:r>
        <w:t xml:space="preserve">Corte IDH. Caso de la Comunidad Moiwana Vs. Surinam. Excepciones Preliminares, Fondo, Reparaciones y Costas. Sentencia 15 de junio de 2005. Serie C No. 124. </w:t>
      </w:r>
    </w:p>
    <w:p w14:paraId="1503D09B" w14:textId="77777777" w:rsidR="0032435A" w:rsidRDefault="0032435A" w:rsidP="005F796F">
      <w:pPr>
        <w:pStyle w:val="Textonotapie"/>
        <w:jc w:val="both"/>
      </w:pPr>
      <w:r>
        <w:t>CIDH Informe Anual 1985 -1986, OEA/Ser.L/V/II.68, Doc. 8 rev. 1, 26 de septiembre 1986, Capítulo V, citado en CIDH, “</w:t>
      </w:r>
      <w:r w:rsidRPr="00961B36">
        <w:rPr>
          <w:i/>
          <w:iCs/>
        </w:rPr>
        <w:t>El derecho a la verdad en América</w:t>
      </w:r>
      <w:r>
        <w:t>”</w:t>
      </w:r>
    </w:p>
  </w:footnote>
  <w:footnote w:id="8">
    <w:p w14:paraId="4E6684AD" w14:textId="77777777" w:rsidR="0032435A" w:rsidRPr="006E0BD9" w:rsidRDefault="0032435A" w:rsidP="005F796F">
      <w:pPr>
        <w:pStyle w:val="Textonotapie"/>
        <w:jc w:val="both"/>
        <w:rPr>
          <w:lang w:val="es-ES"/>
        </w:rPr>
      </w:pPr>
      <w:r>
        <w:rPr>
          <w:rStyle w:val="Refdenotaalpie"/>
        </w:rPr>
        <w:footnoteRef/>
      </w:r>
      <w:r>
        <w:t xml:space="preserve"> </w:t>
      </w:r>
      <w:r>
        <w:rPr>
          <w:lang w:val="es-ES"/>
        </w:rPr>
        <w:t>Juzgado Octavo de Distrito en Materia Administrativa en el D.F. Sentencia de 11 de abril de 2014. Pág. 46</w:t>
      </w:r>
    </w:p>
  </w:footnote>
  <w:footnote w:id="9">
    <w:p w14:paraId="4DFCCDCB" w14:textId="77777777" w:rsidR="0032435A" w:rsidRPr="006E0BD9" w:rsidRDefault="0032435A" w:rsidP="005F796F">
      <w:pPr>
        <w:pStyle w:val="Textonotapie"/>
        <w:rPr>
          <w:lang w:val="es-ES"/>
        </w:rPr>
      </w:pPr>
      <w:r>
        <w:rPr>
          <w:rStyle w:val="Refdenotaalpie"/>
        </w:rPr>
        <w:footnoteRef/>
      </w:r>
      <w:r>
        <w:t xml:space="preserve"> </w:t>
      </w:r>
      <w:r>
        <w:rPr>
          <w:lang w:val="es-ES"/>
        </w:rPr>
        <w:t xml:space="preserve">Oficio No. IFAI-0A/XPM/081/2015 disponible en </w:t>
      </w:r>
      <w:r w:rsidRPr="00961B36">
        <w:t>http://www.senado.gob.mx/comisiones/anticorrupcion/docs/transparencia/IFAI1.pdf</w:t>
      </w:r>
      <w:r>
        <w:t xml:space="preserve"> , por no encontrarse disponible la versión pública de la sentencia según página del Consejo de la Judicatura Federal.</w:t>
      </w:r>
    </w:p>
  </w:footnote>
  <w:footnote w:id="10">
    <w:p w14:paraId="27C7CB0B" w14:textId="2CEB37B6" w:rsidR="0049418C" w:rsidRDefault="0049418C">
      <w:pPr>
        <w:pStyle w:val="Textonotapie"/>
      </w:pPr>
      <w:r>
        <w:rPr>
          <w:rStyle w:val="Refdenotaalpie"/>
        </w:rPr>
        <w:footnoteRef/>
      </w:r>
      <w:r>
        <w:t xml:space="preserve"> </w:t>
      </w:r>
      <w:hyperlink r:id="rId3" w:history="1">
        <w:r w:rsidRPr="001C4B11">
          <w:rPr>
            <w:rStyle w:val="Hipervnculo"/>
          </w:rPr>
          <w:t>https://www.cndh.org.mx/documento/cndh-recomienda-hospital-juarez-reparacion-integral-de-danos-para-familiares-de-persona</w:t>
        </w:r>
      </w:hyperlink>
    </w:p>
  </w:footnote>
  <w:footnote w:id="11">
    <w:p w14:paraId="09899B83" w14:textId="74414247" w:rsidR="0049418C" w:rsidRDefault="0049418C">
      <w:pPr>
        <w:pStyle w:val="Textonotapie"/>
      </w:pPr>
      <w:r>
        <w:rPr>
          <w:rStyle w:val="Refdenotaalpie"/>
        </w:rPr>
        <w:footnoteRef/>
      </w:r>
      <w:r>
        <w:t xml:space="preserve"> </w:t>
      </w:r>
      <w:hyperlink r:id="rId4" w:history="1">
        <w:r w:rsidR="00D90277" w:rsidRPr="001C4B11">
          <w:rPr>
            <w:rStyle w:val="Hipervnculo"/>
          </w:rPr>
          <w:t>https://www.cndh.org.mx/documento/cndh-pide-la-ssa-y-al-hgm-dr-eduardo-liceaga-la-reparacion-integral-del-dano-por-el</w:t>
        </w:r>
      </w:hyperlink>
    </w:p>
    <w:p w14:paraId="32D7051A" w14:textId="77777777" w:rsidR="0049418C" w:rsidRDefault="0049418C">
      <w:pPr>
        <w:pStyle w:val="Textonotapie"/>
      </w:pPr>
    </w:p>
  </w:footnote>
  <w:footnote w:id="12">
    <w:p w14:paraId="66832928" w14:textId="4B787C5F" w:rsidR="00D90277" w:rsidRDefault="00D90277">
      <w:pPr>
        <w:pStyle w:val="Textonotapie"/>
      </w:pPr>
      <w:r>
        <w:rPr>
          <w:rStyle w:val="Refdenotaalpie"/>
        </w:rPr>
        <w:footnoteRef/>
      </w:r>
      <w:r>
        <w:t xml:space="preserve"> </w:t>
      </w:r>
      <w:hyperlink r:id="rId5" w:history="1">
        <w:r w:rsidRPr="001C4B11">
          <w:rPr>
            <w:rStyle w:val="Hipervnculo"/>
          </w:rPr>
          <w:t>https://www.cndh.org.mx/documento/cndh-recomienda-al-issste-reparacion-integral-para-la-madre-de-un-recien-nacido-quien</w:t>
        </w:r>
      </w:hyperlink>
    </w:p>
    <w:p w14:paraId="446C2634" w14:textId="77777777" w:rsidR="00D90277" w:rsidRDefault="00D90277">
      <w:pPr>
        <w:pStyle w:val="Textonotapie"/>
      </w:pPr>
    </w:p>
  </w:footnote>
  <w:footnote w:id="13">
    <w:p w14:paraId="0CCA279D" w14:textId="39780C0A" w:rsidR="00D90277" w:rsidRDefault="00D90277">
      <w:pPr>
        <w:pStyle w:val="Textonotapie"/>
      </w:pPr>
      <w:r>
        <w:rPr>
          <w:rStyle w:val="Refdenotaalpie"/>
        </w:rPr>
        <w:footnoteRef/>
      </w:r>
      <w:r>
        <w:t xml:space="preserve"> Disponible para su consulta en </w:t>
      </w:r>
      <w:hyperlink r:id="rId6" w:history="1">
        <w:r w:rsidRPr="001C4B11">
          <w:rPr>
            <w:rStyle w:val="Hipervnculo"/>
          </w:rPr>
          <w:t>https://www.corteidh.or.cr/docs/casos/articulos/seriec_171_esp.pdf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ACF4" w14:textId="77777777" w:rsidR="0032435A" w:rsidRDefault="00000000">
    <w:pPr>
      <w:pStyle w:val="Encabezado"/>
    </w:pPr>
    <w:r>
      <w:rPr>
        <w:noProof/>
        <w:lang w:val="en-US"/>
      </w:rPr>
      <w:pict w14:anchorId="273AB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1026" type="#_x0000_t136" style="position:absolute;margin-left:0;margin-top:0;width:538.05pt;height:84.95pt;rotation:315;z-index:-25165619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7C83" w14:textId="76C4384C" w:rsidR="0032435A" w:rsidRDefault="0027224D">
    <w:pPr>
      <w:pStyle w:val="Encabezado"/>
    </w:pPr>
    <w:r>
      <w:rPr>
        <w:noProof/>
        <w:lang w:eastAsia="es-MX"/>
      </w:rPr>
      <w:drawing>
        <wp:anchor distT="0" distB="0" distL="114300" distR="114300" simplePos="0" relativeHeight="251662336" behindDoc="1" locked="0" layoutInCell="1" allowOverlap="1" wp14:anchorId="1FE8B2BA" wp14:editId="67544DAF">
          <wp:simplePos x="0" y="0"/>
          <wp:positionH relativeFrom="column">
            <wp:posOffset>-557473</wp:posOffset>
          </wp:positionH>
          <wp:positionV relativeFrom="paragraph">
            <wp:posOffset>-81981</wp:posOffset>
          </wp:positionV>
          <wp:extent cx="1591293" cy="935647"/>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7970" t="33724" r="60240" b="53952"/>
                  <a:stretch/>
                </pic:blipFill>
                <pic:spPr bwMode="auto">
                  <a:xfrm>
                    <a:off x="0" y="0"/>
                    <a:ext cx="1591293" cy="935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noProof/>
        <w:lang w:val="en-US"/>
      </w:rPr>
      <w:pict w14:anchorId="130B2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1027" type="#_x0000_t136" style="position:absolute;margin-left:0;margin-top:0;width:538.05pt;height:84.9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50BE1DDF" w14:textId="77777777" w:rsidR="00BC5E87" w:rsidRDefault="00BC5E87" w:rsidP="00BC5E87">
    <w:pPr>
      <w:pStyle w:val="Encabezado"/>
      <w:tabs>
        <w:tab w:val="clear" w:pos="4419"/>
        <w:tab w:val="clear" w:pos="8838"/>
        <w:tab w:val="left" w:pos="3210"/>
      </w:tabs>
    </w:pPr>
    <w:r>
      <w:tab/>
    </w:r>
  </w:p>
  <w:tbl>
    <w:tblPr>
      <w:tblW w:w="7654" w:type="dxa"/>
      <w:tblInd w:w="1980" w:type="dxa"/>
      <w:tblLayout w:type="fixed"/>
      <w:tblLook w:val="04A0" w:firstRow="1" w:lastRow="0" w:firstColumn="1" w:lastColumn="0" w:noHBand="0" w:noVBand="1"/>
    </w:tblPr>
    <w:tblGrid>
      <w:gridCol w:w="2551"/>
      <w:gridCol w:w="5103"/>
    </w:tblGrid>
    <w:tr w:rsidR="00BC5E87" w:rsidRPr="00A036A6" w14:paraId="3D20B085" w14:textId="77777777" w:rsidTr="00BC5E87">
      <w:tc>
        <w:tcPr>
          <w:tcW w:w="2551" w:type="dxa"/>
          <w:shd w:val="clear" w:color="auto" w:fill="auto"/>
        </w:tcPr>
        <w:p w14:paraId="288CC5FC" w14:textId="77777777" w:rsidR="00BC5E87" w:rsidRPr="00807CDA" w:rsidRDefault="00BC5E87" w:rsidP="00BC5E87">
          <w:pPr>
            <w:spacing w:line="276" w:lineRule="auto"/>
            <w:jc w:val="both"/>
            <w:rPr>
              <w:rFonts w:ascii="Palatino Linotype" w:hAnsi="Palatino Linotype"/>
              <w:lang w:val="es-ES_tradnl"/>
            </w:rPr>
          </w:pPr>
          <w:r w:rsidRPr="00807CDA">
            <w:rPr>
              <w:rFonts w:ascii="Palatino Linotype" w:hAnsi="Palatino Linotype"/>
              <w:lang w:val="es-ES_tradnl"/>
            </w:rPr>
            <w:t>Recurso de revisión:</w:t>
          </w:r>
        </w:p>
      </w:tc>
      <w:tc>
        <w:tcPr>
          <w:tcW w:w="5103" w:type="dxa"/>
          <w:shd w:val="clear" w:color="auto" w:fill="auto"/>
          <w:vAlign w:val="center"/>
        </w:tcPr>
        <w:p w14:paraId="3B942372" w14:textId="71223993" w:rsidR="00BC5E87" w:rsidRPr="00A036A6" w:rsidRDefault="00BC5E87" w:rsidP="00BC5E87">
          <w:pPr>
            <w:spacing w:line="276" w:lineRule="auto"/>
            <w:rPr>
              <w:rFonts w:ascii="Palatino Linotype" w:hAnsi="Palatino Linotype"/>
              <w:lang w:val="es-ES_tradnl"/>
            </w:rPr>
          </w:pPr>
          <w:r w:rsidRPr="00BC5E87">
            <w:rPr>
              <w:rFonts w:ascii="Palatino Linotype" w:hAnsi="Palatino Linotype"/>
              <w:lang w:val="es-ES_tradnl"/>
            </w:rPr>
            <w:t>13664/INFOEM/IP/RR/2022.</w:t>
          </w:r>
        </w:p>
      </w:tc>
    </w:tr>
    <w:tr w:rsidR="00BC5E87" w:rsidRPr="00A036A6" w14:paraId="34F7E9C1" w14:textId="77777777" w:rsidTr="00BC5E87">
      <w:trPr>
        <w:trHeight w:val="228"/>
      </w:trPr>
      <w:tc>
        <w:tcPr>
          <w:tcW w:w="2551" w:type="dxa"/>
          <w:shd w:val="clear" w:color="auto" w:fill="auto"/>
        </w:tcPr>
        <w:p w14:paraId="37937251" w14:textId="77777777" w:rsidR="00BC5E87" w:rsidRPr="00807CDA" w:rsidRDefault="00BC5E87" w:rsidP="00BC5E87">
          <w:pPr>
            <w:spacing w:line="276" w:lineRule="auto"/>
            <w:jc w:val="both"/>
            <w:rPr>
              <w:rFonts w:ascii="Palatino Linotype" w:hAnsi="Palatino Linotype"/>
              <w:lang w:val="es-ES_tradnl"/>
            </w:rPr>
          </w:pPr>
          <w:r>
            <w:rPr>
              <w:rFonts w:ascii="Palatino Linotype" w:hAnsi="Palatino Linotype"/>
              <w:lang w:val="es-ES_tradnl"/>
            </w:rPr>
            <w:t>Sujeto Obligado</w:t>
          </w:r>
          <w:r w:rsidRPr="00807CDA">
            <w:rPr>
              <w:rFonts w:ascii="Palatino Linotype" w:hAnsi="Palatino Linotype"/>
              <w:lang w:val="es-ES_tradnl"/>
            </w:rPr>
            <w:t>:</w:t>
          </w:r>
        </w:p>
      </w:tc>
      <w:tc>
        <w:tcPr>
          <w:tcW w:w="5103" w:type="dxa"/>
          <w:shd w:val="clear" w:color="auto" w:fill="auto"/>
          <w:vAlign w:val="center"/>
        </w:tcPr>
        <w:p w14:paraId="2E95695D" w14:textId="400779DF" w:rsidR="00BC5E87" w:rsidRPr="00A036A6" w:rsidRDefault="00BC5E87" w:rsidP="00BC5E87">
          <w:pPr>
            <w:spacing w:line="276" w:lineRule="auto"/>
            <w:rPr>
              <w:rFonts w:ascii="Palatino Linotype" w:hAnsi="Palatino Linotype"/>
            </w:rPr>
          </w:pPr>
          <w:r w:rsidRPr="00BC5E87">
            <w:rPr>
              <w:rFonts w:ascii="Palatino Linotype" w:hAnsi="Palatino Linotype"/>
            </w:rPr>
            <w:t>Fiscalía General de Justicia del Estado de México</w:t>
          </w:r>
        </w:p>
      </w:tc>
    </w:tr>
    <w:tr w:rsidR="00BC5E87" w:rsidRPr="00A036A6" w14:paraId="68F1878B" w14:textId="77777777" w:rsidTr="00BC5E87">
      <w:tc>
        <w:tcPr>
          <w:tcW w:w="2551" w:type="dxa"/>
          <w:shd w:val="clear" w:color="auto" w:fill="auto"/>
        </w:tcPr>
        <w:p w14:paraId="25CF6A34" w14:textId="77777777" w:rsidR="00BC5E87" w:rsidRPr="00807CDA" w:rsidRDefault="00BC5E87" w:rsidP="00BC5E87">
          <w:pPr>
            <w:spacing w:line="276" w:lineRule="auto"/>
            <w:jc w:val="both"/>
            <w:rPr>
              <w:rFonts w:ascii="Palatino Linotype" w:hAnsi="Palatino Linotype"/>
              <w:lang w:val="es-ES_tradnl"/>
            </w:rPr>
          </w:pPr>
          <w:r>
            <w:rPr>
              <w:rFonts w:ascii="Palatino Linotype" w:hAnsi="Palatino Linotype"/>
              <w:lang w:val="es-ES_tradnl"/>
            </w:rPr>
            <w:t>Comisionado</w:t>
          </w:r>
          <w:r w:rsidRPr="00807CDA">
            <w:rPr>
              <w:rFonts w:ascii="Palatino Linotype" w:hAnsi="Palatino Linotype"/>
              <w:lang w:val="es-ES_tradnl"/>
            </w:rPr>
            <w:t xml:space="preserve"> </w:t>
          </w:r>
          <w:r>
            <w:rPr>
              <w:rFonts w:ascii="Palatino Linotype" w:hAnsi="Palatino Linotype"/>
              <w:lang w:val="es-ES_tradnl"/>
            </w:rPr>
            <w:t>P</w:t>
          </w:r>
          <w:r w:rsidRPr="00807CDA">
            <w:rPr>
              <w:rFonts w:ascii="Palatino Linotype" w:hAnsi="Palatino Linotype"/>
              <w:lang w:val="es-ES_tradnl"/>
            </w:rPr>
            <w:t>onente:</w:t>
          </w:r>
        </w:p>
      </w:tc>
      <w:tc>
        <w:tcPr>
          <w:tcW w:w="5103" w:type="dxa"/>
          <w:shd w:val="clear" w:color="auto" w:fill="auto"/>
        </w:tcPr>
        <w:p w14:paraId="212A259C" w14:textId="3336536F" w:rsidR="00BC5E87" w:rsidRPr="00A036A6" w:rsidRDefault="00BC5E87" w:rsidP="00BC5E87">
          <w:pPr>
            <w:spacing w:line="276" w:lineRule="auto"/>
            <w:rPr>
              <w:rFonts w:ascii="Palatino Linotype" w:hAnsi="Palatino Linotype"/>
              <w:lang w:val="es-ES_tradnl"/>
            </w:rPr>
          </w:pPr>
          <w:r>
            <w:rPr>
              <w:rFonts w:ascii="Palatino Linotype" w:hAnsi="Palatino Linotype"/>
              <w:lang w:val="es-ES_tradnl"/>
            </w:rPr>
            <w:t xml:space="preserve">Guadalupe Ramírez Peña </w:t>
          </w:r>
        </w:p>
      </w:tc>
    </w:tr>
  </w:tbl>
  <w:p w14:paraId="4CD3675C" w14:textId="5A10C764" w:rsidR="0032435A" w:rsidRDefault="0032435A" w:rsidP="00BC5E87">
    <w:pPr>
      <w:pStyle w:val="Encabezado"/>
      <w:tabs>
        <w:tab w:val="clear" w:pos="4419"/>
        <w:tab w:val="clear" w:pos="8838"/>
        <w:tab w:val="left" w:pos="321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2057" w14:textId="77777777" w:rsidR="0032435A" w:rsidRDefault="00000000">
    <w:pPr>
      <w:pStyle w:val="Encabezado"/>
    </w:pPr>
    <w:r>
      <w:rPr>
        <w:noProof/>
        <w:lang w:val="en-US"/>
      </w:rPr>
      <w:pict w14:anchorId="2D489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1025" type="#_x0000_t136" style="position:absolute;margin-left:0;margin-top:0;width:538.05pt;height:84.95pt;rotation:315;z-index:-251657216;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DFB"/>
    <w:multiLevelType w:val="hybridMultilevel"/>
    <w:tmpl w:val="5C2EE6B6"/>
    <w:lvl w:ilvl="0" w:tplc="679EA47A">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1956DB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4B1A73"/>
    <w:multiLevelType w:val="hybridMultilevel"/>
    <w:tmpl w:val="6E8084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85D08D2"/>
    <w:multiLevelType w:val="hybridMultilevel"/>
    <w:tmpl w:val="6EF2AE00"/>
    <w:lvl w:ilvl="0" w:tplc="6616D4C6">
      <w:start w:val="1"/>
      <w:numFmt w:val="lowerLetter"/>
      <w:lvlText w:val="%1)"/>
      <w:lvlJc w:val="left"/>
      <w:pPr>
        <w:ind w:left="720" w:hanging="360"/>
      </w:pPr>
      <w:rPr>
        <w:rFonts w:eastAsia="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C81620"/>
    <w:multiLevelType w:val="hybridMultilevel"/>
    <w:tmpl w:val="62F6F100"/>
    <w:lvl w:ilvl="0" w:tplc="257C80E4">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C722D3"/>
    <w:multiLevelType w:val="hybridMultilevel"/>
    <w:tmpl w:val="785A8D0E"/>
    <w:lvl w:ilvl="0" w:tplc="F8E4E530">
      <w:start w:val="1"/>
      <w:numFmt w:val="upperRoman"/>
      <w:lvlText w:val="%1."/>
      <w:lvlJc w:val="left"/>
      <w:pPr>
        <w:ind w:left="1080" w:hanging="720"/>
      </w:pPr>
      <w:rPr>
        <w:rFonts w:ascii="Palatino Linotype" w:hAnsi="Palatino Linotype" w:hint="default"/>
        <w:b/>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084F3C"/>
    <w:multiLevelType w:val="hybridMultilevel"/>
    <w:tmpl w:val="B7E2DC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9E19F6"/>
    <w:multiLevelType w:val="hybridMultilevel"/>
    <w:tmpl w:val="FB7A435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7D0697"/>
    <w:multiLevelType w:val="hybridMultilevel"/>
    <w:tmpl w:val="ABB48A1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5E2F0D"/>
    <w:multiLevelType w:val="hybridMultilevel"/>
    <w:tmpl w:val="F214B2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C640A2"/>
    <w:multiLevelType w:val="hybridMultilevel"/>
    <w:tmpl w:val="A42007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927D1D"/>
    <w:multiLevelType w:val="hybridMultilevel"/>
    <w:tmpl w:val="1624CFD4"/>
    <w:lvl w:ilvl="0" w:tplc="7C0A19C8">
      <w:start w:val="10"/>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345634BA"/>
    <w:lvl w:ilvl="0" w:tplc="50A2BCFA">
      <w:start w:val="1"/>
      <w:numFmt w:val="decimal"/>
      <w:lvlText w:val="%1."/>
      <w:lvlJc w:val="left"/>
      <w:pPr>
        <w:ind w:left="5039"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3DC64492">
      <w:start w:val="5"/>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866BDB"/>
    <w:multiLevelType w:val="hybridMultilevel"/>
    <w:tmpl w:val="EE84DF4E"/>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5" w15:restartNumberingAfterBreak="0">
    <w:nsid w:val="382533DB"/>
    <w:multiLevelType w:val="hybridMultilevel"/>
    <w:tmpl w:val="345648DA"/>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1066BC"/>
    <w:multiLevelType w:val="hybridMultilevel"/>
    <w:tmpl w:val="0B288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4D01F0"/>
    <w:multiLevelType w:val="hybridMultilevel"/>
    <w:tmpl w:val="20A010AE"/>
    <w:lvl w:ilvl="0" w:tplc="47F8579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45731CEF"/>
    <w:multiLevelType w:val="multilevel"/>
    <w:tmpl w:val="888A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61492"/>
    <w:multiLevelType w:val="hybridMultilevel"/>
    <w:tmpl w:val="CAD01DB2"/>
    <w:lvl w:ilvl="0" w:tplc="B726CFFE">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85231C"/>
    <w:multiLevelType w:val="hybridMultilevel"/>
    <w:tmpl w:val="2AA8E968"/>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2" w15:restartNumberingAfterBreak="0">
    <w:nsid w:val="4BCC06D5"/>
    <w:multiLevelType w:val="hybridMultilevel"/>
    <w:tmpl w:val="908CB0D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D35B30"/>
    <w:multiLevelType w:val="hybridMultilevel"/>
    <w:tmpl w:val="7646CFA6"/>
    <w:lvl w:ilvl="0" w:tplc="8DDCC7AA">
      <w:start w:val="4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44432D"/>
    <w:multiLevelType w:val="hybridMultilevel"/>
    <w:tmpl w:val="8EC6E7A6"/>
    <w:lvl w:ilvl="0" w:tplc="50A2BCFA">
      <w:start w:val="1"/>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7202FA"/>
    <w:multiLevelType w:val="hybridMultilevel"/>
    <w:tmpl w:val="5DF84F14"/>
    <w:lvl w:ilvl="0" w:tplc="314C95F2">
      <w:start w:val="1"/>
      <w:numFmt w:val="decimal"/>
      <w:lvlText w:val="%1."/>
      <w:lvlJc w:val="left"/>
      <w:pPr>
        <w:ind w:left="36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CF6A33"/>
    <w:multiLevelType w:val="multilevel"/>
    <w:tmpl w:val="EAA4448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5F4779B8"/>
    <w:multiLevelType w:val="hybridMultilevel"/>
    <w:tmpl w:val="D3CE1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3102028"/>
    <w:multiLevelType w:val="hybridMultilevel"/>
    <w:tmpl w:val="F41680FE"/>
    <w:lvl w:ilvl="0" w:tplc="25CEB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0A1793"/>
    <w:multiLevelType w:val="hybridMultilevel"/>
    <w:tmpl w:val="9920C8D2"/>
    <w:lvl w:ilvl="0" w:tplc="C666EAAC">
      <w:start w:val="4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D4FB1"/>
    <w:multiLevelType w:val="hybridMultilevel"/>
    <w:tmpl w:val="0A0CCE9C"/>
    <w:lvl w:ilvl="0" w:tplc="50A2BCFA">
      <w:start w:val="1"/>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B25E4A"/>
    <w:multiLevelType w:val="hybridMultilevel"/>
    <w:tmpl w:val="AC220B64"/>
    <w:lvl w:ilvl="0" w:tplc="6256DBB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755A6B"/>
    <w:multiLevelType w:val="multilevel"/>
    <w:tmpl w:val="E2BC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F761A4"/>
    <w:multiLevelType w:val="multilevel"/>
    <w:tmpl w:val="422C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2E249B"/>
    <w:multiLevelType w:val="hybridMultilevel"/>
    <w:tmpl w:val="B7E2DC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E82A9B"/>
    <w:multiLevelType w:val="hybridMultilevel"/>
    <w:tmpl w:val="D53637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D0295B"/>
    <w:multiLevelType w:val="hybridMultilevel"/>
    <w:tmpl w:val="A4DAE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9882296">
    <w:abstractNumId w:val="25"/>
  </w:num>
  <w:num w:numId="2" w16cid:durableId="1593976763">
    <w:abstractNumId w:val="34"/>
  </w:num>
  <w:num w:numId="3" w16cid:durableId="274557695">
    <w:abstractNumId w:val="0"/>
  </w:num>
  <w:num w:numId="4" w16cid:durableId="1623414186">
    <w:abstractNumId w:val="10"/>
  </w:num>
  <w:num w:numId="5" w16cid:durableId="977611725">
    <w:abstractNumId w:val="26"/>
  </w:num>
  <w:num w:numId="6" w16cid:durableId="1170101543">
    <w:abstractNumId w:val="21"/>
  </w:num>
  <w:num w:numId="7" w16cid:durableId="170995228">
    <w:abstractNumId w:val="17"/>
  </w:num>
  <w:num w:numId="8" w16cid:durableId="1762026949">
    <w:abstractNumId w:val="1"/>
  </w:num>
  <w:num w:numId="9" w16cid:durableId="1967005264">
    <w:abstractNumId w:val="13"/>
  </w:num>
  <w:num w:numId="10" w16cid:durableId="85729804">
    <w:abstractNumId w:val="8"/>
  </w:num>
  <w:num w:numId="11" w16cid:durableId="442653013">
    <w:abstractNumId w:val="28"/>
  </w:num>
  <w:num w:numId="12" w16cid:durableId="1010260372">
    <w:abstractNumId w:val="5"/>
  </w:num>
  <w:num w:numId="13" w16cid:durableId="50538587">
    <w:abstractNumId w:val="19"/>
  </w:num>
  <w:num w:numId="14" w16cid:durableId="2029139425">
    <w:abstractNumId w:val="14"/>
  </w:num>
  <w:num w:numId="15" w16cid:durableId="2144035692">
    <w:abstractNumId w:val="37"/>
  </w:num>
  <w:num w:numId="16" w16cid:durableId="1698463644">
    <w:abstractNumId w:val="7"/>
  </w:num>
  <w:num w:numId="17" w16cid:durableId="1001011345">
    <w:abstractNumId w:val="9"/>
  </w:num>
  <w:num w:numId="18" w16cid:durableId="500047553">
    <w:abstractNumId w:val="38"/>
  </w:num>
  <w:num w:numId="19" w16cid:durableId="366686864">
    <w:abstractNumId w:val="32"/>
  </w:num>
  <w:num w:numId="20" w16cid:durableId="1391072745">
    <w:abstractNumId w:val="29"/>
  </w:num>
  <w:num w:numId="21" w16cid:durableId="1725982578">
    <w:abstractNumId w:val="11"/>
  </w:num>
  <w:num w:numId="22" w16cid:durableId="294024465">
    <w:abstractNumId w:val="15"/>
  </w:num>
  <w:num w:numId="23" w16cid:durableId="1607079741">
    <w:abstractNumId w:val="27"/>
  </w:num>
  <w:num w:numId="24" w16cid:durableId="430005051">
    <w:abstractNumId w:val="20"/>
  </w:num>
  <w:num w:numId="25" w16cid:durableId="447939190">
    <w:abstractNumId w:val="31"/>
  </w:num>
  <w:num w:numId="26" w16cid:durableId="1255281157">
    <w:abstractNumId w:val="24"/>
  </w:num>
  <w:num w:numId="27" w16cid:durableId="1280794179">
    <w:abstractNumId w:val="3"/>
  </w:num>
  <w:num w:numId="28" w16cid:durableId="459149324">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4802591">
    <w:abstractNumId w:val="12"/>
  </w:num>
  <w:num w:numId="30" w16cid:durableId="2045400295">
    <w:abstractNumId w:val="6"/>
  </w:num>
  <w:num w:numId="31" w16cid:durableId="1017315831">
    <w:abstractNumId w:val="2"/>
  </w:num>
  <w:num w:numId="32" w16cid:durableId="851065706">
    <w:abstractNumId w:val="33"/>
  </w:num>
  <w:num w:numId="33" w16cid:durableId="1228027980">
    <w:abstractNumId w:val="30"/>
  </w:num>
  <w:num w:numId="34" w16cid:durableId="2127188142">
    <w:abstractNumId w:val="23"/>
  </w:num>
  <w:num w:numId="35" w16cid:durableId="1046292512">
    <w:abstractNumId w:val="16"/>
  </w:num>
  <w:num w:numId="36" w16cid:durableId="1583444360">
    <w:abstractNumId w:val="22"/>
  </w:num>
  <w:num w:numId="37" w16cid:durableId="345255505">
    <w:abstractNumId w:val="39"/>
  </w:num>
  <w:num w:numId="38" w16cid:durableId="1347321448">
    <w:abstractNumId w:val="36"/>
  </w:num>
  <w:num w:numId="39" w16cid:durableId="1607274545">
    <w:abstractNumId w:val="18"/>
  </w:num>
  <w:num w:numId="40" w16cid:durableId="35196050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425"/>
    <w:rsid w:val="000150BA"/>
    <w:rsid w:val="00032496"/>
    <w:rsid w:val="00035866"/>
    <w:rsid w:val="00036132"/>
    <w:rsid w:val="0007183B"/>
    <w:rsid w:val="00091FA7"/>
    <w:rsid w:val="000A29FD"/>
    <w:rsid w:val="000B2316"/>
    <w:rsid w:val="000C3F66"/>
    <w:rsid w:val="000D2CB7"/>
    <w:rsid w:val="000D3249"/>
    <w:rsid w:val="000F1716"/>
    <w:rsid w:val="00100221"/>
    <w:rsid w:val="001132CB"/>
    <w:rsid w:val="00117A12"/>
    <w:rsid w:val="00122EB1"/>
    <w:rsid w:val="00141B6E"/>
    <w:rsid w:val="00147149"/>
    <w:rsid w:val="00152DB2"/>
    <w:rsid w:val="001701E1"/>
    <w:rsid w:val="00180BFE"/>
    <w:rsid w:val="00196054"/>
    <w:rsid w:val="001A1ECB"/>
    <w:rsid w:val="001B2FE3"/>
    <w:rsid w:val="001C4337"/>
    <w:rsid w:val="001E1ABF"/>
    <w:rsid w:val="00207CD1"/>
    <w:rsid w:val="00212142"/>
    <w:rsid w:val="00213603"/>
    <w:rsid w:val="00215DCF"/>
    <w:rsid w:val="00230453"/>
    <w:rsid w:val="002307C0"/>
    <w:rsid w:val="0023130B"/>
    <w:rsid w:val="0023170E"/>
    <w:rsid w:val="00250780"/>
    <w:rsid w:val="00253D8C"/>
    <w:rsid w:val="00262FC1"/>
    <w:rsid w:val="0026420F"/>
    <w:rsid w:val="00265603"/>
    <w:rsid w:val="00265760"/>
    <w:rsid w:val="0027224D"/>
    <w:rsid w:val="0027773D"/>
    <w:rsid w:val="00277FA3"/>
    <w:rsid w:val="0029152A"/>
    <w:rsid w:val="002A30A3"/>
    <w:rsid w:val="002A43BC"/>
    <w:rsid w:val="002B000F"/>
    <w:rsid w:val="002B2DB8"/>
    <w:rsid w:val="002C0425"/>
    <w:rsid w:val="002D4A4A"/>
    <w:rsid w:val="002E2EBD"/>
    <w:rsid w:val="00311B32"/>
    <w:rsid w:val="00320619"/>
    <w:rsid w:val="0032435A"/>
    <w:rsid w:val="00325F46"/>
    <w:rsid w:val="00337AD2"/>
    <w:rsid w:val="003442F0"/>
    <w:rsid w:val="0034598D"/>
    <w:rsid w:val="00355753"/>
    <w:rsid w:val="003603BF"/>
    <w:rsid w:val="0039183C"/>
    <w:rsid w:val="00392B10"/>
    <w:rsid w:val="0039495E"/>
    <w:rsid w:val="003B34A8"/>
    <w:rsid w:val="003C6C75"/>
    <w:rsid w:val="003F100C"/>
    <w:rsid w:val="003F5F80"/>
    <w:rsid w:val="00401D61"/>
    <w:rsid w:val="004022C0"/>
    <w:rsid w:val="00406B19"/>
    <w:rsid w:val="00414AC0"/>
    <w:rsid w:val="004240AA"/>
    <w:rsid w:val="0042787B"/>
    <w:rsid w:val="0043259F"/>
    <w:rsid w:val="0044193D"/>
    <w:rsid w:val="00443B50"/>
    <w:rsid w:val="00465268"/>
    <w:rsid w:val="00466E0E"/>
    <w:rsid w:val="00490E5C"/>
    <w:rsid w:val="0049418C"/>
    <w:rsid w:val="00494A1F"/>
    <w:rsid w:val="004971E6"/>
    <w:rsid w:val="004A2510"/>
    <w:rsid w:val="004B4437"/>
    <w:rsid w:val="004B46C5"/>
    <w:rsid w:val="004C29DA"/>
    <w:rsid w:val="004E6086"/>
    <w:rsid w:val="004E63BF"/>
    <w:rsid w:val="004F39B9"/>
    <w:rsid w:val="004F7A40"/>
    <w:rsid w:val="005001CF"/>
    <w:rsid w:val="005002AA"/>
    <w:rsid w:val="00502CAF"/>
    <w:rsid w:val="00512D09"/>
    <w:rsid w:val="005224AF"/>
    <w:rsid w:val="00551216"/>
    <w:rsid w:val="005644FF"/>
    <w:rsid w:val="00587D1C"/>
    <w:rsid w:val="00593CC1"/>
    <w:rsid w:val="005B0502"/>
    <w:rsid w:val="005C6624"/>
    <w:rsid w:val="005C7AE6"/>
    <w:rsid w:val="005D265C"/>
    <w:rsid w:val="005F796F"/>
    <w:rsid w:val="0060449E"/>
    <w:rsid w:val="0061369A"/>
    <w:rsid w:val="00621A70"/>
    <w:rsid w:val="00623067"/>
    <w:rsid w:val="00623C8D"/>
    <w:rsid w:val="00624117"/>
    <w:rsid w:val="00627742"/>
    <w:rsid w:val="006A4123"/>
    <w:rsid w:val="006A5D29"/>
    <w:rsid w:val="006B4F3E"/>
    <w:rsid w:val="006E10FC"/>
    <w:rsid w:val="006E6998"/>
    <w:rsid w:val="006F47DC"/>
    <w:rsid w:val="00703237"/>
    <w:rsid w:val="00731C1B"/>
    <w:rsid w:val="0074075A"/>
    <w:rsid w:val="00742484"/>
    <w:rsid w:val="00760EFD"/>
    <w:rsid w:val="00773410"/>
    <w:rsid w:val="007813AE"/>
    <w:rsid w:val="00781609"/>
    <w:rsid w:val="0078362A"/>
    <w:rsid w:val="007846D2"/>
    <w:rsid w:val="00792890"/>
    <w:rsid w:val="007B5DDB"/>
    <w:rsid w:val="007B7418"/>
    <w:rsid w:val="007F2468"/>
    <w:rsid w:val="007F4F75"/>
    <w:rsid w:val="007F7136"/>
    <w:rsid w:val="00802AAE"/>
    <w:rsid w:val="0082021B"/>
    <w:rsid w:val="008317DA"/>
    <w:rsid w:val="0083752B"/>
    <w:rsid w:val="008421EE"/>
    <w:rsid w:val="00860F51"/>
    <w:rsid w:val="0087228E"/>
    <w:rsid w:val="0088136D"/>
    <w:rsid w:val="00881525"/>
    <w:rsid w:val="00883783"/>
    <w:rsid w:val="008855B5"/>
    <w:rsid w:val="008957BF"/>
    <w:rsid w:val="00895986"/>
    <w:rsid w:val="008A4B0D"/>
    <w:rsid w:val="008C5C3F"/>
    <w:rsid w:val="008D0A77"/>
    <w:rsid w:val="008D7542"/>
    <w:rsid w:val="0090113F"/>
    <w:rsid w:val="0090379C"/>
    <w:rsid w:val="00910ECF"/>
    <w:rsid w:val="0091171B"/>
    <w:rsid w:val="0091259D"/>
    <w:rsid w:val="00913606"/>
    <w:rsid w:val="00930D24"/>
    <w:rsid w:val="00935E48"/>
    <w:rsid w:val="00941C31"/>
    <w:rsid w:val="00942EE7"/>
    <w:rsid w:val="00956804"/>
    <w:rsid w:val="00956E2E"/>
    <w:rsid w:val="00957415"/>
    <w:rsid w:val="00964C1E"/>
    <w:rsid w:val="009655F8"/>
    <w:rsid w:val="00971074"/>
    <w:rsid w:val="009773F9"/>
    <w:rsid w:val="00986004"/>
    <w:rsid w:val="009956CF"/>
    <w:rsid w:val="0099743B"/>
    <w:rsid w:val="009A5761"/>
    <w:rsid w:val="009B57E6"/>
    <w:rsid w:val="009C3593"/>
    <w:rsid w:val="009F0A19"/>
    <w:rsid w:val="009F0BC5"/>
    <w:rsid w:val="009F4DB4"/>
    <w:rsid w:val="00A00825"/>
    <w:rsid w:val="00A045DD"/>
    <w:rsid w:val="00A3574A"/>
    <w:rsid w:val="00A472F8"/>
    <w:rsid w:val="00AA2CEC"/>
    <w:rsid w:val="00AC21D4"/>
    <w:rsid w:val="00AD1A27"/>
    <w:rsid w:val="00AF53C4"/>
    <w:rsid w:val="00B00D57"/>
    <w:rsid w:val="00B0746B"/>
    <w:rsid w:val="00B14249"/>
    <w:rsid w:val="00B142A9"/>
    <w:rsid w:val="00B623D1"/>
    <w:rsid w:val="00B706FA"/>
    <w:rsid w:val="00B90ADC"/>
    <w:rsid w:val="00BA2B5D"/>
    <w:rsid w:val="00BA448C"/>
    <w:rsid w:val="00BB518F"/>
    <w:rsid w:val="00BC08D2"/>
    <w:rsid w:val="00BC4265"/>
    <w:rsid w:val="00BC5E87"/>
    <w:rsid w:val="00BC78C8"/>
    <w:rsid w:val="00C2473C"/>
    <w:rsid w:val="00C451F4"/>
    <w:rsid w:val="00C62100"/>
    <w:rsid w:val="00C70C3A"/>
    <w:rsid w:val="00C7145E"/>
    <w:rsid w:val="00C72F11"/>
    <w:rsid w:val="00C77E23"/>
    <w:rsid w:val="00C849E8"/>
    <w:rsid w:val="00C86B5D"/>
    <w:rsid w:val="00C92C05"/>
    <w:rsid w:val="00C93048"/>
    <w:rsid w:val="00CA6E2D"/>
    <w:rsid w:val="00CB2960"/>
    <w:rsid w:val="00CC2672"/>
    <w:rsid w:val="00CD2100"/>
    <w:rsid w:val="00CD5C84"/>
    <w:rsid w:val="00CF197B"/>
    <w:rsid w:val="00D05906"/>
    <w:rsid w:val="00D12B23"/>
    <w:rsid w:val="00D2011B"/>
    <w:rsid w:val="00D205C5"/>
    <w:rsid w:val="00D55CB7"/>
    <w:rsid w:val="00D573A8"/>
    <w:rsid w:val="00D61A44"/>
    <w:rsid w:val="00D835C9"/>
    <w:rsid w:val="00D87FCD"/>
    <w:rsid w:val="00D90277"/>
    <w:rsid w:val="00D97982"/>
    <w:rsid w:val="00DB7F8E"/>
    <w:rsid w:val="00E427C6"/>
    <w:rsid w:val="00E42F7C"/>
    <w:rsid w:val="00E42F9C"/>
    <w:rsid w:val="00E5597A"/>
    <w:rsid w:val="00E579FB"/>
    <w:rsid w:val="00E62187"/>
    <w:rsid w:val="00E65FC8"/>
    <w:rsid w:val="00E6742A"/>
    <w:rsid w:val="00E96E8A"/>
    <w:rsid w:val="00E97758"/>
    <w:rsid w:val="00EC1AD4"/>
    <w:rsid w:val="00ED65F6"/>
    <w:rsid w:val="00EE19CA"/>
    <w:rsid w:val="00EE29A1"/>
    <w:rsid w:val="00EE639D"/>
    <w:rsid w:val="00F173E3"/>
    <w:rsid w:val="00F26763"/>
    <w:rsid w:val="00F44F9A"/>
    <w:rsid w:val="00F46F66"/>
    <w:rsid w:val="00F579CF"/>
    <w:rsid w:val="00F644D1"/>
    <w:rsid w:val="00F679F4"/>
    <w:rsid w:val="00F74857"/>
    <w:rsid w:val="00F819D6"/>
    <w:rsid w:val="00FA7EDC"/>
    <w:rsid w:val="00FB13AE"/>
    <w:rsid w:val="00FB5CBE"/>
    <w:rsid w:val="00FC740C"/>
    <w:rsid w:val="00FE301B"/>
    <w:rsid w:val="00FF02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8A795"/>
  <w15:chartTrackingRefBased/>
  <w15:docId w15:val="{E47AE02A-9798-4826-8BA2-E4367004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758"/>
  </w:style>
  <w:style w:type="paragraph" w:styleId="Ttulo1">
    <w:name w:val="heading 1"/>
    <w:basedOn w:val="Normal"/>
    <w:next w:val="Normal"/>
    <w:link w:val="Ttulo1Car"/>
    <w:uiPriority w:val="9"/>
    <w:qFormat/>
    <w:rsid w:val="00CD5C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C042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C0425"/>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f,Ref,de nota al pie,註腳內容"/>
    <w:basedOn w:val="Fuentedeprrafopredeter"/>
    <w:uiPriority w:val="99"/>
    <w:unhideWhenUsed/>
    <w:qFormat/>
    <w:rsid w:val="002C0425"/>
    <w:rPr>
      <w:vertAlign w:val="superscript"/>
    </w:rPr>
  </w:style>
  <w:style w:type="paragraph" w:styleId="Piedepgina">
    <w:name w:val="footer"/>
    <w:basedOn w:val="Normal"/>
    <w:link w:val="PiedepginaCar"/>
    <w:uiPriority w:val="99"/>
    <w:unhideWhenUsed/>
    <w:rsid w:val="002C0425"/>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2C0425"/>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2C0425"/>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2C0425"/>
    <w:rPr>
      <w:rFonts w:ascii="Times New Roman" w:eastAsia="Arial Unicode MS" w:hAnsi="Times New Roman" w:cs="Times New Roman"/>
      <w:sz w:val="24"/>
      <w:szCs w:val="24"/>
      <w:bdr w:val="ni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32496"/>
    <w:pPr>
      <w:ind w:left="720"/>
      <w:contextualSpacing/>
    </w:pPr>
  </w:style>
  <w:style w:type="paragraph" w:styleId="TDC1">
    <w:name w:val="toc 1"/>
    <w:basedOn w:val="Normal"/>
    <w:next w:val="Normal"/>
    <w:autoRedefine/>
    <w:uiPriority w:val="39"/>
    <w:unhideWhenUsed/>
    <w:rsid w:val="0034598D"/>
    <w:pPr>
      <w:tabs>
        <w:tab w:val="left" w:pos="440"/>
        <w:tab w:val="right" w:leader="dot" w:pos="8828"/>
      </w:tabs>
      <w:spacing w:after="0" w:line="360" w:lineRule="auto"/>
    </w:pPr>
  </w:style>
  <w:style w:type="paragraph" w:styleId="TDC2">
    <w:name w:val="toc 2"/>
    <w:basedOn w:val="Normal"/>
    <w:next w:val="Normal"/>
    <w:autoRedefine/>
    <w:uiPriority w:val="39"/>
    <w:unhideWhenUsed/>
    <w:rsid w:val="006E10FC"/>
    <w:pPr>
      <w:tabs>
        <w:tab w:val="left" w:pos="567"/>
        <w:tab w:val="right" w:leader="dot" w:pos="8828"/>
      </w:tabs>
      <w:spacing w:after="100"/>
    </w:pPr>
  </w:style>
  <w:style w:type="paragraph" w:styleId="TDC3">
    <w:name w:val="toc 3"/>
    <w:basedOn w:val="Normal"/>
    <w:next w:val="Normal"/>
    <w:autoRedefine/>
    <w:uiPriority w:val="39"/>
    <w:unhideWhenUsed/>
    <w:rsid w:val="00311B32"/>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rsid w:val="00311B3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3170E"/>
  </w:style>
  <w:style w:type="paragraph" w:styleId="Sinespaciado">
    <w:name w:val="No Spacing"/>
    <w:uiPriority w:val="1"/>
    <w:qFormat/>
    <w:rsid w:val="000150BA"/>
    <w:pPr>
      <w:spacing w:after="0" w:line="240" w:lineRule="auto"/>
    </w:pPr>
  </w:style>
  <w:style w:type="paragraph" w:styleId="Textodeglobo">
    <w:name w:val="Balloon Text"/>
    <w:basedOn w:val="Normal"/>
    <w:link w:val="TextodegloboCar"/>
    <w:uiPriority w:val="99"/>
    <w:semiHidden/>
    <w:unhideWhenUsed/>
    <w:rsid w:val="000150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50BA"/>
    <w:rPr>
      <w:rFonts w:ascii="Segoe UI" w:hAnsi="Segoe UI" w:cs="Segoe UI"/>
      <w:sz w:val="18"/>
      <w:szCs w:val="18"/>
    </w:rPr>
  </w:style>
  <w:style w:type="paragraph" w:styleId="NormalWeb">
    <w:name w:val="Normal (Web)"/>
    <w:basedOn w:val="Normal"/>
    <w:uiPriority w:val="99"/>
    <w:unhideWhenUsed/>
    <w:rsid w:val="00E9775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CD5C84"/>
    <w:rPr>
      <w:rFonts w:asciiTheme="majorHAnsi" w:eastAsiaTheme="majorEastAsia" w:hAnsiTheme="majorHAnsi" w:cstheme="majorBidi"/>
      <w:color w:val="2E74B5" w:themeColor="accent1" w:themeShade="BF"/>
      <w:sz w:val="32"/>
      <w:szCs w:val="32"/>
    </w:rPr>
  </w:style>
  <w:style w:type="table" w:styleId="Tablaconcuadrcula6concolores-nfasis3">
    <w:name w:val="Grid Table 6 Colorful Accent 3"/>
    <w:basedOn w:val="Tablanormal"/>
    <w:uiPriority w:val="51"/>
    <w:rsid w:val="00CD5C84"/>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731C1B"/>
    <w:rPr>
      <w:color w:val="605E5C"/>
      <w:shd w:val="clear" w:color="auto" w:fill="E1DFDD"/>
    </w:rPr>
  </w:style>
  <w:style w:type="table" w:customStyle="1" w:styleId="Tablaconcuadrcula1">
    <w:name w:val="Tabla con cuadrícula1"/>
    <w:basedOn w:val="Tablanormal"/>
    <w:next w:val="Tablaconcuadrcula"/>
    <w:uiPriority w:val="59"/>
    <w:rsid w:val="005F79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F7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2D4A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2D4A4A"/>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121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241923">
      <w:bodyDiv w:val="1"/>
      <w:marLeft w:val="0"/>
      <w:marRight w:val="0"/>
      <w:marTop w:val="0"/>
      <w:marBottom w:val="0"/>
      <w:divBdr>
        <w:top w:val="none" w:sz="0" w:space="0" w:color="auto"/>
        <w:left w:val="none" w:sz="0" w:space="0" w:color="auto"/>
        <w:bottom w:val="none" w:sz="0" w:space="0" w:color="auto"/>
        <w:right w:val="none" w:sz="0" w:space="0" w:color="auto"/>
      </w:divBdr>
    </w:div>
    <w:div w:id="410977158">
      <w:bodyDiv w:val="1"/>
      <w:marLeft w:val="0"/>
      <w:marRight w:val="0"/>
      <w:marTop w:val="0"/>
      <w:marBottom w:val="0"/>
      <w:divBdr>
        <w:top w:val="none" w:sz="0" w:space="0" w:color="auto"/>
        <w:left w:val="none" w:sz="0" w:space="0" w:color="auto"/>
        <w:bottom w:val="none" w:sz="0" w:space="0" w:color="auto"/>
        <w:right w:val="none" w:sz="0" w:space="0" w:color="auto"/>
      </w:divBdr>
    </w:div>
    <w:div w:id="538712521">
      <w:bodyDiv w:val="1"/>
      <w:marLeft w:val="0"/>
      <w:marRight w:val="0"/>
      <w:marTop w:val="0"/>
      <w:marBottom w:val="0"/>
      <w:divBdr>
        <w:top w:val="none" w:sz="0" w:space="0" w:color="auto"/>
        <w:left w:val="none" w:sz="0" w:space="0" w:color="auto"/>
        <w:bottom w:val="none" w:sz="0" w:space="0" w:color="auto"/>
        <w:right w:val="none" w:sz="0" w:space="0" w:color="auto"/>
      </w:divBdr>
    </w:div>
    <w:div w:id="1224831947">
      <w:bodyDiv w:val="1"/>
      <w:marLeft w:val="0"/>
      <w:marRight w:val="0"/>
      <w:marTop w:val="0"/>
      <w:marBottom w:val="0"/>
      <w:divBdr>
        <w:top w:val="none" w:sz="0" w:space="0" w:color="auto"/>
        <w:left w:val="none" w:sz="0" w:space="0" w:color="auto"/>
        <w:bottom w:val="none" w:sz="0" w:space="0" w:color="auto"/>
        <w:right w:val="none" w:sz="0" w:space="0" w:color="auto"/>
      </w:divBdr>
      <w:divsChild>
        <w:div w:id="220486352">
          <w:marLeft w:val="0"/>
          <w:marRight w:val="0"/>
          <w:marTop w:val="0"/>
          <w:marBottom w:val="0"/>
          <w:divBdr>
            <w:top w:val="none" w:sz="0" w:space="0" w:color="auto"/>
            <w:left w:val="none" w:sz="0" w:space="0" w:color="auto"/>
            <w:bottom w:val="none" w:sz="0" w:space="0" w:color="auto"/>
            <w:right w:val="none" w:sz="0" w:space="0" w:color="auto"/>
          </w:divBdr>
        </w:div>
        <w:div w:id="1625429602">
          <w:marLeft w:val="0"/>
          <w:marRight w:val="0"/>
          <w:marTop w:val="0"/>
          <w:marBottom w:val="0"/>
          <w:divBdr>
            <w:top w:val="none" w:sz="0" w:space="0" w:color="auto"/>
            <w:left w:val="none" w:sz="0" w:space="0" w:color="auto"/>
            <w:bottom w:val="none" w:sz="0" w:space="0" w:color="auto"/>
            <w:right w:val="none" w:sz="0" w:space="0" w:color="auto"/>
          </w:divBdr>
          <w:divsChild>
            <w:div w:id="108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ceptosjuridicos.com/mx/coacc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ndh.org.mx/documento/cndh-recomienda-hospital-juarez-reparacion-integral-de-danos-para-familiares-de-persona" TargetMode="External"/><Relationship Id="rId2" Type="http://schemas.openxmlformats.org/officeDocument/2006/relationships/hyperlink" Target="https://www.corteidh.or.cr/docs/casos/articulos/seriec_219_esp.pdf" TargetMode="External"/><Relationship Id="rId1" Type="http://schemas.openxmlformats.org/officeDocument/2006/relationships/hyperlink" Target="https://www.cndh.org.mx/documento/caso-radilla-pacheco-vs-mexico" TargetMode="External"/><Relationship Id="rId6" Type="http://schemas.openxmlformats.org/officeDocument/2006/relationships/hyperlink" Target="https://www.corteidh.or.cr/docs/casos/articulos/seriec_171_esp.pdf" TargetMode="External"/><Relationship Id="rId5" Type="http://schemas.openxmlformats.org/officeDocument/2006/relationships/hyperlink" Target="https://www.cndh.org.mx/documento/cndh-recomienda-al-issste-reparacion-integral-para-la-madre-de-un-recien-nacido-quien" TargetMode="External"/><Relationship Id="rId4" Type="http://schemas.openxmlformats.org/officeDocument/2006/relationships/hyperlink" Target="https://www.cndh.org.mx/documento/cndh-pide-la-ssa-y-al-hgm-dr-eduardo-liceaga-la-reparacion-integral-del-dano-por-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93859-5F84-41B5-BB3F-ABB10E0A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33</Pages>
  <Words>6463</Words>
  <Characters>35550</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Infoem600</cp:lastModifiedBy>
  <cp:revision>2</cp:revision>
  <cp:lastPrinted>2023-06-20T00:41:00Z</cp:lastPrinted>
  <dcterms:created xsi:type="dcterms:W3CDTF">2023-06-19T17:52:00Z</dcterms:created>
  <dcterms:modified xsi:type="dcterms:W3CDTF">2024-02-02T20:09:00Z</dcterms:modified>
</cp:coreProperties>
</file>