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ADEF18" w14:textId="152DC2B7" w:rsidR="004E5EAD" w:rsidRDefault="00F84B95" w:rsidP="00431C33">
      <w:pPr>
        <w:pStyle w:val="Encabezado"/>
        <w:spacing w:line="360" w:lineRule="auto"/>
        <w:ind w:right="49"/>
        <w:jc w:val="both"/>
        <w:rPr>
          <w:rFonts w:ascii="Palatino Linotype" w:eastAsia="Palatino Linotype" w:hAnsi="Palatino Linotype" w:cs="Palatino Linotype"/>
          <w:b/>
        </w:rPr>
      </w:pPr>
      <w:r w:rsidRPr="006A7606">
        <w:rPr>
          <w:rFonts w:ascii="Palatino Linotype" w:hAnsi="Palatino Linotype" w:cs="Tahoma"/>
          <w:b/>
        </w:rPr>
        <w:t xml:space="preserve">VOTO </w:t>
      </w:r>
      <w:r w:rsidR="00D3346E">
        <w:rPr>
          <w:rFonts w:ascii="Palatino Linotype" w:hAnsi="Palatino Linotype" w:cs="Tahoma"/>
          <w:b/>
        </w:rPr>
        <w:t>DISIDENTE</w:t>
      </w:r>
      <w:r w:rsidR="00426EE3">
        <w:rPr>
          <w:rFonts w:ascii="Palatino Linotype" w:hAnsi="Palatino Linotype" w:cs="Tahoma"/>
          <w:b/>
        </w:rPr>
        <w:t xml:space="preserve"> QUE FORMULA EL </w:t>
      </w:r>
      <w:r w:rsidRPr="006A7606">
        <w:rPr>
          <w:rFonts w:ascii="Palatino Linotype" w:hAnsi="Palatino Linotype" w:cs="Tahoma"/>
          <w:b/>
        </w:rPr>
        <w:t>COMISIONADO LUIS GUSTAVO PARRA NORIEGA,</w:t>
      </w:r>
      <w:r w:rsidR="0068245C">
        <w:rPr>
          <w:rFonts w:ascii="Palatino Linotype" w:hAnsi="Palatino Linotype" w:cs="Tahoma"/>
          <w:b/>
        </w:rPr>
        <w:t xml:space="preserve"> </w:t>
      </w:r>
      <w:r w:rsidRPr="006A7606">
        <w:rPr>
          <w:rFonts w:ascii="Palatino Linotype" w:hAnsi="Palatino Linotype" w:cs="Tahoma"/>
          <w:b/>
        </w:rPr>
        <w:t>A</w:t>
      </w:r>
      <w:r w:rsidR="0068245C">
        <w:rPr>
          <w:rFonts w:ascii="Palatino Linotype" w:hAnsi="Palatino Linotype" w:cs="Tahoma"/>
          <w:b/>
        </w:rPr>
        <w:t xml:space="preserve"> </w:t>
      </w:r>
      <w:r w:rsidRPr="006A7606">
        <w:rPr>
          <w:rFonts w:ascii="Palatino Linotype" w:hAnsi="Palatino Linotype" w:cs="Tahoma"/>
          <w:b/>
        </w:rPr>
        <w:t xml:space="preserve">LA RESOLUCIÓN DEL RECURSO DE REVISIÓN </w:t>
      </w:r>
      <w:r w:rsidR="00A916BE">
        <w:rPr>
          <w:rFonts w:ascii="Palatino Linotype" w:eastAsia="Palatino Linotype" w:hAnsi="Palatino Linotype" w:cs="Palatino Linotype"/>
          <w:b/>
        </w:rPr>
        <w:t>00822/INFOEM/IP/RR/2023</w:t>
      </w:r>
      <w:r w:rsidR="005F5396" w:rsidRPr="006A7606">
        <w:rPr>
          <w:rFonts w:ascii="Palatino Linotype" w:hAnsi="Palatino Linotype" w:cs="Tahoma"/>
          <w:b/>
        </w:rPr>
        <w:t xml:space="preserve">, </w:t>
      </w:r>
      <w:r w:rsidRPr="006A7606">
        <w:rPr>
          <w:rFonts w:ascii="Palatino Linotype" w:hAnsi="Palatino Linotype" w:cs="Tahoma"/>
          <w:b/>
        </w:rPr>
        <w:t>PROMOVIDO EN CONTR</w:t>
      </w:r>
      <w:r w:rsidR="000F4555" w:rsidRPr="006A7606">
        <w:rPr>
          <w:rFonts w:ascii="Palatino Linotype" w:hAnsi="Palatino Linotype" w:cs="Tahoma"/>
          <w:b/>
        </w:rPr>
        <w:t>A DE</w:t>
      </w:r>
      <w:r w:rsidR="00A916BE">
        <w:rPr>
          <w:rFonts w:ascii="Palatino Linotype" w:hAnsi="Palatino Linotype" w:cs="Tahoma"/>
          <w:b/>
        </w:rPr>
        <w:t xml:space="preserve"> LA SECRETARÍA DE EDUCACIÓN.</w:t>
      </w:r>
      <w:r w:rsidR="008B0A25">
        <w:rPr>
          <w:rFonts w:ascii="Palatino Linotype" w:eastAsia="Palatino Linotype" w:hAnsi="Palatino Linotype" w:cs="Palatino Linotype"/>
          <w:b/>
        </w:rPr>
        <w:tab/>
      </w:r>
    </w:p>
    <w:p w14:paraId="60A1F08C" w14:textId="4FE397EA" w:rsidR="00CB337A" w:rsidRDefault="00CB337A" w:rsidP="00431C33">
      <w:pPr>
        <w:pStyle w:val="Encabezado"/>
        <w:spacing w:line="360" w:lineRule="auto"/>
        <w:ind w:right="49"/>
        <w:jc w:val="both"/>
        <w:rPr>
          <w:rFonts w:ascii="Palatino Linotype" w:hAnsi="Palatino Linotype" w:cs="Tahoma"/>
        </w:rPr>
      </w:pPr>
    </w:p>
    <w:p w14:paraId="6947BB34" w14:textId="7CE37BB5" w:rsidR="00D3346E" w:rsidRDefault="00D3346E" w:rsidP="00431C33">
      <w:pPr>
        <w:pStyle w:val="Encabezado"/>
        <w:spacing w:line="360" w:lineRule="auto"/>
        <w:ind w:right="49"/>
        <w:jc w:val="both"/>
        <w:rPr>
          <w:rFonts w:ascii="Palatino Linotype" w:hAnsi="Palatino Linotype" w:cs="Tahoma"/>
        </w:rPr>
      </w:pPr>
      <w:r w:rsidRPr="00D3346E">
        <w:rPr>
          <w:rFonts w:ascii="Palatino Linotype" w:hAnsi="Palatino Linotype" w:cs="Tahoma"/>
        </w:rPr>
        <w:t xml:space="preserve">En términos de lo dispuesto por los artículos 189, párrafo primero, de la Ley de Transparencia y Acceso a la Información Pública del Estado de México y Municipios; 14, fracción XI, del Reglamento Interior del Instituto de Transparencia, Acceso a la Información Pública y Protección de Datos Personales del Estado de México y Municipios; 2°, fracción XX, 45, 48, fracción I, de los Lineamientos para el funcionamiento del Pleno y las Comisiones del Instituto de Transparencia, Acceso a la Información Pública y Protección de Datos Personales del Estado de México y Municipios, emito el presente </w:t>
      </w:r>
      <w:r w:rsidRPr="00D3346E">
        <w:rPr>
          <w:rFonts w:ascii="Palatino Linotype" w:hAnsi="Palatino Linotype" w:cs="Tahoma"/>
          <w:b/>
          <w:bCs/>
        </w:rPr>
        <w:t>Voto Disidente</w:t>
      </w:r>
      <w:r w:rsidRPr="00D3346E">
        <w:rPr>
          <w:rFonts w:ascii="Palatino Linotype" w:hAnsi="Palatino Linotype" w:cs="Tahoma"/>
        </w:rPr>
        <w:t xml:space="preserve"> por no compartir en su totalidad las consideraciones que sustentan la Resolución del Recurso de Revisión </w:t>
      </w:r>
      <w:r w:rsidR="00A916BE">
        <w:rPr>
          <w:rFonts w:ascii="Palatino Linotype" w:hAnsi="Palatino Linotype" w:cs="Tahoma"/>
          <w:b/>
          <w:bCs/>
        </w:rPr>
        <w:t>00822</w:t>
      </w:r>
      <w:r w:rsidR="008B0A25" w:rsidRPr="008B0A25">
        <w:rPr>
          <w:rFonts w:ascii="Palatino Linotype" w:hAnsi="Palatino Linotype" w:cs="Tahoma"/>
          <w:b/>
          <w:bCs/>
        </w:rPr>
        <w:t>/INFOEM/IP/RR/202</w:t>
      </w:r>
      <w:r w:rsidR="00A916BE">
        <w:rPr>
          <w:rFonts w:ascii="Palatino Linotype" w:hAnsi="Palatino Linotype" w:cs="Tahoma"/>
          <w:b/>
          <w:bCs/>
        </w:rPr>
        <w:t>3</w:t>
      </w:r>
      <w:r w:rsidRPr="00D3346E">
        <w:rPr>
          <w:rFonts w:ascii="Palatino Linotype" w:hAnsi="Palatino Linotype" w:cs="Tahoma"/>
        </w:rPr>
        <w:t>.</w:t>
      </w:r>
    </w:p>
    <w:p w14:paraId="2B185CC8" w14:textId="77777777" w:rsidR="00D3346E" w:rsidRPr="006A7606" w:rsidRDefault="00D3346E" w:rsidP="00431C33">
      <w:pPr>
        <w:pStyle w:val="Encabezado"/>
        <w:spacing w:line="360" w:lineRule="auto"/>
        <w:ind w:right="49"/>
        <w:jc w:val="both"/>
        <w:rPr>
          <w:rFonts w:ascii="Palatino Linotype" w:hAnsi="Palatino Linotype" w:cs="Tahoma"/>
        </w:rPr>
      </w:pPr>
    </w:p>
    <w:p w14:paraId="05072FBA" w14:textId="1F2ADEF5" w:rsidR="00D3346E" w:rsidRPr="00426EE3" w:rsidRDefault="002F4CEB" w:rsidP="00431C33">
      <w:pPr>
        <w:spacing w:after="0" w:line="360" w:lineRule="auto"/>
        <w:jc w:val="both"/>
        <w:rPr>
          <w:rFonts w:ascii="Palatino Linotype" w:hAnsi="Palatino Linotype" w:cs="Tahoma"/>
          <w:sz w:val="24"/>
        </w:rPr>
      </w:pPr>
      <w:r w:rsidRPr="00885189">
        <w:rPr>
          <w:rFonts w:ascii="Palatino Linotype" w:hAnsi="Palatino Linotype" w:cs="Tahoma"/>
        </w:rPr>
        <w:t>Como se desprende de la Resolución en comento, el Particular</w:t>
      </w:r>
      <w:r>
        <w:rPr>
          <w:rFonts w:ascii="Palatino Linotype" w:hAnsi="Palatino Linotype" w:cs="Tahoma"/>
        </w:rPr>
        <w:t xml:space="preserve"> solicitó </w:t>
      </w:r>
      <w:r w:rsidR="00A916BE" w:rsidRPr="00A916BE">
        <w:rPr>
          <w:rFonts w:ascii="Palatino Linotype" w:hAnsi="Palatino Linotype" w:cs="Tahoma"/>
        </w:rPr>
        <w:t>e</w:t>
      </w:r>
      <w:r w:rsidR="00197DA5">
        <w:rPr>
          <w:rFonts w:ascii="Palatino Linotype" w:hAnsi="Palatino Linotype" w:cs="Tahoma"/>
        </w:rPr>
        <w:t xml:space="preserve">l oficio donde se autorice al Jardín de Niños </w:t>
      </w:r>
      <w:r w:rsidR="00197DA5" w:rsidRPr="00197DA5">
        <w:rPr>
          <w:rFonts w:ascii="Palatino Linotype" w:hAnsi="Palatino Linotype" w:cs="Tahoma"/>
        </w:rPr>
        <w:t xml:space="preserve">Paulo Freire para el </w:t>
      </w:r>
      <w:r w:rsidR="00197DA5" w:rsidRPr="00426EE3">
        <w:rPr>
          <w:rFonts w:ascii="Palatino Linotype" w:hAnsi="Palatino Linotype" w:cs="Tahoma"/>
          <w:b/>
          <w:u w:val="single"/>
        </w:rPr>
        <w:t>cierre temporal total</w:t>
      </w:r>
      <w:r w:rsidR="00197DA5" w:rsidRPr="00197DA5">
        <w:rPr>
          <w:rFonts w:ascii="Palatino Linotype" w:hAnsi="Palatino Linotype" w:cs="Tahoma"/>
        </w:rPr>
        <w:t xml:space="preserve"> de la Avenida Reforma</w:t>
      </w:r>
      <w:r w:rsidR="00A916BE">
        <w:rPr>
          <w:rFonts w:ascii="Palatino Linotype" w:hAnsi="Palatino Linotype" w:cs="Tahoma"/>
        </w:rPr>
        <w:t>;</w:t>
      </w:r>
      <w:r w:rsidR="00D3346E">
        <w:rPr>
          <w:rFonts w:ascii="Palatino Linotype" w:hAnsi="Palatino Linotype" w:cs="Tahoma"/>
        </w:rPr>
        <w:t xml:space="preserve"> </w:t>
      </w:r>
      <w:r w:rsidR="007E10C9">
        <w:rPr>
          <w:rFonts w:ascii="Palatino Linotype" w:hAnsi="Palatino Linotype" w:cs="Tahoma"/>
        </w:rPr>
        <w:t>en consecuencia,</w:t>
      </w:r>
      <w:r w:rsidR="00D3346E">
        <w:rPr>
          <w:rFonts w:ascii="Palatino Linotype" w:hAnsi="Palatino Linotype" w:cs="Tahoma"/>
        </w:rPr>
        <w:t xml:space="preserve"> el Sujeto Obligado </w:t>
      </w:r>
      <w:r w:rsidR="00A916BE">
        <w:rPr>
          <w:rFonts w:ascii="Palatino Linotype" w:hAnsi="Palatino Linotype" w:cs="Tahoma"/>
        </w:rPr>
        <w:t>informó que si existía un permiso otorgado por el Ayuntamiento</w:t>
      </w:r>
      <w:r w:rsidR="00197DA5">
        <w:rPr>
          <w:rFonts w:ascii="Palatino Linotype" w:hAnsi="Palatino Linotype" w:cs="Tahoma"/>
        </w:rPr>
        <w:t xml:space="preserve"> de Tultitlán. No obstante </w:t>
      </w:r>
      <w:r w:rsidR="007D1B0E">
        <w:rPr>
          <w:rFonts w:ascii="Palatino Linotype" w:hAnsi="Palatino Linotype" w:cs="Tahoma"/>
        </w:rPr>
        <w:t xml:space="preserve">lo anterior, </w:t>
      </w:r>
      <w:r w:rsidR="00197DA5">
        <w:rPr>
          <w:rFonts w:ascii="Palatino Linotype" w:hAnsi="Palatino Linotype" w:cs="Tahoma"/>
        </w:rPr>
        <w:t xml:space="preserve">remitió la digitalización de </w:t>
      </w:r>
      <w:r w:rsidR="00A916BE" w:rsidRPr="00A916BE">
        <w:rPr>
          <w:rFonts w:ascii="Palatino Linotype" w:hAnsi="Palatino Linotype" w:cs="Tahoma"/>
        </w:rPr>
        <w:t>un oficio que autori</w:t>
      </w:r>
      <w:r w:rsidR="00426EE3">
        <w:rPr>
          <w:rFonts w:ascii="Palatino Linotype" w:hAnsi="Palatino Linotype" w:cs="Tahoma"/>
        </w:rPr>
        <w:t xml:space="preserve">za a poner vallas de seguridad </w:t>
      </w:r>
      <w:r w:rsidR="00A916BE" w:rsidRPr="00426EE3">
        <w:rPr>
          <w:rFonts w:ascii="Palatino Linotype" w:hAnsi="Palatino Linotype" w:cs="Tahoma"/>
        </w:rPr>
        <w:t>siempre y cuando no se  impida el</w:t>
      </w:r>
      <w:r w:rsidR="00426EE3">
        <w:rPr>
          <w:rFonts w:ascii="Palatino Linotype" w:hAnsi="Palatino Linotype" w:cs="Tahoma"/>
        </w:rPr>
        <w:t xml:space="preserve"> paso peatonal en las banquetas, </w:t>
      </w:r>
      <w:r w:rsidR="00A916BE" w:rsidRPr="00426EE3">
        <w:rPr>
          <w:rFonts w:ascii="Palatino Linotype" w:hAnsi="Palatino Linotype" w:cs="Tahoma"/>
        </w:rPr>
        <w:t>se permita el adecuado desplazamiento de personas adultas mayores con capacidades diferentes</w:t>
      </w:r>
      <w:r w:rsidR="00426EE3" w:rsidRPr="00426EE3">
        <w:rPr>
          <w:rFonts w:ascii="Palatino Linotype" w:hAnsi="Palatino Linotype" w:cs="Tahoma"/>
        </w:rPr>
        <w:t xml:space="preserve"> </w:t>
      </w:r>
      <w:r w:rsidR="00426EE3">
        <w:rPr>
          <w:rFonts w:ascii="Palatino Linotype" w:hAnsi="Palatino Linotype" w:cs="Tahoma"/>
        </w:rPr>
        <w:t>y “</w:t>
      </w:r>
      <w:r w:rsidR="00A916BE" w:rsidRPr="00426EE3">
        <w:rPr>
          <w:rFonts w:ascii="Palatino Linotype" w:hAnsi="Palatino Linotype" w:cs="Tahoma"/>
          <w:b/>
          <w:i/>
        </w:rPr>
        <w:t>evitar afectar el arroyo vehicular</w:t>
      </w:r>
      <w:r w:rsidR="00A916BE" w:rsidRPr="00426EE3">
        <w:rPr>
          <w:rFonts w:ascii="Palatino Linotype" w:hAnsi="Palatino Linotype" w:cs="Tahoma"/>
        </w:rPr>
        <w:t>.”</w:t>
      </w:r>
      <w:r w:rsidR="007D1B0E" w:rsidRPr="00426EE3">
        <w:rPr>
          <w:rFonts w:ascii="Palatino Linotype" w:hAnsi="Palatino Linotype" w:cs="Tahoma"/>
        </w:rPr>
        <w:t xml:space="preserve"> </w:t>
      </w:r>
      <w:r w:rsidR="007D1B0E" w:rsidRPr="00426EE3">
        <w:rPr>
          <w:rFonts w:ascii="Palatino Linotype" w:hAnsi="Palatino Linotype" w:cs="Tahoma"/>
          <w:sz w:val="24"/>
        </w:rPr>
        <w:t>Como se aprecia a continuación:</w:t>
      </w:r>
    </w:p>
    <w:p w14:paraId="205E9532" w14:textId="77777777" w:rsidR="00A916BE" w:rsidRDefault="00A916BE" w:rsidP="00431C33">
      <w:pPr>
        <w:spacing w:after="0" w:line="360" w:lineRule="auto"/>
        <w:rPr>
          <w:rFonts w:ascii="Palatino Linotype" w:hAnsi="Palatino Linotype" w:cs="Tahoma"/>
        </w:rPr>
      </w:pPr>
    </w:p>
    <w:p w14:paraId="5E43BE5D" w14:textId="77777777" w:rsidR="00A916BE" w:rsidRDefault="00A916BE" w:rsidP="00431C33">
      <w:pPr>
        <w:spacing w:after="0" w:line="360" w:lineRule="auto"/>
        <w:rPr>
          <w:rFonts w:ascii="Palatino Linotype" w:hAnsi="Palatino Linotype" w:cs="Tahoma"/>
        </w:rPr>
      </w:pPr>
    </w:p>
    <w:p w14:paraId="51BDBB92" w14:textId="639DEEE4" w:rsidR="00A916BE" w:rsidRDefault="00431C33" w:rsidP="00431C33">
      <w:pPr>
        <w:spacing w:after="0" w:line="360" w:lineRule="auto"/>
        <w:jc w:val="center"/>
        <w:rPr>
          <w:rFonts w:ascii="Palatino Linotype" w:hAnsi="Palatino Linotype" w:cs="Tahoma"/>
        </w:rPr>
      </w:pPr>
      <w:r>
        <w:rPr>
          <w:noProof/>
          <w:lang w:val="es-MX" w:eastAsia="es-MX"/>
        </w:rPr>
        <w:lastRenderedPageBreak/>
        <mc:AlternateContent>
          <mc:Choice Requires="wps">
            <w:drawing>
              <wp:anchor distT="0" distB="0" distL="114300" distR="114300" simplePos="0" relativeHeight="251659264" behindDoc="0" locked="0" layoutInCell="1" allowOverlap="1" wp14:anchorId="3CE29844" wp14:editId="5F8DCA41">
                <wp:simplePos x="0" y="0"/>
                <wp:positionH relativeFrom="column">
                  <wp:posOffset>4545254</wp:posOffset>
                </wp:positionH>
                <wp:positionV relativeFrom="paragraph">
                  <wp:posOffset>3206598</wp:posOffset>
                </wp:positionV>
                <wp:extent cx="307238" cy="1674851"/>
                <wp:effectExtent l="0" t="19050" r="150495" b="20955"/>
                <wp:wrapNone/>
                <wp:docPr id="4" name="Cerrar llave 4"/>
                <wp:cNvGraphicFramePr/>
                <a:graphic xmlns:a="http://schemas.openxmlformats.org/drawingml/2006/main">
                  <a:graphicData uri="http://schemas.microsoft.com/office/word/2010/wordprocessingShape">
                    <wps:wsp>
                      <wps:cNvSpPr/>
                      <wps:spPr>
                        <a:xfrm>
                          <a:off x="0" y="0"/>
                          <a:ext cx="307238" cy="1674851"/>
                        </a:xfrm>
                        <a:prstGeom prst="rightBrac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08FE3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4" o:spid="_x0000_s1026" type="#_x0000_t88" style="position:absolute;margin-left:357.9pt;margin-top:252.5pt;width:24.2pt;height:13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" adj="330" strokecolor="red" strokeweight="2.25pt">
                <v:stroke joinstyle="miter"/>
              </v:shape>
            </w:pict>
          </mc:Fallback>
        </mc:AlternateContent>
      </w:r>
      <w:r w:rsidR="00AD65FD">
        <w:rPr>
          <w:noProof/>
          <w:lang w:val="es-MX" w:eastAsia="es-MX"/>
        </w:rPr>
        <w:drawing>
          <wp:inline distT="0" distB="0" distL="0" distR="0" wp14:anchorId="4EB47A2B" wp14:editId="7DAAFEFA">
            <wp:extent cx="3041315" cy="3874770"/>
            <wp:effectExtent l="2223" t="0" r="9207" b="9208"/>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8504" t="22223" r="28073" b="7560"/>
                    <a:stretch/>
                  </pic:blipFill>
                  <pic:spPr bwMode="auto">
                    <a:xfrm rot="16200000">
                      <a:off x="0" y="0"/>
                      <a:ext cx="3060045" cy="3898633"/>
                    </a:xfrm>
                    <a:prstGeom prst="rect">
                      <a:avLst/>
                    </a:prstGeom>
                    <a:ln>
                      <a:noFill/>
                    </a:ln>
                    <a:extLst>
                      <a:ext uri="{53640926-AAD7-44D8-BBD7-CCE9431645EC}">
                        <a14:shadowObscured xmlns:a14="http://schemas.microsoft.com/office/drawing/2010/main"/>
                      </a:ext>
                    </a:extLst>
                  </pic:spPr>
                </pic:pic>
              </a:graphicData>
            </a:graphic>
          </wp:inline>
        </w:drawing>
      </w:r>
      <w:r w:rsidR="00AD65FD">
        <w:rPr>
          <w:noProof/>
          <w:lang w:val="es-MX" w:eastAsia="es-MX"/>
        </w:rPr>
        <w:drawing>
          <wp:inline distT="0" distB="0" distL="0" distR="0" wp14:anchorId="64880B0B" wp14:editId="750620F9">
            <wp:extent cx="2855678" cy="3914623"/>
            <wp:effectExtent l="4128" t="0" r="6032" b="6033"/>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1302" t="26407" r="31429" b="3226"/>
                    <a:stretch/>
                  </pic:blipFill>
                  <pic:spPr bwMode="auto">
                    <a:xfrm rot="16200000">
                      <a:off x="0" y="0"/>
                      <a:ext cx="2868862" cy="3932696"/>
                    </a:xfrm>
                    <a:prstGeom prst="rect">
                      <a:avLst/>
                    </a:prstGeom>
                    <a:ln>
                      <a:noFill/>
                    </a:ln>
                    <a:extLst>
                      <a:ext uri="{53640926-AAD7-44D8-BBD7-CCE9431645EC}">
                        <a14:shadowObscured xmlns:a14="http://schemas.microsoft.com/office/drawing/2010/main"/>
                      </a:ext>
                    </a:extLst>
                  </pic:spPr>
                </pic:pic>
              </a:graphicData>
            </a:graphic>
          </wp:inline>
        </w:drawing>
      </w:r>
    </w:p>
    <w:p w14:paraId="76D1B7D0" w14:textId="77777777" w:rsidR="00A916BE" w:rsidRDefault="00A916BE" w:rsidP="00431C33">
      <w:pPr>
        <w:spacing w:after="0" w:line="360" w:lineRule="auto"/>
        <w:rPr>
          <w:rFonts w:ascii="Palatino Linotype" w:hAnsi="Palatino Linotype" w:cs="Tahoma"/>
        </w:rPr>
      </w:pPr>
    </w:p>
    <w:p w14:paraId="3273C34F" w14:textId="7D0CAE1B" w:rsidR="001E63F3" w:rsidRDefault="006C3F4B" w:rsidP="00431C33">
      <w:pPr>
        <w:spacing w:after="0" w:line="360" w:lineRule="auto"/>
        <w:jc w:val="both"/>
        <w:rPr>
          <w:rFonts w:ascii="Palatino Linotype" w:hAnsi="Palatino Linotype" w:cs="Tahoma"/>
          <w:szCs w:val="24"/>
          <w:lang w:eastAsia="es-MX"/>
        </w:rPr>
      </w:pPr>
      <w:r>
        <w:rPr>
          <w:rFonts w:ascii="Palatino Linotype" w:hAnsi="Palatino Linotype" w:cs="Tahoma"/>
        </w:rPr>
        <w:t xml:space="preserve">Conforme a lo anterior, </w:t>
      </w:r>
      <w:r w:rsidR="007D1B0E">
        <w:rPr>
          <w:rFonts w:ascii="Palatino Linotype" w:hAnsi="Palatino Linotype" w:cs="Tahoma"/>
        </w:rPr>
        <w:t xml:space="preserve">la Ponencia resolutora, </w:t>
      </w:r>
      <w:r>
        <w:rPr>
          <w:rFonts w:ascii="Palatino Linotype" w:hAnsi="Palatino Linotype" w:cs="Tahoma"/>
        </w:rPr>
        <w:t xml:space="preserve">determinó </w:t>
      </w:r>
      <w:r w:rsidR="00AD65FD">
        <w:rPr>
          <w:rFonts w:ascii="Palatino Linotype" w:hAnsi="Palatino Linotype" w:cs="Tahoma"/>
        </w:rPr>
        <w:t>Sobreseer el recurso</w:t>
      </w:r>
      <w:r w:rsidR="00902D87">
        <w:rPr>
          <w:rFonts w:ascii="Palatino Linotype" w:hAnsi="Palatino Linotype" w:cs="Tahoma"/>
        </w:rPr>
        <w:t xml:space="preserve"> por improcedente</w:t>
      </w:r>
      <w:r w:rsidR="00AD65FD">
        <w:rPr>
          <w:rFonts w:ascii="Palatino Linotype" w:hAnsi="Palatino Linotype" w:cs="Tahoma"/>
        </w:rPr>
        <w:t xml:space="preserve">, </w:t>
      </w:r>
      <w:r w:rsidR="00902D87" w:rsidRPr="00902D87">
        <w:rPr>
          <w:rFonts w:ascii="Palatino Linotype" w:hAnsi="Palatino Linotype" w:cs="Tahoma"/>
        </w:rPr>
        <w:t>al amparo de lo establecido en  el artículo 192, fracción IV, de la Ley de Transparencia y Acceso a la Información Pública de</w:t>
      </w:r>
      <w:r w:rsidR="00902D87">
        <w:rPr>
          <w:rFonts w:ascii="Palatino Linotype" w:hAnsi="Palatino Linotype" w:cs="Tahoma"/>
        </w:rPr>
        <w:t xml:space="preserve">l Estado de México y Municipios, </w:t>
      </w:r>
      <w:r w:rsidR="00426EE3">
        <w:rPr>
          <w:rFonts w:ascii="Palatino Linotype" w:hAnsi="Palatino Linotype" w:cs="Tahoma"/>
        </w:rPr>
        <w:t>bajo</w:t>
      </w:r>
      <w:r w:rsidR="00902D87">
        <w:rPr>
          <w:rFonts w:ascii="Palatino Linotype" w:hAnsi="Palatino Linotype" w:cs="Tahoma"/>
        </w:rPr>
        <w:t xml:space="preserve"> </w:t>
      </w:r>
      <w:r w:rsidR="00AD65FD">
        <w:rPr>
          <w:rFonts w:ascii="Palatino Linotype" w:hAnsi="Palatino Linotype" w:cs="Tahoma"/>
        </w:rPr>
        <w:t>el argumento</w:t>
      </w:r>
      <w:r w:rsidR="00426EE3">
        <w:rPr>
          <w:rFonts w:ascii="Palatino Linotype" w:hAnsi="Palatino Linotype" w:cs="Tahoma"/>
        </w:rPr>
        <w:t xml:space="preserve"> de</w:t>
      </w:r>
      <w:r w:rsidR="00AD65FD">
        <w:rPr>
          <w:rFonts w:ascii="Palatino Linotype" w:hAnsi="Palatino Linotype" w:cs="Tahoma"/>
        </w:rPr>
        <w:t xml:space="preserve"> que </w:t>
      </w:r>
      <w:r w:rsidR="00902D87">
        <w:rPr>
          <w:rFonts w:ascii="Palatino Linotype" w:hAnsi="Palatino Linotype" w:cs="Tahoma"/>
        </w:rPr>
        <w:t xml:space="preserve">en los motivos de inconformidad el </w:t>
      </w:r>
      <w:r w:rsidR="00902D87" w:rsidRPr="00902D87">
        <w:rPr>
          <w:rFonts w:ascii="Palatino Linotype" w:hAnsi="Palatino Linotype" w:cs="Tahoma"/>
        </w:rPr>
        <w:t xml:space="preserve">Particular cuestionó la veracidad </w:t>
      </w:r>
      <w:r w:rsidR="00902D87" w:rsidRPr="00902D87">
        <w:rPr>
          <w:rFonts w:ascii="Palatino Linotype" w:hAnsi="Palatino Linotype" w:cs="Tahoma"/>
        </w:rPr>
        <w:lastRenderedPageBreak/>
        <w:t>de la información proporcionada en respuesta</w:t>
      </w:r>
      <w:r w:rsidR="00902D87">
        <w:rPr>
          <w:rFonts w:ascii="Palatino Linotype" w:hAnsi="Palatino Linotype" w:cs="Tahoma"/>
        </w:rPr>
        <w:t xml:space="preserve">, </w:t>
      </w:r>
      <w:r w:rsidR="00B17658">
        <w:rPr>
          <w:rFonts w:ascii="Palatino Linotype" w:hAnsi="Palatino Linotype" w:cs="Tahoma"/>
        </w:rPr>
        <w:t xml:space="preserve">motivo por el cual emito el presente voto disidente, ya que desde mi  perspectiva, </w:t>
      </w:r>
      <w:r w:rsidR="007E3F90">
        <w:rPr>
          <w:rFonts w:ascii="Palatino Linotype" w:hAnsi="Palatino Linotype" w:cs="Tahoma"/>
        </w:rPr>
        <w:t xml:space="preserve">se debió </w:t>
      </w:r>
      <w:r w:rsidR="00902D87">
        <w:rPr>
          <w:rFonts w:ascii="Palatino Linotype" w:hAnsi="Palatino Linotype" w:cs="Tahoma"/>
        </w:rPr>
        <w:t>haber</w:t>
      </w:r>
      <w:r w:rsidR="00AD65FD">
        <w:rPr>
          <w:rFonts w:ascii="Palatino Linotype" w:hAnsi="Palatino Linotype" w:cs="Tahoma"/>
        </w:rPr>
        <w:t xml:space="preserve"> entrado al fondo de asunto y analizar los documentos entregados en respuesta, </w:t>
      </w:r>
      <w:r w:rsidR="00426EE3">
        <w:rPr>
          <w:rFonts w:ascii="Palatino Linotype" w:hAnsi="Palatino Linotype" w:cs="Tahoma"/>
        </w:rPr>
        <w:t xml:space="preserve">toda vez que el Particular no se inconformó de la veracidad de la información, sino que, como aconteció, el documento remitido </w:t>
      </w:r>
      <w:r w:rsidR="00426EE3">
        <w:rPr>
          <w:rFonts w:ascii="Palatino Linotype" w:hAnsi="Palatino Linotype" w:cs="Tahoma"/>
          <w:b/>
        </w:rPr>
        <w:t xml:space="preserve">no corresponde con lo solicitado, </w:t>
      </w:r>
      <w:r w:rsidR="00426EE3" w:rsidRPr="00426EE3">
        <w:rPr>
          <w:rFonts w:ascii="Palatino Linotype" w:hAnsi="Palatino Linotype" w:cs="Tahoma"/>
        </w:rPr>
        <w:t>si</w:t>
      </w:r>
      <w:r w:rsidR="00426EE3">
        <w:rPr>
          <w:rFonts w:ascii="Palatino Linotype" w:hAnsi="Palatino Linotype" w:cs="Tahoma"/>
        </w:rPr>
        <w:t xml:space="preserve">tuación que actualiza el supuesto de procedencia </w:t>
      </w:r>
      <w:r w:rsidR="001E63F3">
        <w:rPr>
          <w:rFonts w:ascii="Palatino Linotype" w:hAnsi="Palatino Linotype" w:cs="Tahoma"/>
          <w:szCs w:val="24"/>
          <w:lang w:eastAsia="es-MX"/>
        </w:rPr>
        <w:t xml:space="preserve">establecido en la fracción </w:t>
      </w:r>
      <w:r w:rsidR="00292375">
        <w:rPr>
          <w:rFonts w:ascii="Palatino Linotype" w:hAnsi="Palatino Linotype" w:cs="Tahoma"/>
          <w:szCs w:val="24"/>
          <w:lang w:eastAsia="es-MX"/>
        </w:rPr>
        <w:t>VI</w:t>
      </w:r>
      <w:r w:rsidR="00AC0FBE">
        <w:rPr>
          <w:rFonts w:ascii="Palatino Linotype" w:hAnsi="Palatino Linotype" w:cs="Tahoma"/>
          <w:szCs w:val="24"/>
          <w:lang w:eastAsia="es-MX"/>
        </w:rPr>
        <w:t>,</w:t>
      </w:r>
      <w:r w:rsidR="00292375">
        <w:rPr>
          <w:rFonts w:ascii="Palatino Linotype" w:hAnsi="Palatino Linotype" w:cs="Tahoma"/>
          <w:szCs w:val="24"/>
          <w:lang w:eastAsia="es-MX"/>
        </w:rPr>
        <w:t xml:space="preserve"> del artículo 179 de la Ley de Transparencia y Acceso a la Información Pública del Estado de México y Municipios, a saber: </w:t>
      </w:r>
    </w:p>
    <w:p w14:paraId="6A80484D" w14:textId="77777777" w:rsidR="00AC0FBE" w:rsidRDefault="00AC0FBE" w:rsidP="00431C33">
      <w:pPr>
        <w:spacing w:after="0" w:line="360" w:lineRule="auto"/>
        <w:jc w:val="both"/>
        <w:rPr>
          <w:rFonts w:ascii="Palatino Linotype" w:hAnsi="Palatino Linotype" w:cs="Tahoma"/>
          <w:szCs w:val="24"/>
          <w:lang w:eastAsia="es-MX"/>
        </w:rPr>
      </w:pPr>
    </w:p>
    <w:p w14:paraId="71589707" w14:textId="6344CE19" w:rsidR="00292375" w:rsidRDefault="00292375" w:rsidP="00431C33">
      <w:pPr>
        <w:spacing w:after="0" w:line="360" w:lineRule="auto"/>
        <w:ind w:left="567"/>
        <w:jc w:val="both"/>
        <w:rPr>
          <w:rFonts w:ascii="Palatino Linotype" w:hAnsi="Palatino Linotype" w:cs="Tahoma"/>
          <w:i/>
          <w:sz w:val="20"/>
          <w:szCs w:val="20"/>
          <w:lang w:eastAsia="es-MX"/>
        </w:rPr>
      </w:pPr>
      <w:r>
        <w:rPr>
          <w:rFonts w:ascii="Palatino Linotype" w:hAnsi="Palatino Linotype" w:cs="Tahoma"/>
          <w:i/>
          <w:sz w:val="20"/>
          <w:szCs w:val="20"/>
          <w:lang w:eastAsia="es-MX"/>
        </w:rPr>
        <w:t>“</w:t>
      </w:r>
      <w:r w:rsidRPr="00292375">
        <w:rPr>
          <w:rFonts w:ascii="Palatino Linotype" w:hAnsi="Palatino Linotype" w:cs="Tahoma"/>
          <w:i/>
          <w:sz w:val="20"/>
          <w:szCs w:val="20"/>
          <w:lang w:eastAsia="es-MX"/>
        </w:rPr>
        <w:t>Artículo 179. El recurso de revisión es un medio de protección que la Ley otorga a los particulares, para hacer valer su derecho de acceso a la información pública, y procederá en contra de las siguientes causas:</w:t>
      </w:r>
    </w:p>
    <w:p w14:paraId="28B772D4" w14:textId="3788DA35" w:rsidR="00292375" w:rsidRDefault="00292375" w:rsidP="00431C33">
      <w:pPr>
        <w:spacing w:after="0" w:line="360" w:lineRule="auto"/>
        <w:ind w:left="567"/>
        <w:jc w:val="both"/>
        <w:rPr>
          <w:rFonts w:ascii="Palatino Linotype" w:hAnsi="Palatino Linotype" w:cs="Tahoma"/>
          <w:i/>
          <w:sz w:val="20"/>
          <w:szCs w:val="20"/>
          <w:lang w:eastAsia="es-MX"/>
        </w:rPr>
      </w:pPr>
      <w:r>
        <w:rPr>
          <w:rFonts w:ascii="Palatino Linotype" w:hAnsi="Palatino Linotype" w:cs="Tahoma"/>
          <w:i/>
          <w:sz w:val="20"/>
          <w:szCs w:val="20"/>
          <w:lang w:eastAsia="es-MX"/>
        </w:rPr>
        <w:t>I</w:t>
      </w:r>
      <w:r w:rsidR="00AC0FBE">
        <w:rPr>
          <w:rFonts w:ascii="Palatino Linotype" w:hAnsi="Palatino Linotype" w:cs="Tahoma"/>
          <w:i/>
          <w:sz w:val="20"/>
          <w:szCs w:val="20"/>
          <w:lang w:eastAsia="es-MX"/>
        </w:rPr>
        <w:t>. a V. …</w:t>
      </w:r>
    </w:p>
    <w:p w14:paraId="72B1D619" w14:textId="23F51185" w:rsidR="00292375" w:rsidRPr="00292375" w:rsidRDefault="00292375" w:rsidP="00431C33">
      <w:pPr>
        <w:spacing w:after="0" w:line="360" w:lineRule="auto"/>
        <w:ind w:left="567"/>
        <w:jc w:val="both"/>
        <w:rPr>
          <w:rFonts w:ascii="Palatino Linotype" w:hAnsi="Palatino Linotype" w:cs="Tahoma"/>
          <w:b/>
          <w:i/>
          <w:sz w:val="20"/>
          <w:szCs w:val="20"/>
          <w:lang w:eastAsia="es-MX"/>
        </w:rPr>
      </w:pPr>
      <w:r w:rsidRPr="00292375">
        <w:rPr>
          <w:rFonts w:ascii="Palatino Linotype" w:hAnsi="Palatino Linotype" w:cs="Tahoma"/>
          <w:b/>
          <w:i/>
          <w:sz w:val="20"/>
          <w:szCs w:val="20"/>
          <w:lang w:eastAsia="es-MX"/>
        </w:rPr>
        <w:t>VI.-</w:t>
      </w:r>
      <w:r w:rsidRPr="00292375">
        <w:rPr>
          <w:b/>
        </w:rPr>
        <w:t xml:space="preserve"> </w:t>
      </w:r>
      <w:r w:rsidRPr="00292375">
        <w:rPr>
          <w:rFonts w:ascii="Palatino Linotype" w:hAnsi="Palatino Linotype" w:cs="Tahoma"/>
          <w:b/>
          <w:i/>
          <w:sz w:val="20"/>
          <w:szCs w:val="20"/>
          <w:lang w:eastAsia="es-MX"/>
        </w:rPr>
        <w:t>La entrega de información que no corresponda con lo solicitado;</w:t>
      </w:r>
    </w:p>
    <w:p w14:paraId="63B550FE" w14:textId="4FA9E476" w:rsidR="00292375" w:rsidRPr="00292375" w:rsidRDefault="00292375" w:rsidP="00431C33">
      <w:pPr>
        <w:spacing w:after="0" w:line="360" w:lineRule="auto"/>
        <w:ind w:left="567"/>
        <w:jc w:val="both"/>
        <w:rPr>
          <w:rFonts w:ascii="Palatino Linotype" w:hAnsi="Palatino Linotype" w:cs="Tahoma"/>
          <w:i/>
          <w:sz w:val="20"/>
          <w:szCs w:val="20"/>
          <w:lang w:eastAsia="es-MX"/>
        </w:rPr>
      </w:pPr>
      <w:r>
        <w:rPr>
          <w:rFonts w:ascii="Palatino Linotype" w:hAnsi="Palatino Linotype" w:cs="Tahoma"/>
          <w:i/>
          <w:sz w:val="20"/>
          <w:szCs w:val="20"/>
          <w:lang w:eastAsia="es-MX"/>
        </w:rPr>
        <w:t>VII a XIV</w:t>
      </w:r>
      <w:r w:rsidR="00AC0FBE">
        <w:rPr>
          <w:rFonts w:ascii="Palatino Linotype" w:hAnsi="Palatino Linotype" w:cs="Tahoma"/>
          <w:i/>
          <w:sz w:val="20"/>
          <w:szCs w:val="20"/>
          <w:lang w:eastAsia="es-MX"/>
        </w:rPr>
        <w:t>. …</w:t>
      </w:r>
    </w:p>
    <w:p w14:paraId="1827F335" w14:textId="77777777" w:rsidR="00AC0FBE" w:rsidRDefault="00AC0FBE" w:rsidP="00431C33">
      <w:pPr>
        <w:spacing w:after="0" w:line="360" w:lineRule="auto"/>
        <w:jc w:val="both"/>
        <w:rPr>
          <w:rFonts w:ascii="Palatino Linotype" w:hAnsi="Palatino Linotype" w:cs="Tahoma"/>
          <w:szCs w:val="24"/>
          <w:lang w:eastAsia="es-MX"/>
        </w:rPr>
      </w:pPr>
    </w:p>
    <w:p w14:paraId="02A6D2DF" w14:textId="044D9935" w:rsidR="00292375" w:rsidRDefault="00292375" w:rsidP="00431C33">
      <w:pPr>
        <w:spacing w:after="0" w:line="360" w:lineRule="auto"/>
        <w:jc w:val="both"/>
        <w:rPr>
          <w:rFonts w:ascii="Palatino Linotype" w:hAnsi="Palatino Linotype" w:cs="Tahoma"/>
          <w:szCs w:val="24"/>
          <w:lang w:eastAsia="es-MX"/>
        </w:rPr>
      </w:pPr>
      <w:r>
        <w:rPr>
          <w:rFonts w:ascii="Palatino Linotype" w:hAnsi="Palatino Linotype" w:cs="Tahoma"/>
          <w:szCs w:val="24"/>
          <w:lang w:eastAsia="es-MX"/>
        </w:rPr>
        <w:t xml:space="preserve">Basado en lo anterior, lo procedente era entrar al análisis del fondo del asunto y examinar </w:t>
      </w:r>
      <w:r w:rsidR="00252268">
        <w:rPr>
          <w:rFonts w:ascii="Palatino Linotype" w:hAnsi="Palatino Linotype" w:cs="Tahoma"/>
          <w:szCs w:val="24"/>
          <w:lang w:eastAsia="es-MX"/>
        </w:rPr>
        <w:t>el</w:t>
      </w:r>
      <w:r>
        <w:rPr>
          <w:rFonts w:ascii="Palatino Linotype" w:hAnsi="Palatino Linotype" w:cs="Tahoma"/>
          <w:szCs w:val="24"/>
          <w:lang w:eastAsia="es-MX"/>
        </w:rPr>
        <w:t xml:space="preserve"> documento proporcionad</w:t>
      </w:r>
      <w:r w:rsidR="00252268">
        <w:rPr>
          <w:rFonts w:ascii="Palatino Linotype" w:hAnsi="Palatino Linotype" w:cs="Tahoma"/>
          <w:szCs w:val="24"/>
          <w:lang w:eastAsia="es-MX"/>
        </w:rPr>
        <w:t>o</w:t>
      </w:r>
      <w:r>
        <w:rPr>
          <w:rFonts w:ascii="Palatino Linotype" w:hAnsi="Palatino Linotype" w:cs="Tahoma"/>
          <w:szCs w:val="24"/>
          <w:lang w:eastAsia="es-MX"/>
        </w:rPr>
        <w:t xml:space="preserve"> por la Secretaría de Educación</w:t>
      </w:r>
      <w:r w:rsidR="007D1B0E">
        <w:rPr>
          <w:rFonts w:ascii="Palatino Linotype" w:hAnsi="Palatino Linotype" w:cs="Tahoma"/>
          <w:szCs w:val="24"/>
          <w:lang w:eastAsia="es-MX"/>
        </w:rPr>
        <w:t>,</w:t>
      </w:r>
      <w:r>
        <w:rPr>
          <w:rFonts w:ascii="Palatino Linotype" w:hAnsi="Palatino Linotype" w:cs="Tahoma"/>
          <w:szCs w:val="24"/>
          <w:lang w:eastAsia="es-MX"/>
        </w:rPr>
        <w:t xml:space="preserve"> con el fin de </w:t>
      </w:r>
      <w:r w:rsidR="00AC0FBE">
        <w:rPr>
          <w:rFonts w:ascii="Palatino Linotype" w:hAnsi="Palatino Linotype" w:cs="Tahoma"/>
          <w:szCs w:val="24"/>
          <w:lang w:eastAsia="es-MX"/>
        </w:rPr>
        <w:t>corroborar</w:t>
      </w:r>
      <w:r>
        <w:rPr>
          <w:rFonts w:ascii="Palatino Linotype" w:hAnsi="Palatino Linotype" w:cs="Tahoma"/>
          <w:szCs w:val="24"/>
          <w:lang w:eastAsia="es-MX"/>
        </w:rPr>
        <w:t xml:space="preserve"> si con </w:t>
      </w:r>
      <w:r w:rsidR="00252268">
        <w:rPr>
          <w:rFonts w:ascii="Palatino Linotype" w:hAnsi="Palatino Linotype" w:cs="Tahoma"/>
          <w:szCs w:val="24"/>
          <w:lang w:eastAsia="es-MX"/>
        </w:rPr>
        <w:t>este</w:t>
      </w:r>
      <w:r>
        <w:rPr>
          <w:rFonts w:ascii="Palatino Linotype" w:hAnsi="Palatino Linotype" w:cs="Tahoma"/>
          <w:szCs w:val="24"/>
          <w:lang w:eastAsia="es-MX"/>
        </w:rPr>
        <w:t xml:space="preserve">, se garantizaba el derecho de acceso a la información del Particular. </w:t>
      </w:r>
      <w:r w:rsidR="00AC0FBE">
        <w:rPr>
          <w:rFonts w:ascii="Palatino Linotype" w:hAnsi="Palatino Linotype" w:cs="Tahoma"/>
          <w:szCs w:val="24"/>
          <w:lang w:eastAsia="es-MX"/>
        </w:rPr>
        <w:t xml:space="preserve">De ello incluso, se habría tenido que indicar que, la dependencia entregó la información que obraba en sus archivos, pues justamente la autoridad competente para </w:t>
      </w:r>
      <w:r w:rsidR="00252268">
        <w:rPr>
          <w:rFonts w:ascii="Palatino Linotype" w:hAnsi="Palatino Linotype" w:cs="Tahoma"/>
          <w:szCs w:val="24"/>
          <w:lang w:eastAsia="es-MX"/>
        </w:rPr>
        <w:t xml:space="preserve">emitir este tipo de autorizaciones es el Ayuntamiento y a efecto de dar certeza al Recurrente, se debió establecer que si bien el oficio solicitado </w:t>
      </w:r>
      <w:r w:rsidR="00252268" w:rsidRPr="00252268">
        <w:rPr>
          <w:rFonts w:ascii="Palatino Linotype" w:hAnsi="Palatino Linotype" w:cs="Tahoma"/>
          <w:b/>
          <w:szCs w:val="24"/>
          <w:lang w:eastAsia="es-MX"/>
        </w:rPr>
        <w:t>no contiene específicamente lo solicitad</w:t>
      </w:r>
      <w:r w:rsidR="00252268">
        <w:rPr>
          <w:rFonts w:ascii="Palatino Linotype" w:hAnsi="Palatino Linotype" w:cs="Tahoma"/>
          <w:b/>
          <w:szCs w:val="24"/>
          <w:lang w:eastAsia="es-MX"/>
        </w:rPr>
        <w:t>a;</w:t>
      </w:r>
      <w:r w:rsidR="00252268">
        <w:rPr>
          <w:rFonts w:ascii="Palatino Linotype" w:hAnsi="Palatino Linotype" w:cs="Tahoma"/>
          <w:szCs w:val="24"/>
          <w:lang w:eastAsia="es-MX"/>
        </w:rPr>
        <w:t xml:space="preserve"> esto es, una autorización para cerrar de manera total la calle, lo entregado, no obstante de ser una autorización sólo para colocar vallas, sin que de ninguna manera se considera una autorización en los términos requeridos por el Particular, corresponde a la información que obra en los archivos del Sujeto Obligado.</w:t>
      </w:r>
    </w:p>
    <w:p w14:paraId="5B4A60FB" w14:textId="77777777" w:rsidR="000411F7" w:rsidRDefault="000411F7" w:rsidP="00431C33">
      <w:pPr>
        <w:spacing w:after="0" w:line="360" w:lineRule="auto"/>
        <w:jc w:val="both"/>
        <w:rPr>
          <w:rFonts w:ascii="Palatino Linotype" w:hAnsi="Palatino Linotype" w:cs="Tahoma"/>
          <w:szCs w:val="24"/>
          <w:lang w:eastAsia="es-MX"/>
        </w:rPr>
      </w:pPr>
    </w:p>
    <w:p w14:paraId="4F7761F6" w14:textId="6BB33ECA" w:rsidR="000411F7" w:rsidRDefault="000411F7" w:rsidP="00431C33">
      <w:pPr>
        <w:spacing w:after="0" w:line="360" w:lineRule="auto"/>
        <w:jc w:val="both"/>
        <w:rPr>
          <w:rFonts w:ascii="Palatino Linotype" w:hAnsi="Palatino Linotype" w:cs="Tahoma"/>
          <w:szCs w:val="24"/>
          <w:u w:val="single"/>
          <w:lang w:eastAsia="es-MX"/>
        </w:rPr>
      </w:pPr>
      <w:r>
        <w:rPr>
          <w:rFonts w:ascii="Palatino Linotype" w:hAnsi="Palatino Linotype" w:cs="Tahoma"/>
          <w:szCs w:val="24"/>
          <w:lang w:eastAsia="es-MX"/>
        </w:rPr>
        <w:lastRenderedPageBreak/>
        <w:t xml:space="preserve">En efecto, la interpretación de que el recurso de revisión pretende controvertir la veracidad del documento, no sólo se aleja del acto impugnado del Recurrente, sino que además, es en perjuicio de su derecho humano de acceso a la información, ya que su recurso se sobresee, sin un análisis que le permita conocer si la respuesta es o no correcta y apegada a derecho, pues no debe dejarse de lado, que el derecho de acceso a la información, al ser un derecho humano, debe brindarse con la máxima protección a los particulares, de acuerdo con lo </w:t>
      </w:r>
      <w:r w:rsidRPr="000411F7">
        <w:rPr>
          <w:rFonts w:ascii="Palatino Linotype" w:hAnsi="Palatino Linotype" w:cs="Tahoma"/>
          <w:szCs w:val="24"/>
          <w:u w:val="single"/>
          <w:lang w:eastAsia="es-MX"/>
        </w:rPr>
        <w:t xml:space="preserve">establecido en el artículo </w:t>
      </w:r>
      <w:r w:rsidR="004E5515">
        <w:rPr>
          <w:rFonts w:ascii="Palatino Linotype" w:hAnsi="Palatino Linotype" w:cs="Tahoma"/>
          <w:szCs w:val="24"/>
          <w:u w:val="single"/>
          <w:lang w:eastAsia="es-MX"/>
        </w:rPr>
        <w:t>51</w:t>
      </w:r>
      <w:r w:rsidRPr="000411F7">
        <w:rPr>
          <w:rFonts w:ascii="Palatino Linotype" w:hAnsi="Palatino Linotype" w:cs="Tahoma"/>
          <w:szCs w:val="24"/>
          <w:u w:val="single"/>
          <w:lang w:eastAsia="es-MX"/>
        </w:rPr>
        <w:t xml:space="preserve"> de la Ley </w:t>
      </w:r>
      <w:r w:rsidR="004E5515">
        <w:rPr>
          <w:rFonts w:ascii="Palatino Linotype" w:hAnsi="Palatino Linotype" w:cs="Tahoma"/>
          <w:szCs w:val="24"/>
          <w:u w:val="single"/>
          <w:lang w:eastAsia="es-MX"/>
        </w:rPr>
        <w:t>Modelo Interamericana 2.0 Sobre Acceso a la Información Pública.</w:t>
      </w:r>
      <w:r w:rsidRPr="000411F7">
        <w:rPr>
          <w:rFonts w:ascii="Palatino Linotype" w:hAnsi="Palatino Linotype" w:cs="Tahoma"/>
          <w:szCs w:val="24"/>
          <w:u w:val="single"/>
          <w:lang w:eastAsia="es-MX"/>
        </w:rPr>
        <w:t xml:space="preserve"> </w:t>
      </w:r>
    </w:p>
    <w:p w14:paraId="1E4F147F" w14:textId="77777777" w:rsidR="004E5515" w:rsidRDefault="004E5515" w:rsidP="00431C33">
      <w:pPr>
        <w:spacing w:after="0" w:line="360" w:lineRule="auto"/>
        <w:jc w:val="both"/>
        <w:rPr>
          <w:rFonts w:ascii="Palatino Linotype" w:hAnsi="Palatino Linotype" w:cs="Tahoma"/>
          <w:szCs w:val="24"/>
          <w:u w:val="single"/>
          <w:lang w:eastAsia="es-MX"/>
        </w:rPr>
      </w:pPr>
    </w:p>
    <w:p w14:paraId="7DD444E0" w14:textId="77777777" w:rsidR="004E5515" w:rsidRPr="004E5515" w:rsidRDefault="004E5515" w:rsidP="004E5515">
      <w:pPr>
        <w:spacing w:after="0" w:line="360" w:lineRule="auto"/>
        <w:ind w:left="567" w:right="567"/>
        <w:jc w:val="both"/>
        <w:rPr>
          <w:rFonts w:ascii="Palatino Linotype" w:hAnsi="Palatino Linotype" w:cs="Tahoma"/>
          <w:i/>
          <w:sz w:val="20"/>
          <w:szCs w:val="20"/>
          <w:u w:val="single"/>
          <w:lang w:eastAsia="es-MX"/>
        </w:rPr>
      </w:pPr>
      <w:r w:rsidRPr="004E5515">
        <w:rPr>
          <w:rFonts w:ascii="Palatino Linotype" w:hAnsi="Palatino Linotype" w:cs="Tahoma"/>
          <w:i/>
          <w:sz w:val="20"/>
          <w:szCs w:val="20"/>
          <w:u w:val="single"/>
          <w:lang w:eastAsia="es-MX"/>
        </w:rPr>
        <w:t>Artículo 51 Apelación externa</w:t>
      </w:r>
    </w:p>
    <w:p w14:paraId="76DD3FEF" w14:textId="09480792" w:rsidR="004E5515" w:rsidRPr="004E5515" w:rsidRDefault="004E5515" w:rsidP="004E5515">
      <w:pPr>
        <w:spacing w:after="0" w:line="360" w:lineRule="auto"/>
        <w:ind w:left="567" w:right="567"/>
        <w:jc w:val="both"/>
        <w:rPr>
          <w:rFonts w:ascii="Palatino Linotype" w:hAnsi="Palatino Linotype" w:cs="Tahoma"/>
          <w:i/>
          <w:sz w:val="20"/>
          <w:szCs w:val="20"/>
          <w:u w:val="single"/>
          <w:lang w:eastAsia="es-MX"/>
        </w:rPr>
      </w:pPr>
      <w:r w:rsidRPr="004E5515">
        <w:rPr>
          <w:rFonts w:ascii="Palatino Linotype" w:hAnsi="Palatino Linotype" w:cs="Tahoma"/>
          <w:i/>
          <w:sz w:val="20"/>
          <w:szCs w:val="20"/>
          <w:u w:val="single"/>
          <w:lang w:eastAsia="es-MX"/>
        </w:rPr>
        <w:t>1. Cualquier solicitante que c</w:t>
      </w:r>
      <w:r w:rsidRPr="004E5515">
        <w:rPr>
          <w:rFonts w:ascii="Palatino Linotype" w:hAnsi="Palatino Linotype" w:cs="Tahoma"/>
          <w:i/>
          <w:sz w:val="20"/>
          <w:szCs w:val="20"/>
          <w:u w:val="single"/>
          <w:lang w:eastAsia="es-MX"/>
        </w:rPr>
        <w:t xml:space="preserve">onsidere que su solicitud no ha </w:t>
      </w:r>
      <w:r w:rsidRPr="004E5515">
        <w:rPr>
          <w:rFonts w:ascii="Palatino Linotype" w:hAnsi="Palatino Linotype" w:cs="Tahoma"/>
          <w:i/>
          <w:sz w:val="20"/>
          <w:szCs w:val="20"/>
          <w:u w:val="single"/>
          <w:lang w:eastAsia="es-MX"/>
        </w:rPr>
        <w:t>sido atendida de conformidad con las disposiciones de esta Ley,</w:t>
      </w:r>
      <w:r w:rsidRPr="004E5515">
        <w:rPr>
          <w:rFonts w:ascii="Palatino Linotype" w:hAnsi="Palatino Linotype" w:cs="Tahoma"/>
          <w:i/>
          <w:sz w:val="20"/>
          <w:szCs w:val="20"/>
          <w:u w:val="single"/>
          <w:lang w:eastAsia="es-MX"/>
        </w:rPr>
        <w:t xml:space="preserve"> </w:t>
      </w:r>
      <w:r w:rsidRPr="004E5515">
        <w:rPr>
          <w:rFonts w:ascii="Palatino Linotype" w:hAnsi="Palatino Linotype" w:cs="Tahoma"/>
          <w:i/>
          <w:sz w:val="20"/>
          <w:szCs w:val="20"/>
          <w:u w:val="single"/>
          <w:lang w:eastAsia="es-MX"/>
        </w:rPr>
        <w:t>independientemente de que haya presentado o no una apelación</w:t>
      </w:r>
      <w:r w:rsidRPr="004E5515">
        <w:rPr>
          <w:rFonts w:ascii="Palatino Linotype" w:hAnsi="Palatino Linotype" w:cs="Tahoma"/>
          <w:i/>
          <w:sz w:val="20"/>
          <w:szCs w:val="20"/>
          <w:u w:val="single"/>
          <w:lang w:eastAsia="es-MX"/>
        </w:rPr>
        <w:t xml:space="preserve"> </w:t>
      </w:r>
      <w:r w:rsidRPr="004E5515">
        <w:rPr>
          <w:rFonts w:ascii="Palatino Linotype" w:hAnsi="Palatino Linotype" w:cs="Tahoma"/>
          <w:i/>
          <w:sz w:val="20"/>
          <w:szCs w:val="20"/>
          <w:u w:val="single"/>
          <w:lang w:eastAsia="es-MX"/>
        </w:rPr>
        <w:t>interna, tiene derecho a presentar una apelación frente al Órgano</w:t>
      </w:r>
    </w:p>
    <w:p w14:paraId="20EAA26C" w14:textId="77777777" w:rsidR="004E5515" w:rsidRPr="004E5515" w:rsidRDefault="004E5515" w:rsidP="004E5515">
      <w:pPr>
        <w:spacing w:after="0" w:line="360" w:lineRule="auto"/>
        <w:ind w:left="567" w:right="567"/>
        <w:jc w:val="both"/>
        <w:rPr>
          <w:rFonts w:ascii="Palatino Linotype" w:hAnsi="Palatino Linotype" w:cs="Tahoma"/>
          <w:i/>
          <w:sz w:val="20"/>
          <w:szCs w:val="20"/>
          <w:u w:val="single"/>
          <w:lang w:eastAsia="es-MX"/>
        </w:rPr>
      </w:pPr>
      <w:r w:rsidRPr="004E5515">
        <w:rPr>
          <w:rFonts w:ascii="Palatino Linotype" w:hAnsi="Palatino Linotype" w:cs="Tahoma"/>
          <w:i/>
          <w:sz w:val="20"/>
          <w:szCs w:val="20"/>
          <w:u w:val="single"/>
          <w:lang w:eastAsia="es-MX"/>
        </w:rPr>
        <w:t>Garante.</w:t>
      </w:r>
    </w:p>
    <w:p w14:paraId="60BC5878" w14:textId="4F49CF1A" w:rsidR="004E5515" w:rsidRPr="004E5515" w:rsidRDefault="004E5515" w:rsidP="004E5515">
      <w:pPr>
        <w:spacing w:after="0" w:line="360" w:lineRule="auto"/>
        <w:ind w:left="567" w:right="567"/>
        <w:jc w:val="both"/>
        <w:rPr>
          <w:rFonts w:ascii="Palatino Linotype" w:hAnsi="Palatino Linotype" w:cs="Tahoma"/>
          <w:i/>
          <w:sz w:val="20"/>
          <w:szCs w:val="20"/>
          <w:u w:val="single"/>
          <w:lang w:eastAsia="es-MX"/>
        </w:rPr>
      </w:pPr>
      <w:r w:rsidRPr="004E5515">
        <w:rPr>
          <w:rFonts w:ascii="Palatino Linotype" w:hAnsi="Palatino Linotype" w:cs="Tahoma"/>
          <w:i/>
          <w:sz w:val="20"/>
          <w:szCs w:val="20"/>
          <w:u w:val="single"/>
          <w:lang w:eastAsia="es-MX"/>
        </w:rPr>
        <w:t>2. Dicha apelación deberá pr</w:t>
      </w:r>
      <w:r w:rsidRPr="004E5515">
        <w:rPr>
          <w:rFonts w:ascii="Palatino Linotype" w:hAnsi="Palatino Linotype" w:cs="Tahoma"/>
          <w:i/>
          <w:sz w:val="20"/>
          <w:szCs w:val="20"/>
          <w:u w:val="single"/>
          <w:lang w:eastAsia="es-MX"/>
        </w:rPr>
        <w:t xml:space="preserve">esentarse dentro de un plazo no </w:t>
      </w:r>
      <w:r w:rsidRPr="004E5515">
        <w:rPr>
          <w:rFonts w:ascii="Palatino Linotype" w:hAnsi="Palatino Linotype" w:cs="Tahoma"/>
          <w:i/>
          <w:sz w:val="20"/>
          <w:szCs w:val="20"/>
          <w:u w:val="single"/>
          <w:lang w:eastAsia="es-MX"/>
        </w:rPr>
        <w:t>mayor a [60] días desde el vencimiento de los plazos establecidos</w:t>
      </w:r>
      <w:r w:rsidRPr="004E5515">
        <w:rPr>
          <w:rFonts w:ascii="Palatino Linotype" w:hAnsi="Palatino Linotype" w:cs="Tahoma"/>
          <w:i/>
          <w:sz w:val="20"/>
          <w:szCs w:val="20"/>
          <w:u w:val="single"/>
          <w:lang w:eastAsia="es-MX"/>
        </w:rPr>
        <w:t xml:space="preserve"> </w:t>
      </w:r>
      <w:r w:rsidRPr="004E5515">
        <w:rPr>
          <w:rFonts w:ascii="Palatino Linotype" w:hAnsi="Palatino Linotype" w:cs="Tahoma"/>
          <w:i/>
          <w:sz w:val="20"/>
          <w:szCs w:val="20"/>
          <w:u w:val="single"/>
          <w:lang w:eastAsia="es-MX"/>
        </w:rPr>
        <w:t>para la contestación de una solicitud o para la contestación de</w:t>
      </w:r>
      <w:r w:rsidRPr="004E5515">
        <w:rPr>
          <w:rFonts w:ascii="Palatino Linotype" w:hAnsi="Palatino Linotype" w:cs="Tahoma"/>
          <w:i/>
          <w:sz w:val="20"/>
          <w:szCs w:val="20"/>
          <w:u w:val="single"/>
          <w:lang w:eastAsia="es-MX"/>
        </w:rPr>
        <w:t xml:space="preserve"> </w:t>
      </w:r>
      <w:r w:rsidRPr="004E5515">
        <w:rPr>
          <w:rFonts w:ascii="Palatino Linotype" w:hAnsi="Palatino Linotype" w:cs="Tahoma"/>
          <w:i/>
          <w:sz w:val="20"/>
          <w:szCs w:val="20"/>
          <w:u w:val="single"/>
          <w:lang w:eastAsia="es-MX"/>
        </w:rPr>
        <w:t>una apelación interna, de confo</w:t>
      </w:r>
      <w:r w:rsidRPr="004E5515">
        <w:rPr>
          <w:rFonts w:ascii="Palatino Linotype" w:hAnsi="Palatino Linotype" w:cs="Tahoma"/>
          <w:i/>
          <w:sz w:val="20"/>
          <w:szCs w:val="20"/>
          <w:u w:val="single"/>
          <w:lang w:eastAsia="es-MX"/>
        </w:rPr>
        <w:t xml:space="preserve">rmidad con las disposiciones de </w:t>
      </w:r>
      <w:r w:rsidRPr="004E5515">
        <w:rPr>
          <w:rFonts w:ascii="Palatino Linotype" w:hAnsi="Palatino Linotype" w:cs="Tahoma"/>
          <w:i/>
          <w:sz w:val="20"/>
          <w:szCs w:val="20"/>
          <w:u w:val="single"/>
          <w:lang w:eastAsia="es-MX"/>
        </w:rPr>
        <w:t>esta Ley.</w:t>
      </w:r>
    </w:p>
    <w:p w14:paraId="349AE8A2" w14:textId="77777777" w:rsidR="004E5515" w:rsidRPr="004E5515" w:rsidRDefault="004E5515" w:rsidP="004E5515">
      <w:pPr>
        <w:spacing w:after="0" w:line="360" w:lineRule="auto"/>
        <w:ind w:left="567" w:right="567"/>
        <w:jc w:val="both"/>
        <w:rPr>
          <w:rFonts w:ascii="Palatino Linotype" w:hAnsi="Palatino Linotype" w:cs="Tahoma"/>
          <w:i/>
          <w:sz w:val="20"/>
          <w:szCs w:val="20"/>
          <w:u w:val="single"/>
          <w:lang w:eastAsia="es-MX"/>
        </w:rPr>
      </w:pPr>
      <w:r w:rsidRPr="004E5515">
        <w:rPr>
          <w:rFonts w:ascii="Palatino Linotype" w:hAnsi="Palatino Linotype" w:cs="Tahoma"/>
          <w:i/>
          <w:sz w:val="20"/>
          <w:szCs w:val="20"/>
          <w:u w:val="single"/>
          <w:lang w:eastAsia="es-MX"/>
        </w:rPr>
        <w:t>3. La solicitud de apelación deberá indicar:</w:t>
      </w:r>
    </w:p>
    <w:p w14:paraId="3BB3F256" w14:textId="1C5C0B8C" w:rsidR="004E5515" w:rsidRPr="004E5515" w:rsidRDefault="004E5515" w:rsidP="004E5515">
      <w:pPr>
        <w:spacing w:after="0" w:line="360" w:lineRule="auto"/>
        <w:ind w:left="567" w:right="567"/>
        <w:jc w:val="both"/>
        <w:rPr>
          <w:rFonts w:ascii="Palatino Linotype" w:hAnsi="Palatino Linotype" w:cs="Tahoma"/>
          <w:i/>
          <w:sz w:val="20"/>
          <w:szCs w:val="20"/>
          <w:u w:val="single"/>
          <w:lang w:eastAsia="es-MX"/>
        </w:rPr>
      </w:pPr>
      <w:r w:rsidRPr="004E5515">
        <w:rPr>
          <w:rFonts w:ascii="Palatino Linotype" w:hAnsi="Palatino Linotype" w:cs="Tahoma"/>
          <w:i/>
          <w:sz w:val="20"/>
          <w:szCs w:val="20"/>
          <w:u w:val="single"/>
          <w:lang w:eastAsia="es-MX"/>
        </w:rPr>
        <w:t>a. datos de la Autoridad Pública ante la cual se presentó la</w:t>
      </w:r>
      <w:r w:rsidRPr="004E5515">
        <w:rPr>
          <w:rFonts w:ascii="Palatino Linotype" w:hAnsi="Palatino Linotype" w:cs="Tahoma"/>
          <w:i/>
          <w:sz w:val="20"/>
          <w:szCs w:val="20"/>
          <w:u w:val="single"/>
          <w:lang w:eastAsia="es-MX"/>
        </w:rPr>
        <w:t xml:space="preserve"> </w:t>
      </w:r>
      <w:r w:rsidRPr="004E5515">
        <w:rPr>
          <w:rFonts w:ascii="Palatino Linotype" w:hAnsi="Palatino Linotype" w:cs="Tahoma"/>
          <w:i/>
          <w:sz w:val="20"/>
          <w:szCs w:val="20"/>
          <w:u w:val="single"/>
          <w:lang w:eastAsia="es-MX"/>
        </w:rPr>
        <w:t>solicitud;</w:t>
      </w:r>
    </w:p>
    <w:p w14:paraId="0164B060" w14:textId="77777777" w:rsidR="004E5515" w:rsidRPr="004E5515" w:rsidRDefault="004E5515" w:rsidP="004E5515">
      <w:pPr>
        <w:spacing w:after="0" w:line="360" w:lineRule="auto"/>
        <w:ind w:left="567" w:right="567"/>
        <w:jc w:val="both"/>
        <w:rPr>
          <w:rFonts w:ascii="Palatino Linotype" w:hAnsi="Palatino Linotype" w:cs="Tahoma"/>
          <w:i/>
          <w:sz w:val="20"/>
          <w:szCs w:val="20"/>
          <w:u w:val="single"/>
          <w:lang w:eastAsia="es-MX"/>
        </w:rPr>
      </w:pPr>
      <w:r w:rsidRPr="004E5515">
        <w:rPr>
          <w:rFonts w:ascii="Palatino Linotype" w:hAnsi="Palatino Linotype" w:cs="Tahoma"/>
          <w:i/>
          <w:sz w:val="20"/>
          <w:szCs w:val="20"/>
          <w:u w:val="single"/>
          <w:lang w:eastAsia="es-MX"/>
        </w:rPr>
        <w:t>b. datos de contacto del solicitante;</w:t>
      </w:r>
    </w:p>
    <w:p w14:paraId="0ECF1245" w14:textId="77777777" w:rsidR="004E5515" w:rsidRPr="004E5515" w:rsidRDefault="004E5515" w:rsidP="004E5515">
      <w:pPr>
        <w:spacing w:after="0" w:line="360" w:lineRule="auto"/>
        <w:ind w:left="567" w:right="567"/>
        <w:jc w:val="both"/>
        <w:rPr>
          <w:rFonts w:ascii="Palatino Linotype" w:hAnsi="Palatino Linotype" w:cs="Tahoma"/>
          <w:i/>
          <w:sz w:val="20"/>
          <w:szCs w:val="20"/>
          <w:u w:val="single"/>
          <w:lang w:eastAsia="es-MX"/>
        </w:rPr>
      </w:pPr>
      <w:r w:rsidRPr="004E5515">
        <w:rPr>
          <w:rFonts w:ascii="Palatino Linotype" w:hAnsi="Palatino Linotype" w:cs="Tahoma"/>
          <w:i/>
          <w:sz w:val="20"/>
          <w:szCs w:val="20"/>
          <w:u w:val="single"/>
          <w:lang w:eastAsia="es-MX"/>
        </w:rPr>
        <w:t>c. los fundamentos de la apelación; y</w:t>
      </w:r>
    </w:p>
    <w:p w14:paraId="5F7BB7B5" w14:textId="70592D1E" w:rsidR="004E5515" w:rsidRPr="004E5515" w:rsidRDefault="004E5515" w:rsidP="004E5515">
      <w:pPr>
        <w:spacing w:after="0" w:line="360" w:lineRule="auto"/>
        <w:ind w:left="567" w:right="567"/>
        <w:jc w:val="both"/>
        <w:rPr>
          <w:rFonts w:ascii="Palatino Linotype" w:hAnsi="Palatino Linotype" w:cs="Tahoma"/>
          <w:i/>
          <w:sz w:val="20"/>
          <w:szCs w:val="20"/>
          <w:u w:val="single"/>
          <w:lang w:eastAsia="es-MX"/>
        </w:rPr>
      </w:pPr>
      <w:r w:rsidRPr="004E5515">
        <w:rPr>
          <w:rFonts w:ascii="Palatino Linotype" w:hAnsi="Palatino Linotype" w:cs="Tahoma"/>
          <w:i/>
          <w:sz w:val="20"/>
          <w:szCs w:val="20"/>
          <w:u w:val="single"/>
          <w:lang w:eastAsia="es-MX"/>
        </w:rPr>
        <w:t>d. cualquier otro dato o el</w:t>
      </w:r>
      <w:r w:rsidRPr="004E5515">
        <w:rPr>
          <w:rFonts w:ascii="Palatino Linotype" w:hAnsi="Palatino Linotype" w:cs="Tahoma"/>
          <w:i/>
          <w:sz w:val="20"/>
          <w:szCs w:val="20"/>
          <w:u w:val="single"/>
          <w:lang w:eastAsia="es-MX"/>
        </w:rPr>
        <w:t>emento que el solicitante consi</w:t>
      </w:r>
      <w:r w:rsidRPr="004E5515">
        <w:rPr>
          <w:rFonts w:ascii="Palatino Linotype" w:hAnsi="Palatino Linotype" w:cs="Tahoma"/>
          <w:i/>
          <w:sz w:val="20"/>
          <w:szCs w:val="20"/>
          <w:u w:val="single"/>
          <w:lang w:eastAsia="es-MX"/>
        </w:rPr>
        <w:t>dere relevante.</w:t>
      </w:r>
    </w:p>
    <w:p w14:paraId="0F9E9205" w14:textId="368FDB58" w:rsidR="004E5515" w:rsidRPr="004E5515" w:rsidRDefault="004E5515" w:rsidP="004E5515">
      <w:pPr>
        <w:spacing w:after="0" w:line="360" w:lineRule="auto"/>
        <w:ind w:left="567" w:right="567"/>
        <w:jc w:val="both"/>
        <w:rPr>
          <w:rFonts w:ascii="Palatino Linotype" w:hAnsi="Palatino Linotype" w:cs="Tahoma"/>
          <w:i/>
          <w:sz w:val="20"/>
          <w:szCs w:val="20"/>
          <w:u w:val="single"/>
          <w:lang w:eastAsia="es-MX"/>
        </w:rPr>
      </w:pPr>
      <w:r w:rsidRPr="004E5515">
        <w:rPr>
          <w:rFonts w:ascii="Palatino Linotype" w:hAnsi="Palatino Linotype" w:cs="Tahoma"/>
          <w:i/>
          <w:sz w:val="20"/>
          <w:szCs w:val="20"/>
          <w:u w:val="single"/>
          <w:lang w:eastAsia="es-MX"/>
        </w:rPr>
        <w:t>4. Una vez recibida una apelac</w:t>
      </w:r>
      <w:r w:rsidRPr="004E5515">
        <w:rPr>
          <w:rFonts w:ascii="Palatino Linotype" w:hAnsi="Palatino Linotype" w:cs="Tahoma"/>
          <w:i/>
          <w:sz w:val="20"/>
          <w:szCs w:val="20"/>
          <w:u w:val="single"/>
          <w:lang w:eastAsia="es-MX"/>
        </w:rPr>
        <w:t>ión, el Órgano Garante podrá me</w:t>
      </w:r>
      <w:r w:rsidRPr="004E5515">
        <w:rPr>
          <w:rFonts w:ascii="Palatino Linotype" w:hAnsi="Palatino Linotype" w:cs="Tahoma"/>
          <w:i/>
          <w:sz w:val="20"/>
          <w:szCs w:val="20"/>
          <w:u w:val="single"/>
          <w:lang w:eastAsia="es-MX"/>
        </w:rPr>
        <w:t>diar entre las partes a fin de lograr la entrega de la Inf</w:t>
      </w:r>
      <w:r w:rsidRPr="004E5515">
        <w:rPr>
          <w:rFonts w:ascii="Palatino Linotype" w:hAnsi="Palatino Linotype" w:cs="Tahoma"/>
          <w:i/>
          <w:sz w:val="20"/>
          <w:szCs w:val="20"/>
          <w:u w:val="single"/>
          <w:lang w:eastAsia="es-MX"/>
        </w:rPr>
        <w:t xml:space="preserve">ormación </w:t>
      </w:r>
      <w:r w:rsidRPr="004E5515">
        <w:rPr>
          <w:rFonts w:ascii="Palatino Linotype" w:hAnsi="Palatino Linotype" w:cs="Tahoma"/>
          <w:i/>
          <w:sz w:val="20"/>
          <w:szCs w:val="20"/>
          <w:u w:val="single"/>
          <w:lang w:eastAsia="es-MX"/>
        </w:rPr>
        <w:t>sin necesidad de agotar el proceso de apelación.</w:t>
      </w:r>
    </w:p>
    <w:p w14:paraId="63B846E3" w14:textId="78677B2A" w:rsidR="004E5515" w:rsidRPr="004E5515" w:rsidRDefault="004E5515" w:rsidP="004E5515">
      <w:pPr>
        <w:spacing w:after="0" w:line="360" w:lineRule="auto"/>
        <w:ind w:left="567" w:right="567"/>
        <w:jc w:val="both"/>
        <w:rPr>
          <w:rFonts w:ascii="Palatino Linotype" w:hAnsi="Palatino Linotype" w:cs="Tahoma"/>
          <w:i/>
          <w:sz w:val="20"/>
          <w:szCs w:val="20"/>
          <w:u w:val="single"/>
          <w:lang w:eastAsia="es-MX"/>
        </w:rPr>
      </w:pPr>
      <w:r w:rsidRPr="004E5515">
        <w:rPr>
          <w:rFonts w:ascii="Palatino Linotype" w:hAnsi="Palatino Linotype" w:cs="Tahoma"/>
          <w:i/>
          <w:sz w:val="20"/>
          <w:szCs w:val="20"/>
          <w:u w:val="single"/>
          <w:lang w:eastAsia="es-MX"/>
        </w:rPr>
        <w:t>5. El Órgano Garante deberá regis</w:t>
      </w:r>
      <w:r w:rsidRPr="004E5515">
        <w:rPr>
          <w:rFonts w:ascii="Palatino Linotype" w:hAnsi="Palatino Linotype" w:cs="Tahoma"/>
          <w:i/>
          <w:sz w:val="20"/>
          <w:szCs w:val="20"/>
          <w:u w:val="single"/>
          <w:lang w:eastAsia="es-MX"/>
        </w:rPr>
        <w:t xml:space="preserve">trar la apelación en un sistema </w:t>
      </w:r>
      <w:r w:rsidRPr="004E5515">
        <w:rPr>
          <w:rFonts w:ascii="Palatino Linotype" w:hAnsi="Palatino Linotype" w:cs="Tahoma"/>
          <w:i/>
          <w:sz w:val="20"/>
          <w:szCs w:val="20"/>
          <w:u w:val="single"/>
          <w:lang w:eastAsia="es-MX"/>
        </w:rPr>
        <w:t xml:space="preserve">de seguimiento centralizado e informará a todas las partes interesadas, incluidas las terceras partes, </w:t>
      </w:r>
      <w:r w:rsidRPr="004E5515">
        <w:rPr>
          <w:rFonts w:ascii="Palatino Linotype" w:hAnsi="Palatino Linotype" w:cs="Tahoma"/>
          <w:i/>
          <w:sz w:val="20"/>
          <w:szCs w:val="20"/>
          <w:u w:val="single"/>
          <w:lang w:eastAsia="es-MX"/>
        </w:rPr>
        <w:t xml:space="preserve">sobre la apelación y su derecho </w:t>
      </w:r>
      <w:r w:rsidRPr="004E5515">
        <w:rPr>
          <w:rFonts w:ascii="Palatino Linotype" w:hAnsi="Palatino Linotype" w:cs="Tahoma"/>
          <w:i/>
          <w:sz w:val="20"/>
          <w:szCs w:val="20"/>
          <w:u w:val="single"/>
          <w:lang w:eastAsia="es-MX"/>
        </w:rPr>
        <w:t>a comparecer en el proceso.</w:t>
      </w:r>
    </w:p>
    <w:p w14:paraId="2706E618" w14:textId="0C06550B" w:rsidR="004E5515" w:rsidRPr="004E5515" w:rsidRDefault="004E5515" w:rsidP="004E5515">
      <w:pPr>
        <w:spacing w:after="0" w:line="360" w:lineRule="auto"/>
        <w:ind w:left="567" w:right="567"/>
        <w:jc w:val="both"/>
        <w:rPr>
          <w:rFonts w:ascii="Palatino Linotype" w:hAnsi="Palatino Linotype" w:cs="Tahoma"/>
          <w:i/>
          <w:sz w:val="20"/>
          <w:szCs w:val="20"/>
          <w:u w:val="single"/>
          <w:lang w:eastAsia="es-MX"/>
        </w:rPr>
      </w:pPr>
      <w:r w:rsidRPr="004E5515">
        <w:rPr>
          <w:rFonts w:ascii="Palatino Linotype" w:hAnsi="Palatino Linotype" w:cs="Tahoma"/>
          <w:i/>
          <w:sz w:val="20"/>
          <w:szCs w:val="20"/>
          <w:u w:val="single"/>
          <w:lang w:eastAsia="es-MX"/>
        </w:rPr>
        <w:lastRenderedPageBreak/>
        <w:t>6. El Órgano Garante deberá es</w:t>
      </w:r>
      <w:r w:rsidRPr="004E5515">
        <w:rPr>
          <w:rFonts w:ascii="Palatino Linotype" w:hAnsi="Palatino Linotype" w:cs="Tahoma"/>
          <w:i/>
          <w:sz w:val="20"/>
          <w:szCs w:val="20"/>
          <w:u w:val="single"/>
          <w:lang w:eastAsia="es-MX"/>
        </w:rPr>
        <w:t>tablecer reglas claras y no dis</w:t>
      </w:r>
      <w:r w:rsidRPr="004E5515">
        <w:rPr>
          <w:rFonts w:ascii="Palatino Linotype" w:hAnsi="Palatino Linotype" w:cs="Tahoma"/>
          <w:i/>
          <w:sz w:val="20"/>
          <w:szCs w:val="20"/>
          <w:u w:val="single"/>
          <w:lang w:eastAsia="es-MX"/>
        </w:rPr>
        <w:t>criminatorias en lo relativo a la s</w:t>
      </w:r>
      <w:r w:rsidRPr="004E5515">
        <w:rPr>
          <w:rFonts w:ascii="Palatino Linotype" w:hAnsi="Palatino Linotype" w:cs="Tahoma"/>
          <w:i/>
          <w:sz w:val="20"/>
          <w:szCs w:val="20"/>
          <w:u w:val="single"/>
          <w:lang w:eastAsia="es-MX"/>
        </w:rPr>
        <w:t xml:space="preserve">ustanciación de la apelación, a </w:t>
      </w:r>
      <w:r w:rsidRPr="004E5515">
        <w:rPr>
          <w:rFonts w:ascii="Palatino Linotype" w:hAnsi="Palatino Linotype" w:cs="Tahoma"/>
          <w:i/>
          <w:sz w:val="20"/>
          <w:szCs w:val="20"/>
          <w:u w:val="single"/>
          <w:lang w:eastAsia="es-MX"/>
        </w:rPr>
        <w:t>través de las cuales se asegure a todas las partes la oportunidad</w:t>
      </w:r>
      <w:r w:rsidRPr="004E5515">
        <w:rPr>
          <w:rFonts w:ascii="Palatino Linotype" w:hAnsi="Palatino Linotype" w:cs="Tahoma"/>
          <w:i/>
          <w:sz w:val="20"/>
          <w:szCs w:val="20"/>
          <w:u w:val="single"/>
          <w:lang w:eastAsia="es-MX"/>
        </w:rPr>
        <w:t xml:space="preserve"> </w:t>
      </w:r>
      <w:r w:rsidRPr="004E5515">
        <w:rPr>
          <w:rFonts w:ascii="Palatino Linotype" w:hAnsi="Palatino Linotype" w:cs="Tahoma"/>
          <w:i/>
          <w:sz w:val="20"/>
          <w:szCs w:val="20"/>
          <w:u w:val="single"/>
          <w:lang w:eastAsia="es-MX"/>
        </w:rPr>
        <w:t>de comparecer en el proceso.</w:t>
      </w:r>
    </w:p>
    <w:p w14:paraId="375136B1" w14:textId="77777777" w:rsidR="004E5515" w:rsidRPr="004E5515" w:rsidRDefault="004E5515" w:rsidP="004E5515">
      <w:pPr>
        <w:spacing w:after="0" w:line="360" w:lineRule="auto"/>
        <w:ind w:left="567" w:right="567"/>
        <w:jc w:val="both"/>
        <w:rPr>
          <w:rFonts w:ascii="Palatino Linotype" w:hAnsi="Palatino Linotype" w:cs="Tahoma"/>
          <w:b/>
          <w:i/>
          <w:sz w:val="20"/>
          <w:szCs w:val="20"/>
          <w:u w:val="single"/>
          <w:lang w:eastAsia="es-MX"/>
        </w:rPr>
      </w:pPr>
      <w:r w:rsidRPr="004E5515">
        <w:rPr>
          <w:rFonts w:ascii="Palatino Linotype" w:hAnsi="Palatino Linotype" w:cs="Tahoma"/>
          <w:b/>
          <w:i/>
          <w:sz w:val="20"/>
          <w:szCs w:val="20"/>
          <w:u w:val="single"/>
          <w:lang w:eastAsia="es-MX"/>
        </w:rPr>
        <w:t>7. Cuando el Órgano Garante no tenga certeza sobre el alcance</w:t>
      </w:r>
    </w:p>
    <w:p w14:paraId="1282A63B" w14:textId="097F57A0" w:rsidR="004E5515" w:rsidRDefault="004E5515" w:rsidP="004E5515">
      <w:pPr>
        <w:spacing w:after="0" w:line="360" w:lineRule="auto"/>
        <w:ind w:left="567" w:right="567"/>
        <w:jc w:val="both"/>
        <w:rPr>
          <w:rFonts w:ascii="Palatino Linotype" w:hAnsi="Palatino Linotype" w:cs="Tahoma"/>
          <w:b/>
          <w:sz w:val="20"/>
          <w:szCs w:val="20"/>
          <w:u w:val="single"/>
          <w:lang w:eastAsia="es-MX"/>
        </w:rPr>
      </w:pPr>
      <w:r w:rsidRPr="004E5515">
        <w:rPr>
          <w:rFonts w:ascii="Palatino Linotype" w:hAnsi="Palatino Linotype" w:cs="Tahoma"/>
          <w:b/>
          <w:i/>
          <w:sz w:val="20"/>
          <w:szCs w:val="20"/>
          <w:u w:val="single"/>
          <w:lang w:eastAsia="es-MX"/>
        </w:rPr>
        <w:t xml:space="preserve">y/o la naturaleza de una solicitud </w:t>
      </w:r>
      <w:r w:rsidRPr="004E5515">
        <w:rPr>
          <w:rFonts w:ascii="Palatino Linotype" w:hAnsi="Palatino Linotype" w:cs="Tahoma"/>
          <w:b/>
          <w:i/>
          <w:sz w:val="20"/>
          <w:szCs w:val="20"/>
          <w:u w:val="single"/>
          <w:lang w:eastAsia="es-MX"/>
        </w:rPr>
        <w:t xml:space="preserve">y/o apelación, deberá contactar </w:t>
      </w:r>
      <w:r w:rsidRPr="004E5515">
        <w:rPr>
          <w:rFonts w:ascii="Palatino Linotype" w:hAnsi="Palatino Linotype" w:cs="Tahoma"/>
          <w:b/>
          <w:i/>
          <w:sz w:val="20"/>
          <w:szCs w:val="20"/>
          <w:u w:val="single"/>
          <w:lang w:eastAsia="es-MX"/>
        </w:rPr>
        <w:t>al recurrente para que aclare lo que está solicitando y/o apelando.</w:t>
      </w:r>
    </w:p>
    <w:p w14:paraId="755146CD" w14:textId="26C34D43" w:rsidR="004E5515" w:rsidRPr="004E5515" w:rsidRDefault="004E5515" w:rsidP="004E5515">
      <w:pPr>
        <w:spacing w:after="0" w:line="360" w:lineRule="auto"/>
        <w:ind w:left="567" w:right="567"/>
        <w:jc w:val="both"/>
        <w:rPr>
          <w:rFonts w:ascii="Palatino Linotype" w:hAnsi="Palatino Linotype" w:cs="Tahoma"/>
          <w:b/>
          <w:sz w:val="20"/>
          <w:szCs w:val="20"/>
          <w:u w:val="single"/>
          <w:lang w:eastAsia="es-MX"/>
        </w:rPr>
      </w:pPr>
      <w:r>
        <w:rPr>
          <w:rFonts w:ascii="Palatino Linotype" w:hAnsi="Palatino Linotype" w:cs="Tahoma"/>
          <w:b/>
          <w:sz w:val="20"/>
          <w:szCs w:val="20"/>
          <w:u w:val="single"/>
          <w:lang w:eastAsia="es-MX"/>
        </w:rPr>
        <w:t xml:space="preserve">(Énfasis </w:t>
      </w:r>
      <w:r w:rsidR="0013417E">
        <w:rPr>
          <w:rFonts w:ascii="Palatino Linotype" w:hAnsi="Palatino Linotype" w:cs="Tahoma"/>
          <w:b/>
          <w:sz w:val="20"/>
          <w:szCs w:val="20"/>
          <w:u w:val="single"/>
          <w:lang w:eastAsia="es-MX"/>
        </w:rPr>
        <w:t>añadido</w:t>
      </w:r>
      <w:r>
        <w:rPr>
          <w:rFonts w:ascii="Palatino Linotype" w:hAnsi="Palatino Linotype" w:cs="Tahoma"/>
          <w:b/>
          <w:sz w:val="20"/>
          <w:szCs w:val="20"/>
          <w:u w:val="single"/>
          <w:lang w:eastAsia="es-MX"/>
        </w:rPr>
        <w:t>).</w:t>
      </w:r>
    </w:p>
    <w:p w14:paraId="2FFB44D2" w14:textId="77777777" w:rsidR="00252268" w:rsidRDefault="00252268" w:rsidP="00431C33">
      <w:pPr>
        <w:spacing w:after="0" w:line="360" w:lineRule="auto"/>
        <w:jc w:val="both"/>
        <w:rPr>
          <w:rFonts w:ascii="Palatino Linotype" w:hAnsi="Palatino Linotype" w:cs="Tahoma"/>
          <w:szCs w:val="24"/>
          <w:lang w:eastAsia="es-MX"/>
        </w:rPr>
      </w:pPr>
    </w:p>
    <w:p w14:paraId="23C89065" w14:textId="28DFD4FA" w:rsidR="00252268" w:rsidRDefault="00252268" w:rsidP="00431C33">
      <w:pPr>
        <w:spacing w:after="0" w:line="360" w:lineRule="auto"/>
        <w:jc w:val="both"/>
        <w:rPr>
          <w:rFonts w:ascii="Palatino Linotype" w:hAnsi="Palatino Linotype" w:cs="Tahoma"/>
          <w:szCs w:val="24"/>
          <w:lang w:eastAsia="es-MX"/>
        </w:rPr>
      </w:pPr>
      <w:r>
        <w:rPr>
          <w:rFonts w:ascii="Palatino Linotype" w:hAnsi="Palatino Linotype" w:cs="Tahoma"/>
          <w:szCs w:val="24"/>
          <w:lang w:eastAsia="es-MX"/>
        </w:rPr>
        <w:t>En este sentido, más allá de vers</w:t>
      </w:r>
      <w:bookmarkStart w:id="0" w:name="_GoBack"/>
      <w:bookmarkEnd w:id="0"/>
      <w:r>
        <w:rPr>
          <w:rFonts w:ascii="Palatino Linotype" w:hAnsi="Palatino Linotype" w:cs="Tahoma"/>
          <w:szCs w:val="24"/>
          <w:lang w:eastAsia="es-MX"/>
        </w:rPr>
        <w:t xml:space="preserve">e como un mero aspecto procesal, el análisis de fondo habría permitido aclarar que en los archivos de la Secretaría de Educación no obra un oficio que autorice al Jardín de niños a realizar un cierre total de la calle donde se encuentra localizado, ni siquiera de manera temporal, lo que de fondo, atiende la inquietud del particular, </w:t>
      </w:r>
      <w:r w:rsidR="00431C33">
        <w:rPr>
          <w:rFonts w:ascii="Palatino Linotype" w:hAnsi="Palatino Linotype" w:cs="Tahoma"/>
          <w:szCs w:val="24"/>
          <w:lang w:eastAsia="es-MX"/>
        </w:rPr>
        <w:t>e incluso se pudo haber orientado a dirigir una solicitud hacia el Ayuntamiento de Tultitlán a efecto de verificar si este ha emitido o no dicha autorización.</w:t>
      </w:r>
    </w:p>
    <w:p w14:paraId="2DFA4E97" w14:textId="77777777" w:rsidR="00431C33" w:rsidRDefault="00431C33" w:rsidP="00431C33">
      <w:pPr>
        <w:spacing w:after="0" w:line="360" w:lineRule="auto"/>
        <w:jc w:val="both"/>
        <w:rPr>
          <w:rFonts w:ascii="Palatino Linotype" w:hAnsi="Palatino Linotype" w:cs="Tahoma"/>
        </w:rPr>
      </w:pPr>
    </w:p>
    <w:p w14:paraId="612AAFA4" w14:textId="79F8EA10" w:rsidR="00737BC9" w:rsidRPr="00431C33" w:rsidRDefault="00431C33" w:rsidP="00431C33">
      <w:pPr>
        <w:spacing w:after="0" w:line="360" w:lineRule="auto"/>
        <w:jc w:val="both"/>
        <w:rPr>
          <w:rFonts w:ascii="Palatino Linotype" w:hAnsi="Palatino Linotype" w:cs="Tahoma"/>
        </w:rPr>
      </w:pPr>
      <w:r>
        <w:rPr>
          <w:rFonts w:ascii="Palatino Linotype" w:hAnsi="Palatino Linotype" w:cs="Tahoma"/>
        </w:rPr>
        <w:t xml:space="preserve">Es en ese tenor, </w:t>
      </w:r>
      <w:r w:rsidR="00197DA5">
        <w:rPr>
          <w:rFonts w:ascii="Palatino Linotype" w:hAnsi="Palatino Linotype" w:cs="Tahoma"/>
        </w:rPr>
        <w:t xml:space="preserve">considero que en el presente asunto, previo estudio y análisis, </w:t>
      </w:r>
      <w:r>
        <w:rPr>
          <w:rFonts w:ascii="Palatino Linotype" w:hAnsi="Palatino Linotype" w:cs="Tahoma"/>
        </w:rPr>
        <w:t>debió confirmar la respuesta, ya que el Sujeto Obligado entregó el documento que obra en sus archivos</w:t>
      </w:r>
      <w:r w:rsidR="007D1B0E">
        <w:rPr>
          <w:rFonts w:ascii="Palatino Linotype" w:eastAsia="Times New Roman" w:hAnsi="Palatino Linotype" w:cs="Times New Roman"/>
          <w:iCs/>
          <w:szCs w:val="20"/>
          <w:lang w:eastAsia="es-ES"/>
        </w:rPr>
        <w:t xml:space="preserve">, toda vez que </w:t>
      </w:r>
      <w:r w:rsidR="00737BC9" w:rsidRPr="00737BC9">
        <w:rPr>
          <w:rFonts w:ascii="Palatino Linotype" w:eastAsia="Times New Roman" w:hAnsi="Palatino Linotype" w:cs="Times New Roman"/>
          <w:iCs/>
          <w:szCs w:val="20"/>
          <w:lang w:eastAsia="es-ES"/>
        </w:rPr>
        <w:t xml:space="preserve"> </w:t>
      </w:r>
      <w:r w:rsidR="00737BC9" w:rsidRPr="00737BC9">
        <w:rPr>
          <w:rFonts w:ascii="Palatino Linotype" w:eastAsia="Calibri" w:hAnsi="Palatino Linotype" w:cs="Tahoma"/>
          <w:bCs/>
          <w:lang w:val="es-MX"/>
        </w:rPr>
        <w:t>el</w:t>
      </w:r>
      <w:r w:rsidR="00737BC9" w:rsidRPr="00737BC9">
        <w:rPr>
          <w:rFonts w:ascii="Palatino Linotype" w:eastAsia="Times New Roman" w:hAnsi="Palatino Linotype" w:cs="Tahoma"/>
          <w:lang w:val="es-MX" w:eastAsia="es-ES"/>
        </w:rPr>
        <w:t xml:space="preserve"> artículo 12 de la Ley de Transparencia y Acceso a la Información Pública del Estado de México y Municipios, que establece que </w:t>
      </w:r>
      <w:r w:rsidR="00737BC9" w:rsidRPr="00737BC9">
        <w:rPr>
          <w:rFonts w:ascii="Palatino Linotype" w:eastAsia="Times New Roman" w:hAnsi="Palatino Linotype" w:cs="Tahoma"/>
          <w:u w:val="single"/>
          <w:lang w:val="es-MX" w:eastAsia="es-ES"/>
        </w:rPr>
        <w:t xml:space="preserve">los sujetos obligados sólo están constreñidos a proporcionar la información pública que obre en sus archivos, en el estado en que esta se encuentre; por lo que, </w:t>
      </w:r>
      <w:r w:rsidR="00737BC9" w:rsidRPr="00737BC9">
        <w:rPr>
          <w:rFonts w:ascii="Palatino Linotype" w:eastAsia="Times New Roman" w:hAnsi="Palatino Linotype" w:cs="Tahoma"/>
          <w:b/>
          <w:u w:val="single"/>
          <w:lang w:val="es-MX" w:eastAsia="es-ES"/>
        </w:rPr>
        <w:t>la entrega no comprende el procesamiento de la misma, ni presentarla conforme al interés del Solicitante.</w:t>
      </w:r>
    </w:p>
    <w:p w14:paraId="3DA1073C" w14:textId="77777777" w:rsidR="00737BC9" w:rsidRPr="00737BC9" w:rsidRDefault="00737BC9" w:rsidP="00431C33">
      <w:pPr>
        <w:spacing w:after="0" w:line="360" w:lineRule="auto"/>
        <w:jc w:val="both"/>
        <w:rPr>
          <w:rFonts w:ascii="Palatino Linotype" w:eastAsia="Times New Roman" w:hAnsi="Palatino Linotype" w:cs="Tahoma"/>
          <w:bCs/>
          <w:iCs/>
          <w:lang w:val="es-ES_tradnl" w:eastAsia="es-ES"/>
        </w:rPr>
      </w:pPr>
    </w:p>
    <w:p w14:paraId="659F6EC6" w14:textId="77777777" w:rsidR="00737BC9" w:rsidRDefault="00737BC9" w:rsidP="00431C33">
      <w:pPr>
        <w:tabs>
          <w:tab w:val="left" w:pos="4962"/>
        </w:tabs>
        <w:spacing w:after="0" w:line="360" w:lineRule="auto"/>
        <w:jc w:val="both"/>
        <w:rPr>
          <w:rFonts w:ascii="Palatino Linotype" w:eastAsia="Times New Roman" w:hAnsi="Palatino Linotype" w:cs="Tahoma"/>
          <w:lang w:val="es-MX" w:eastAsia="es-ES"/>
        </w:rPr>
      </w:pPr>
      <w:r w:rsidRPr="00737BC9">
        <w:rPr>
          <w:rFonts w:ascii="Palatino Linotype" w:eastAsia="Times New Roman" w:hAnsi="Palatino Linotype" w:cs="Tahoma"/>
          <w:lang w:val="es-MX" w:eastAsia="es-ES"/>
        </w:rPr>
        <w:t xml:space="preserve">De esta manera, </w:t>
      </w:r>
      <w:r w:rsidRPr="00737BC9">
        <w:rPr>
          <w:rFonts w:ascii="Palatino Linotype" w:eastAsia="Times New Roman" w:hAnsi="Palatino Linotype" w:cs="Tahoma"/>
          <w:szCs w:val="24"/>
          <w:lang w:eastAsia="es-ES"/>
        </w:rPr>
        <w:t xml:space="preserve">el derecho de acceso a la información pública se satisface en aquellos casos en que se entregue el soporte documental en el que conste la información solicitada, sin necesidad de elaborar documentos </w:t>
      </w:r>
      <w:r w:rsidRPr="00737BC9">
        <w:rPr>
          <w:rFonts w:ascii="Palatino Linotype" w:eastAsia="Times New Roman" w:hAnsi="Palatino Linotype" w:cs="Tahoma"/>
          <w:i/>
          <w:lang w:val="es-MX" w:eastAsia="es-ES"/>
        </w:rPr>
        <w:t>ad hoc</w:t>
      </w:r>
      <w:r w:rsidRPr="00737BC9">
        <w:rPr>
          <w:rFonts w:ascii="Palatino Linotype" w:eastAsia="Times New Roman" w:hAnsi="Palatino Linotype" w:cs="Tahoma"/>
          <w:lang w:val="es-MX" w:eastAsia="es-ES"/>
        </w:rPr>
        <w:t xml:space="preserve">; lo cual, de conformidad con en el artículo 160 de la Ley de Transparencia y Acceso a la Información Pública del Estado de México y </w:t>
      </w:r>
      <w:r w:rsidRPr="00737BC9">
        <w:rPr>
          <w:rFonts w:ascii="Palatino Linotype" w:eastAsia="Times New Roman" w:hAnsi="Palatino Linotype" w:cs="Tahoma"/>
          <w:lang w:val="es-MX" w:eastAsia="es-ES"/>
        </w:rPr>
        <w:lastRenderedPageBreak/>
        <w:t xml:space="preserve">Municipios, el cual refiere que los sujetos obligados deberán entregar la información que obre en sus archivos. </w:t>
      </w:r>
    </w:p>
    <w:p w14:paraId="24FF24D7" w14:textId="77777777" w:rsidR="00BD6AEE" w:rsidRPr="00737BC9" w:rsidRDefault="00BD6AEE" w:rsidP="00431C33">
      <w:pPr>
        <w:tabs>
          <w:tab w:val="left" w:pos="4962"/>
        </w:tabs>
        <w:spacing w:after="0" w:line="360" w:lineRule="auto"/>
        <w:jc w:val="both"/>
        <w:rPr>
          <w:rFonts w:ascii="Palatino Linotype" w:eastAsia="Times New Roman" w:hAnsi="Palatino Linotype" w:cs="Tahoma"/>
          <w:lang w:val="es-MX" w:eastAsia="es-ES"/>
        </w:rPr>
      </w:pPr>
    </w:p>
    <w:p w14:paraId="5D386252" w14:textId="1274AB17" w:rsidR="00431C33" w:rsidRDefault="00BD6AEE" w:rsidP="00431C33">
      <w:pPr>
        <w:spacing w:after="0" w:line="360" w:lineRule="auto"/>
        <w:jc w:val="both"/>
        <w:rPr>
          <w:rFonts w:ascii="Palatino Linotype" w:hAnsi="Palatino Linotype" w:cs="Tahoma"/>
        </w:rPr>
      </w:pPr>
      <w:r w:rsidRPr="00BD6AEE">
        <w:rPr>
          <w:rFonts w:ascii="Palatino Linotype" w:eastAsia="Calibri" w:hAnsi="Palatino Linotype" w:cs="Times New Roman"/>
        </w:rPr>
        <w:t xml:space="preserve">Con base en lo expuesto, </w:t>
      </w:r>
      <w:r w:rsidR="00197DA5">
        <w:rPr>
          <w:rFonts w:ascii="Palatino Linotype" w:eastAsia="Calibri" w:hAnsi="Palatino Linotype" w:cs="Times New Roman"/>
        </w:rPr>
        <w:t>considero que la adecuada tutela del derecho de acceso a la información del Particular implicaba un estudio de fondo, donde se analizara la información proporcionada</w:t>
      </w:r>
      <w:r w:rsidR="007D1B0E">
        <w:rPr>
          <w:rFonts w:ascii="Palatino Linotype" w:eastAsia="Calibri" w:hAnsi="Palatino Linotype" w:cs="Times New Roman"/>
        </w:rPr>
        <w:t xml:space="preserve">, las manifestaciones vertidas en la interposición del recurso y su procedencia, </w:t>
      </w:r>
      <w:r w:rsidR="00197DA5">
        <w:rPr>
          <w:rFonts w:ascii="Palatino Linotype" w:eastAsia="Calibri" w:hAnsi="Palatino Linotype" w:cs="Times New Roman"/>
        </w:rPr>
        <w:t xml:space="preserve"> así como las atribuciones </w:t>
      </w:r>
      <w:r w:rsidR="007D1B0E">
        <w:rPr>
          <w:rFonts w:ascii="Palatino Linotype" w:eastAsia="Calibri" w:hAnsi="Palatino Linotype" w:cs="Times New Roman"/>
        </w:rPr>
        <w:t xml:space="preserve">del Sujeto Obligado requerido, </w:t>
      </w:r>
      <w:r w:rsidR="00197DA5">
        <w:rPr>
          <w:rFonts w:ascii="Palatino Linotype" w:eastAsia="Calibri" w:hAnsi="Palatino Linotype" w:cs="Times New Roman"/>
        </w:rPr>
        <w:t>relacionadas con el tema, por parte de la Secretaría de Educación</w:t>
      </w:r>
      <w:r w:rsidR="00431C33">
        <w:rPr>
          <w:rFonts w:ascii="Palatino Linotype" w:eastAsia="Calibri" w:hAnsi="Palatino Linotype" w:cs="Times New Roman"/>
        </w:rPr>
        <w:t>, lo que en este caso, habría permitido al Recurrente tener por atendido su requerimiento informativo.</w:t>
      </w:r>
    </w:p>
    <w:p w14:paraId="1E009C32" w14:textId="77777777" w:rsidR="00431C33" w:rsidRDefault="00431C33" w:rsidP="00431C33">
      <w:pPr>
        <w:spacing w:after="0" w:line="360" w:lineRule="auto"/>
        <w:jc w:val="both"/>
        <w:rPr>
          <w:rFonts w:ascii="Palatino Linotype" w:hAnsi="Palatino Linotype" w:cs="Tahoma"/>
        </w:rPr>
      </w:pPr>
    </w:p>
    <w:p w14:paraId="3EB96BC1" w14:textId="1F11EA51" w:rsidR="002F4CEB" w:rsidRPr="00666305" w:rsidRDefault="00666305" w:rsidP="00431C33">
      <w:pPr>
        <w:spacing w:after="0" w:line="360" w:lineRule="auto"/>
        <w:jc w:val="both"/>
        <w:rPr>
          <w:rFonts w:ascii="Palatino Linotype" w:eastAsia="Calibri" w:hAnsi="Palatino Linotype" w:cs="Times New Roman"/>
        </w:rPr>
      </w:pPr>
      <w:r w:rsidRPr="00DF675F">
        <w:rPr>
          <w:rFonts w:ascii="Palatino Linotype" w:hAnsi="Palatino Linotype" w:cs="Tahoma"/>
        </w:rPr>
        <w:t>Así</w:t>
      </w:r>
      <w:r w:rsidR="002F4CEB" w:rsidRPr="00DF675F">
        <w:rPr>
          <w:rFonts w:ascii="Palatino Linotype" w:hAnsi="Palatino Linotype" w:cs="Tahoma"/>
        </w:rPr>
        <w:t xml:space="preserve">, con base en los razonamientos expuestos, se emite el Presente </w:t>
      </w:r>
      <w:r w:rsidR="002F4CEB" w:rsidRPr="00FD7C7A">
        <w:rPr>
          <w:rFonts w:ascii="Palatino Linotype" w:hAnsi="Palatino Linotype" w:cs="Tahoma"/>
          <w:b/>
          <w:bCs/>
        </w:rPr>
        <w:t xml:space="preserve">Voto </w:t>
      </w:r>
      <w:r w:rsidR="00A43E77">
        <w:rPr>
          <w:rFonts w:ascii="Palatino Linotype" w:hAnsi="Palatino Linotype" w:cs="Tahoma"/>
          <w:b/>
          <w:bCs/>
        </w:rPr>
        <w:t>Disidente</w:t>
      </w:r>
      <w:r w:rsidR="002F4CEB" w:rsidRPr="00FD7C7A">
        <w:rPr>
          <w:rFonts w:ascii="Palatino Linotype" w:hAnsi="Palatino Linotype" w:cs="Tahoma"/>
          <w:b/>
          <w:bCs/>
        </w:rPr>
        <w:t>.</w:t>
      </w:r>
      <w:r w:rsidR="002F4CEB" w:rsidRPr="001514DB">
        <w:rPr>
          <w:rFonts w:ascii="Palatino Linotype" w:eastAsia="Calibri" w:hAnsi="Palatino Linotype" w:cs="Times New Roman"/>
          <w:lang w:val="es-MX"/>
        </w:rPr>
        <w:t xml:space="preserve"> </w:t>
      </w:r>
      <w:r w:rsidR="002F4CEB" w:rsidRPr="001514DB">
        <w:rPr>
          <w:rFonts w:ascii="Palatino Linotype" w:hAnsi="Palatino Linotype" w:cs="Tahoma"/>
          <w:lang w:val="es-MX"/>
        </w:rPr>
        <w:t>------------------------------------------------------------------------------------------------------------------------------</w:t>
      </w:r>
      <w:r w:rsidR="002F4CEB">
        <w:rPr>
          <w:rFonts w:ascii="Palatino Linotype" w:hAnsi="Palatino Linotype" w:cs="Tahoma"/>
          <w:lang w:val="es-MX"/>
        </w:rPr>
        <w:t>----</w:t>
      </w:r>
      <w:r>
        <w:rPr>
          <w:rFonts w:ascii="Palatino Linotype" w:hAnsi="Palatino Linotype" w:cs="Tahoma"/>
          <w:lang w:val="es-MX"/>
        </w:rPr>
        <w:t>-----------------------------------------------------------------------------------------------------------------------------</w:t>
      </w:r>
      <w:r w:rsidR="007B5958">
        <w:rPr>
          <w:rFonts w:ascii="Palatino Linotype" w:hAnsi="Palatino Linotype" w:cs="Tahoma"/>
          <w:lang w:val="es-MX"/>
        </w:rPr>
        <w:t>---------------------------------------------------------------</w:t>
      </w:r>
      <w:r w:rsidR="004E5515">
        <w:rPr>
          <w:rFonts w:ascii="Palatino Linotype" w:hAnsi="Palatino Linotype" w:cs="Tahoma"/>
          <w:lang w:val="es-MX"/>
        </w:rPr>
        <w:t>-------------------------</w:t>
      </w:r>
      <w:r w:rsidR="007B5958">
        <w:rPr>
          <w:rFonts w:ascii="Palatino Linotype" w:hAnsi="Palatino Linotype" w:cs="Tahoma"/>
          <w:lang w:val="es-MX"/>
        </w:rPr>
        <w:t>-----</w:t>
      </w:r>
      <w:r>
        <w:rPr>
          <w:rFonts w:ascii="Palatino Linotype" w:hAnsi="Palatino Linotype" w:cs="Tahoma"/>
          <w:lang w:val="es-MX"/>
        </w:rPr>
        <w:t>---------------------</w:t>
      </w:r>
    </w:p>
    <w:p w14:paraId="6A67949E" w14:textId="77777777" w:rsidR="002F4CEB" w:rsidRDefault="002F4CEB" w:rsidP="00431C33">
      <w:pPr>
        <w:spacing w:after="0" w:line="360" w:lineRule="auto"/>
        <w:jc w:val="both"/>
        <w:rPr>
          <w:rFonts w:ascii="Palatino Linotype" w:hAnsi="Palatino Linotype" w:cs="Tahoma"/>
        </w:rPr>
      </w:pPr>
    </w:p>
    <w:p w14:paraId="22BD5282" w14:textId="77777777" w:rsidR="002F4CEB" w:rsidRDefault="002F4CEB" w:rsidP="00431C33">
      <w:pPr>
        <w:spacing w:after="0" w:line="360" w:lineRule="auto"/>
        <w:jc w:val="both"/>
        <w:rPr>
          <w:rFonts w:ascii="Palatino Linotype" w:hAnsi="Palatino Linotype" w:cs="Tahoma"/>
        </w:rPr>
      </w:pPr>
    </w:p>
    <w:p w14:paraId="54130849" w14:textId="77777777" w:rsidR="002F4CEB" w:rsidRDefault="002F4CEB" w:rsidP="00431C33">
      <w:pPr>
        <w:spacing w:after="0" w:line="360" w:lineRule="auto"/>
        <w:jc w:val="both"/>
        <w:rPr>
          <w:rFonts w:ascii="Palatino Linotype" w:hAnsi="Palatino Linotype" w:cs="Tahoma"/>
        </w:rPr>
      </w:pPr>
    </w:p>
    <w:p w14:paraId="7931C829" w14:textId="77777777" w:rsidR="002F4CEB" w:rsidRDefault="002F4CEB" w:rsidP="00431C33">
      <w:pPr>
        <w:spacing w:after="0" w:line="360" w:lineRule="auto"/>
        <w:jc w:val="both"/>
        <w:rPr>
          <w:rFonts w:ascii="Palatino Linotype" w:hAnsi="Palatino Linotype" w:cs="Tahoma"/>
        </w:rPr>
      </w:pPr>
    </w:p>
    <w:p w14:paraId="05D8BF77" w14:textId="77777777" w:rsidR="002F4CEB" w:rsidRDefault="002F4CEB" w:rsidP="00431C33">
      <w:pPr>
        <w:spacing w:after="0" w:line="360" w:lineRule="auto"/>
        <w:jc w:val="both"/>
        <w:rPr>
          <w:rFonts w:ascii="Palatino Linotype" w:hAnsi="Palatino Linotype" w:cs="Tahoma"/>
        </w:rPr>
      </w:pPr>
    </w:p>
    <w:p w14:paraId="6735E15D" w14:textId="77777777" w:rsidR="002F4CEB" w:rsidRDefault="002F4CEB" w:rsidP="00431C33">
      <w:pPr>
        <w:spacing w:after="0" w:line="360" w:lineRule="auto"/>
        <w:jc w:val="both"/>
        <w:rPr>
          <w:rFonts w:ascii="Palatino Linotype" w:hAnsi="Palatino Linotype" w:cs="Tahoma"/>
        </w:rPr>
      </w:pPr>
    </w:p>
    <w:p w14:paraId="1913A247" w14:textId="77777777" w:rsidR="002F4CEB" w:rsidRDefault="002F4CEB" w:rsidP="00431C33">
      <w:pPr>
        <w:spacing w:after="0" w:line="360" w:lineRule="auto"/>
        <w:jc w:val="both"/>
        <w:rPr>
          <w:rFonts w:ascii="Palatino Linotype" w:hAnsi="Palatino Linotype" w:cs="Tahoma"/>
        </w:rPr>
      </w:pPr>
    </w:p>
    <w:p w14:paraId="21452A14" w14:textId="77777777" w:rsidR="00F34C61" w:rsidRDefault="00F34C61" w:rsidP="00431C33">
      <w:pPr>
        <w:spacing w:after="0" w:line="360" w:lineRule="auto"/>
        <w:jc w:val="both"/>
        <w:rPr>
          <w:rFonts w:ascii="Palatino Linotype" w:hAnsi="Palatino Linotype" w:cs="Tahoma"/>
        </w:rPr>
      </w:pPr>
    </w:p>
    <w:p w14:paraId="756C0227" w14:textId="77777777" w:rsidR="00F34C61" w:rsidRDefault="00F34C61" w:rsidP="00431C33">
      <w:pPr>
        <w:spacing w:after="0" w:line="360" w:lineRule="auto"/>
        <w:jc w:val="both"/>
        <w:rPr>
          <w:rFonts w:ascii="Palatino Linotype" w:hAnsi="Palatino Linotype" w:cs="Tahoma"/>
        </w:rPr>
      </w:pPr>
    </w:p>
    <w:p w14:paraId="4B9B778C" w14:textId="77777777" w:rsidR="00F34C61" w:rsidRDefault="00F34C61" w:rsidP="00431C33">
      <w:pPr>
        <w:spacing w:after="0" w:line="360" w:lineRule="auto"/>
        <w:jc w:val="both"/>
        <w:rPr>
          <w:rFonts w:ascii="Palatino Linotype" w:hAnsi="Palatino Linotype" w:cs="Tahoma"/>
        </w:rPr>
      </w:pPr>
    </w:p>
    <w:p w14:paraId="2646068F" w14:textId="77777777" w:rsidR="00F34C61" w:rsidRDefault="00F34C61" w:rsidP="00431C33">
      <w:pPr>
        <w:spacing w:after="0" w:line="360" w:lineRule="auto"/>
        <w:jc w:val="both"/>
        <w:rPr>
          <w:rFonts w:ascii="Palatino Linotype" w:hAnsi="Palatino Linotype" w:cs="Tahoma"/>
        </w:rPr>
      </w:pPr>
    </w:p>
    <w:p w14:paraId="6776677A" w14:textId="77777777" w:rsidR="00F34C61" w:rsidRDefault="00F34C61" w:rsidP="00431C33">
      <w:pPr>
        <w:spacing w:after="0" w:line="360" w:lineRule="auto"/>
        <w:jc w:val="both"/>
        <w:rPr>
          <w:rFonts w:ascii="Palatino Linotype" w:hAnsi="Palatino Linotype" w:cs="Tahoma"/>
        </w:rPr>
      </w:pPr>
    </w:p>
    <w:p w14:paraId="446C90C2" w14:textId="77777777" w:rsidR="00F34C61" w:rsidRDefault="00F34C61" w:rsidP="00431C33">
      <w:pPr>
        <w:spacing w:after="0" w:line="360" w:lineRule="auto"/>
        <w:jc w:val="both"/>
        <w:rPr>
          <w:rFonts w:ascii="Palatino Linotype" w:hAnsi="Palatino Linotype" w:cs="Tahoma"/>
        </w:rPr>
      </w:pPr>
    </w:p>
    <w:p w14:paraId="13FA295D" w14:textId="77777777" w:rsidR="00F34C61" w:rsidRDefault="00F34C61" w:rsidP="00431C33">
      <w:pPr>
        <w:spacing w:after="0" w:line="360" w:lineRule="auto"/>
        <w:jc w:val="both"/>
        <w:rPr>
          <w:rFonts w:ascii="Palatino Linotype" w:hAnsi="Palatino Linotype" w:cs="Tahoma"/>
        </w:rPr>
      </w:pPr>
    </w:p>
    <w:p w14:paraId="7F1181D0" w14:textId="77777777" w:rsidR="00F34C61" w:rsidRDefault="00F34C61" w:rsidP="00431C33">
      <w:pPr>
        <w:spacing w:after="0" w:line="360" w:lineRule="auto"/>
        <w:jc w:val="both"/>
        <w:rPr>
          <w:rFonts w:ascii="Palatino Linotype" w:hAnsi="Palatino Linotype" w:cs="Tahoma"/>
        </w:rPr>
      </w:pPr>
    </w:p>
    <w:p w14:paraId="5DAE0F22" w14:textId="77777777" w:rsidR="00F34C61" w:rsidRDefault="00F34C61" w:rsidP="00431C33">
      <w:pPr>
        <w:spacing w:after="0" w:line="360" w:lineRule="auto"/>
        <w:jc w:val="both"/>
        <w:rPr>
          <w:rFonts w:ascii="Palatino Linotype" w:hAnsi="Palatino Linotype" w:cs="Tahoma"/>
        </w:rPr>
      </w:pPr>
    </w:p>
    <w:p w14:paraId="79876DE1" w14:textId="77777777" w:rsidR="00F34C61" w:rsidRDefault="00F34C61" w:rsidP="00431C33">
      <w:pPr>
        <w:spacing w:after="0" w:line="360" w:lineRule="auto"/>
        <w:jc w:val="both"/>
        <w:rPr>
          <w:rFonts w:ascii="Palatino Linotype" w:hAnsi="Palatino Linotype" w:cs="Tahoma"/>
        </w:rPr>
      </w:pPr>
    </w:p>
    <w:p w14:paraId="5B8F4B78" w14:textId="77777777" w:rsidR="00F34C61" w:rsidRDefault="00F34C61" w:rsidP="00431C33">
      <w:pPr>
        <w:spacing w:after="0" w:line="360" w:lineRule="auto"/>
        <w:jc w:val="both"/>
        <w:rPr>
          <w:rFonts w:ascii="Palatino Linotype" w:hAnsi="Palatino Linotype" w:cs="Tahoma"/>
        </w:rPr>
      </w:pPr>
    </w:p>
    <w:p w14:paraId="234F28D1" w14:textId="77777777" w:rsidR="00F34C61" w:rsidRDefault="00F34C61" w:rsidP="00431C33">
      <w:pPr>
        <w:spacing w:after="0" w:line="360" w:lineRule="auto"/>
        <w:jc w:val="both"/>
        <w:rPr>
          <w:rFonts w:ascii="Palatino Linotype" w:hAnsi="Palatino Linotype" w:cs="Tahoma"/>
        </w:rPr>
      </w:pPr>
    </w:p>
    <w:p w14:paraId="2EDD94D2" w14:textId="77777777" w:rsidR="00F34C61" w:rsidRDefault="00F34C61" w:rsidP="00431C33">
      <w:pPr>
        <w:spacing w:after="0" w:line="360" w:lineRule="auto"/>
        <w:jc w:val="both"/>
        <w:rPr>
          <w:rFonts w:ascii="Palatino Linotype" w:hAnsi="Palatino Linotype" w:cs="Tahoma"/>
        </w:rPr>
      </w:pPr>
    </w:p>
    <w:p w14:paraId="05A30D4A" w14:textId="77777777" w:rsidR="00F34C61" w:rsidRDefault="00F34C61" w:rsidP="00431C33">
      <w:pPr>
        <w:spacing w:after="0" w:line="360" w:lineRule="auto"/>
        <w:jc w:val="both"/>
        <w:rPr>
          <w:rFonts w:ascii="Palatino Linotype" w:hAnsi="Palatino Linotype" w:cs="Tahoma"/>
        </w:rPr>
      </w:pPr>
    </w:p>
    <w:p w14:paraId="5B4190EB" w14:textId="77777777" w:rsidR="00F34C61" w:rsidRDefault="00F34C61" w:rsidP="00431C33">
      <w:pPr>
        <w:spacing w:after="0" w:line="360" w:lineRule="auto"/>
        <w:jc w:val="both"/>
        <w:rPr>
          <w:rFonts w:ascii="Palatino Linotype" w:hAnsi="Palatino Linotype" w:cs="Tahoma"/>
        </w:rPr>
      </w:pPr>
    </w:p>
    <w:p w14:paraId="7D617AAF" w14:textId="77777777" w:rsidR="00F34C61" w:rsidRDefault="00F34C61" w:rsidP="00431C33">
      <w:pPr>
        <w:spacing w:after="0" w:line="360" w:lineRule="auto"/>
        <w:jc w:val="both"/>
        <w:rPr>
          <w:rFonts w:ascii="Palatino Linotype" w:hAnsi="Palatino Linotype" w:cs="Tahoma"/>
        </w:rPr>
      </w:pPr>
    </w:p>
    <w:p w14:paraId="1FAC7A52" w14:textId="77777777" w:rsidR="00F34C61" w:rsidRDefault="00F34C61" w:rsidP="00431C33">
      <w:pPr>
        <w:spacing w:after="0" w:line="360" w:lineRule="auto"/>
        <w:jc w:val="both"/>
        <w:rPr>
          <w:rFonts w:ascii="Palatino Linotype" w:hAnsi="Palatino Linotype" w:cs="Tahoma"/>
        </w:rPr>
      </w:pPr>
    </w:p>
    <w:p w14:paraId="36DD6140" w14:textId="77777777" w:rsidR="00F34C61" w:rsidRDefault="00F34C61" w:rsidP="00431C33">
      <w:pPr>
        <w:spacing w:after="0" w:line="360" w:lineRule="auto"/>
        <w:jc w:val="both"/>
        <w:rPr>
          <w:rFonts w:ascii="Palatino Linotype" w:hAnsi="Palatino Linotype" w:cs="Tahoma"/>
        </w:rPr>
      </w:pPr>
    </w:p>
    <w:p w14:paraId="65E89656" w14:textId="77777777" w:rsidR="00F34C61" w:rsidRDefault="00F34C61" w:rsidP="00431C33">
      <w:pPr>
        <w:spacing w:after="0" w:line="360" w:lineRule="auto"/>
        <w:jc w:val="both"/>
        <w:rPr>
          <w:rFonts w:ascii="Palatino Linotype" w:hAnsi="Palatino Linotype" w:cs="Tahoma"/>
        </w:rPr>
      </w:pPr>
    </w:p>
    <w:p w14:paraId="26DC4307" w14:textId="77777777" w:rsidR="00F34C61" w:rsidRDefault="00F34C61" w:rsidP="00431C33">
      <w:pPr>
        <w:spacing w:after="0" w:line="360" w:lineRule="auto"/>
        <w:jc w:val="both"/>
        <w:rPr>
          <w:rFonts w:ascii="Palatino Linotype" w:hAnsi="Palatino Linotype" w:cs="Tahoma"/>
        </w:rPr>
      </w:pPr>
    </w:p>
    <w:p w14:paraId="6B041897" w14:textId="77777777" w:rsidR="00F84B95" w:rsidRDefault="00F84B95" w:rsidP="00431C33">
      <w:pPr>
        <w:spacing w:after="0" w:line="360" w:lineRule="auto"/>
        <w:jc w:val="both"/>
      </w:pPr>
    </w:p>
    <w:sectPr w:rsidR="00F84B95" w:rsidSect="00666305">
      <w:headerReference w:type="even" r:id="rId8"/>
      <w:headerReference w:type="default" r:id="rId9"/>
      <w:footerReference w:type="default" r:id="rId10"/>
      <w:headerReference w:type="first" r:id="rId11"/>
      <w:pgSz w:w="12240" w:h="15840" w:code="1"/>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304C1D" w14:textId="77777777" w:rsidR="006854D3" w:rsidRDefault="006854D3" w:rsidP="00A80C30">
      <w:pPr>
        <w:spacing w:after="0" w:line="240" w:lineRule="auto"/>
      </w:pPr>
      <w:r>
        <w:separator/>
      </w:r>
    </w:p>
  </w:endnote>
  <w:endnote w:type="continuationSeparator" w:id="0">
    <w:p w14:paraId="41635850" w14:textId="77777777" w:rsidR="006854D3" w:rsidRDefault="006854D3" w:rsidP="00A80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4792261"/>
      <w:docPartObj>
        <w:docPartGallery w:val="Page Numbers (Bottom of Page)"/>
        <w:docPartUnique/>
      </w:docPartObj>
    </w:sdtPr>
    <w:sdtEndPr/>
    <w:sdtContent>
      <w:sdt>
        <w:sdtPr>
          <w:id w:val="1728636285"/>
          <w:docPartObj>
            <w:docPartGallery w:val="Page Numbers (Top of Page)"/>
            <w:docPartUnique/>
          </w:docPartObj>
        </w:sdtPr>
        <w:sdtEndPr/>
        <w:sdtContent>
          <w:p w14:paraId="40B2EA0D" w14:textId="77777777" w:rsidR="00AC333A" w:rsidRDefault="001F75E5">
            <w:pPr>
              <w:pStyle w:val="Piedepgina"/>
              <w:jc w:val="center"/>
            </w:pPr>
            <w:r>
              <w:t xml:space="preserve">Página </w:t>
            </w:r>
            <w:r>
              <w:rPr>
                <w:b/>
                <w:bCs/>
                <w:sz w:val="24"/>
                <w:szCs w:val="24"/>
              </w:rPr>
              <w:fldChar w:fldCharType="begin"/>
            </w:r>
            <w:r>
              <w:rPr>
                <w:b/>
                <w:bCs/>
              </w:rPr>
              <w:instrText>PAGE</w:instrText>
            </w:r>
            <w:r>
              <w:rPr>
                <w:b/>
                <w:bCs/>
                <w:sz w:val="24"/>
                <w:szCs w:val="24"/>
              </w:rPr>
              <w:fldChar w:fldCharType="separate"/>
            </w:r>
            <w:r w:rsidR="0013417E">
              <w:rPr>
                <w:b/>
                <w:bCs/>
                <w:noProof/>
              </w:rPr>
              <w:t>7</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13417E">
              <w:rPr>
                <w:b/>
                <w:bCs/>
                <w:noProof/>
              </w:rPr>
              <w:t>7</w:t>
            </w:r>
            <w:r>
              <w:rPr>
                <w:b/>
                <w:bCs/>
                <w:sz w:val="24"/>
                <w:szCs w:val="24"/>
              </w:rPr>
              <w:fldChar w:fldCharType="end"/>
            </w:r>
          </w:p>
        </w:sdtContent>
      </w:sdt>
    </w:sdtContent>
  </w:sdt>
  <w:p w14:paraId="2AC9CFE9" w14:textId="77777777" w:rsidR="00AC333A" w:rsidRDefault="006854D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D9461D" w14:textId="77777777" w:rsidR="006854D3" w:rsidRDefault="006854D3" w:rsidP="00A80C30">
      <w:pPr>
        <w:spacing w:after="0" w:line="240" w:lineRule="auto"/>
      </w:pPr>
      <w:r>
        <w:separator/>
      </w:r>
    </w:p>
  </w:footnote>
  <w:footnote w:type="continuationSeparator" w:id="0">
    <w:p w14:paraId="63F7308A" w14:textId="77777777" w:rsidR="006854D3" w:rsidRDefault="006854D3" w:rsidP="00A80C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71406" w14:textId="77777777" w:rsidR="00A80C30" w:rsidRDefault="006854D3">
    <w:pPr>
      <w:pStyle w:val="Encabezado"/>
    </w:pPr>
    <w:r>
      <w:rPr>
        <w:noProof/>
      </w:rPr>
      <w:pict w14:anchorId="3AF2A4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442985" o:spid="_x0000_s2050" type="#_x0000_t136" style="position:absolute;margin-left:0;margin-top:0;width:541.8pt;height:81.25pt;rotation:315;z-index:-251656192;mso-position-horizontal:center;mso-position-horizontal-relative:margin;mso-position-vertical:center;mso-position-vertical-relative:margin" o:allowincell="f" fillcolor="silver" stroked="f">
          <v:fill opacity=".5"/>
          <v:textpath style="font-family:&quot;Palatino Linotype&quot;;font-size:1pt" string="VOTO PARTICULA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5387"/>
    </w:tblGrid>
    <w:tr w:rsidR="0077694E" w:rsidRPr="001106EA" w14:paraId="1D801363" w14:textId="77777777" w:rsidTr="006C3F4B">
      <w:trPr>
        <w:trHeight w:val="2127"/>
      </w:trPr>
      <w:tc>
        <w:tcPr>
          <w:tcW w:w="3402" w:type="dxa"/>
          <w:vAlign w:val="bottom"/>
        </w:tcPr>
        <w:p w14:paraId="034AEACD" w14:textId="77777777" w:rsidR="0077694E" w:rsidRDefault="001F75E5" w:rsidP="00285C7B">
          <w:pPr>
            <w:pStyle w:val="Encabezado"/>
            <w:tabs>
              <w:tab w:val="clear" w:pos="4252"/>
              <w:tab w:val="center" w:pos="2614"/>
            </w:tabs>
            <w:ind w:left="-255"/>
          </w:pPr>
          <w:r>
            <w:rPr>
              <w:noProof/>
              <w:sz w:val="10"/>
              <w:szCs w:val="10"/>
              <w:lang w:val="es-MX" w:eastAsia="es-MX"/>
            </w:rPr>
            <w:drawing>
              <wp:anchor distT="0" distB="0" distL="114300" distR="114300" simplePos="0" relativeHeight="251664384" behindDoc="0" locked="0" layoutInCell="1" allowOverlap="1" wp14:anchorId="09A2B718" wp14:editId="4256B7D6">
                <wp:simplePos x="0" y="0"/>
                <wp:positionH relativeFrom="column">
                  <wp:posOffset>-329565</wp:posOffset>
                </wp:positionH>
                <wp:positionV relativeFrom="paragraph">
                  <wp:posOffset>-861060</wp:posOffset>
                </wp:positionV>
                <wp:extent cx="1873250" cy="112649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ipo Infoe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3250" cy="1126490"/>
                        </a:xfrm>
                        <a:prstGeom prst="rect">
                          <a:avLst/>
                        </a:prstGeom>
                      </pic:spPr>
                    </pic:pic>
                  </a:graphicData>
                </a:graphic>
                <wp14:sizeRelH relativeFrom="margin">
                  <wp14:pctWidth>0</wp14:pctWidth>
                </wp14:sizeRelH>
                <wp14:sizeRelV relativeFrom="margin">
                  <wp14:pctHeight>0</wp14:pctHeight>
                </wp14:sizeRelV>
              </wp:anchor>
            </w:drawing>
          </w:r>
        </w:p>
        <w:p w14:paraId="6C1E59CA" w14:textId="77777777" w:rsidR="00285C7B" w:rsidRDefault="00285C7B" w:rsidP="00285C7B">
          <w:pPr>
            <w:pStyle w:val="Encabezado"/>
            <w:tabs>
              <w:tab w:val="clear" w:pos="4252"/>
              <w:tab w:val="center" w:pos="2614"/>
            </w:tabs>
            <w:ind w:left="-255"/>
          </w:pPr>
        </w:p>
      </w:tc>
      <w:tc>
        <w:tcPr>
          <w:tcW w:w="5387" w:type="dxa"/>
          <w:vAlign w:val="center"/>
        </w:tcPr>
        <w:p w14:paraId="636797BD" w14:textId="76879298" w:rsidR="001106EA" w:rsidRPr="00B9745A" w:rsidRDefault="001F75E5" w:rsidP="00285C7B">
          <w:pPr>
            <w:pStyle w:val="Encabezado"/>
            <w:ind w:left="-108" w:right="-250"/>
            <w:jc w:val="both"/>
            <w:rPr>
              <w:rFonts w:ascii="Palatino Linotype" w:hAnsi="Palatino Linotype" w:cs="Tahoma"/>
              <w:b/>
            </w:rPr>
          </w:pPr>
          <w:r w:rsidRPr="00B9745A">
            <w:rPr>
              <w:rFonts w:ascii="Palatino Linotype" w:hAnsi="Palatino Linotype" w:cs="Tahoma"/>
              <w:b/>
            </w:rPr>
            <w:t xml:space="preserve">Voto </w:t>
          </w:r>
          <w:r w:rsidR="00D3346E">
            <w:rPr>
              <w:rFonts w:ascii="Palatino Linotype" w:hAnsi="Palatino Linotype" w:cs="Tahoma"/>
              <w:b/>
            </w:rPr>
            <w:t>Disidente</w:t>
          </w:r>
        </w:p>
        <w:p w14:paraId="18351A16" w14:textId="67DFD495" w:rsidR="004E5EAD" w:rsidRDefault="001F75E5" w:rsidP="00285C7B">
          <w:pPr>
            <w:pStyle w:val="Encabezado"/>
            <w:ind w:left="-108" w:right="37"/>
            <w:jc w:val="both"/>
            <w:rPr>
              <w:rFonts w:ascii="Palatino Linotype" w:hAnsi="Palatino Linotype"/>
              <w:lang w:val="es-MX"/>
            </w:rPr>
          </w:pPr>
          <w:r w:rsidRPr="00B9745A">
            <w:rPr>
              <w:rFonts w:ascii="Palatino Linotype" w:hAnsi="Palatino Linotype" w:cs="Tahoma"/>
              <w:b/>
            </w:rPr>
            <w:t xml:space="preserve">Recurso de Revisión: </w:t>
          </w:r>
          <w:r w:rsidR="00DA3CBE">
            <w:rPr>
              <w:rFonts w:ascii="Palatino Linotype" w:hAnsi="Palatino Linotype"/>
              <w:lang w:val="es-MX"/>
            </w:rPr>
            <w:t>00822/INFOEM/IP/RR/2023</w:t>
          </w:r>
        </w:p>
        <w:p w14:paraId="6AB78542" w14:textId="25732A37" w:rsidR="00285C7B" w:rsidRPr="00285C7B" w:rsidRDefault="001F75E5" w:rsidP="00D652C7">
          <w:pPr>
            <w:pStyle w:val="Encabezado"/>
            <w:ind w:left="-108" w:right="38"/>
            <w:jc w:val="both"/>
            <w:rPr>
              <w:rFonts w:ascii="Palatino Linotype" w:hAnsi="Palatino Linotype"/>
              <w:bCs/>
              <w:lang w:val="es-ES_tradnl"/>
            </w:rPr>
          </w:pPr>
          <w:r>
            <w:rPr>
              <w:rFonts w:ascii="Palatino Linotype" w:hAnsi="Palatino Linotype" w:cs="Tahoma"/>
              <w:b/>
            </w:rPr>
            <w:t>Sujeto Obligado:</w:t>
          </w:r>
          <w:r w:rsidR="00100065">
            <w:rPr>
              <w:rFonts w:ascii="Palatino Linotype" w:hAnsi="Palatino Linotype"/>
              <w:bCs/>
              <w:lang w:val="es-MX"/>
            </w:rPr>
            <w:t xml:space="preserve"> </w:t>
          </w:r>
          <w:r w:rsidR="00DA3CBE" w:rsidRPr="00DA3CBE">
            <w:rPr>
              <w:rFonts w:ascii="Palatino Linotype" w:hAnsi="Palatino Linotype"/>
              <w:bCs/>
              <w:lang w:val="es-MX"/>
            </w:rPr>
            <w:t xml:space="preserve">Secretaría de Educación </w:t>
          </w:r>
          <w:r w:rsidRPr="00B9745A">
            <w:rPr>
              <w:rFonts w:ascii="Palatino Linotype" w:hAnsi="Palatino Linotype" w:cs="Tahoma"/>
              <w:b/>
            </w:rPr>
            <w:t xml:space="preserve">Comisionado Ponente: </w:t>
          </w:r>
          <w:r w:rsidR="00D3346E">
            <w:rPr>
              <w:rFonts w:ascii="Palatino Linotype" w:hAnsi="Palatino Linotype" w:cs="Arial"/>
              <w:szCs w:val="20"/>
            </w:rPr>
            <w:t>Sharon Cristina Morales Martínez</w:t>
          </w:r>
        </w:p>
      </w:tc>
    </w:tr>
  </w:tbl>
  <w:p w14:paraId="557491B5" w14:textId="77777777" w:rsidR="00D55429" w:rsidRPr="001106EA" w:rsidRDefault="006854D3">
    <w:pPr>
      <w:pStyle w:val="Encabezado"/>
      <w:rPr>
        <w:sz w:val="2"/>
        <w:szCs w:val="2"/>
      </w:rPr>
    </w:pPr>
    <w:r>
      <w:rPr>
        <w:noProof/>
      </w:rPr>
      <w:pict w14:anchorId="13D755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442986" o:spid="_x0000_s2051" type="#_x0000_t136" style="position:absolute;margin-left:0;margin-top:0;width:541.8pt;height:81.25pt;rotation:315;z-index:-251655168;mso-position-horizontal:center;mso-position-horizontal-relative:margin;mso-position-vertical:center;mso-position-vertical-relative:margin" o:allowincell="f" fillcolor="silver" stroked="f">
          <v:fill opacity=".5"/>
          <v:textpath style="font-family:&quot;Palatino Linotype&quot;;font-size:1pt" string="VOTO PARTICULAR"/>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B7DF9" w14:textId="77777777" w:rsidR="00A80C30" w:rsidRDefault="006854D3">
    <w:pPr>
      <w:pStyle w:val="Encabezado"/>
    </w:pPr>
    <w:r>
      <w:rPr>
        <w:noProof/>
      </w:rPr>
      <w:pict w14:anchorId="46F211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442984" o:spid="_x0000_s2049" type="#_x0000_t136" style="position:absolute;margin-left:0;margin-top:0;width:541.8pt;height:81.25pt;rotation:315;z-index:-251658240;mso-position-horizontal:center;mso-position-horizontal-relative:margin;mso-position-vertical:center;mso-position-vertical-relative:margin" o:allowincell="f" fillcolor="silver" stroked="f">
          <v:fill opacity=".5"/>
          <v:textpath style="font-family:&quot;Palatino Linotype&quot;;font-size:1pt" string="VOTO PARTICULA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C30"/>
    <w:rsid w:val="000062F8"/>
    <w:rsid w:val="000411F7"/>
    <w:rsid w:val="00047ED8"/>
    <w:rsid w:val="0005610F"/>
    <w:rsid w:val="00066E61"/>
    <w:rsid w:val="00082310"/>
    <w:rsid w:val="000F4555"/>
    <w:rsid w:val="000F7782"/>
    <w:rsid w:val="00100065"/>
    <w:rsid w:val="0012120C"/>
    <w:rsid w:val="00127BC5"/>
    <w:rsid w:val="0013417E"/>
    <w:rsid w:val="00156481"/>
    <w:rsid w:val="001713E8"/>
    <w:rsid w:val="00185727"/>
    <w:rsid w:val="001971A0"/>
    <w:rsid w:val="00197DA5"/>
    <w:rsid w:val="001D3441"/>
    <w:rsid w:val="001E63F3"/>
    <w:rsid w:val="001F75E5"/>
    <w:rsid w:val="00224A73"/>
    <w:rsid w:val="00230157"/>
    <w:rsid w:val="00252268"/>
    <w:rsid w:val="00285C7B"/>
    <w:rsid w:val="00292375"/>
    <w:rsid w:val="002B51EF"/>
    <w:rsid w:val="002C5FE4"/>
    <w:rsid w:val="002C6231"/>
    <w:rsid w:val="002D6AB3"/>
    <w:rsid w:val="002F4CEB"/>
    <w:rsid w:val="002F65CC"/>
    <w:rsid w:val="00300630"/>
    <w:rsid w:val="00304A0F"/>
    <w:rsid w:val="00314859"/>
    <w:rsid w:val="00315199"/>
    <w:rsid w:val="00323750"/>
    <w:rsid w:val="00373D4A"/>
    <w:rsid w:val="003D4273"/>
    <w:rsid w:val="003E1155"/>
    <w:rsid w:val="003E56C5"/>
    <w:rsid w:val="00426EE3"/>
    <w:rsid w:val="00427F85"/>
    <w:rsid w:val="00431C33"/>
    <w:rsid w:val="004412C6"/>
    <w:rsid w:val="004474C6"/>
    <w:rsid w:val="004738C3"/>
    <w:rsid w:val="00486BD3"/>
    <w:rsid w:val="00494387"/>
    <w:rsid w:val="004A7A76"/>
    <w:rsid w:val="004C0D87"/>
    <w:rsid w:val="004C7D91"/>
    <w:rsid w:val="004D26F6"/>
    <w:rsid w:val="004E2AF5"/>
    <w:rsid w:val="004E5515"/>
    <w:rsid w:val="004E5EAD"/>
    <w:rsid w:val="004E7EC7"/>
    <w:rsid w:val="004F0923"/>
    <w:rsid w:val="00506560"/>
    <w:rsid w:val="00506AB5"/>
    <w:rsid w:val="00533E57"/>
    <w:rsid w:val="00541BAC"/>
    <w:rsid w:val="00543C9A"/>
    <w:rsid w:val="00570A8A"/>
    <w:rsid w:val="00580294"/>
    <w:rsid w:val="005974CA"/>
    <w:rsid w:val="005A21F7"/>
    <w:rsid w:val="005E30A0"/>
    <w:rsid w:val="005F5396"/>
    <w:rsid w:val="00601591"/>
    <w:rsid w:val="006053B7"/>
    <w:rsid w:val="00611B4C"/>
    <w:rsid w:val="006408E2"/>
    <w:rsid w:val="006456BC"/>
    <w:rsid w:val="00657751"/>
    <w:rsid w:val="00661A19"/>
    <w:rsid w:val="00666305"/>
    <w:rsid w:val="0068245C"/>
    <w:rsid w:val="00684986"/>
    <w:rsid w:val="006854D3"/>
    <w:rsid w:val="00686864"/>
    <w:rsid w:val="00687F26"/>
    <w:rsid w:val="00690441"/>
    <w:rsid w:val="006A393D"/>
    <w:rsid w:val="006C2B09"/>
    <w:rsid w:val="006C3F4B"/>
    <w:rsid w:val="00716333"/>
    <w:rsid w:val="00737BC9"/>
    <w:rsid w:val="00756729"/>
    <w:rsid w:val="00795123"/>
    <w:rsid w:val="007A0E46"/>
    <w:rsid w:val="007B5958"/>
    <w:rsid w:val="007D1B0E"/>
    <w:rsid w:val="007E10C9"/>
    <w:rsid w:val="007E3F90"/>
    <w:rsid w:val="007F32AC"/>
    <w:rsid w:val="00823E1B"/>
    <w:rsid w:val="0083177F"/>
    <w:rsid w:val="00833C20"/>
    <w:rsid w:val="00842979"/>
    <w:rsid w:val="00861469"/>
    <w:rsid w:val="008635BA"/>
    <w:rsid w:val="00864A25"/>
    <w:rsid w:val="008B0A25"/>
    <w:rsid w:val="008E1028"/>
    <w:rsid w:val="008E2746"/>
    <w:rsid w:val="008F78B8"/>
    <w:rsid w:val="00902D87"/>
    <w:rsid w:val="00913F1E"/>
    <w:rsid w:val="00914963"/>
    <w:rsid w:val="00922026"/>
    <w:rsid w:val="00926BCA"/>
    <w:rsid w:val="00940F06"/>
    <w:rsid w:val="00960C5A"/>
    <w:rsid w:val="00961702"/>
    <w:rsid w:val="0097361B"/>
    <w:rsid w:val="009C4DED"/>
    <w:rsid w:val="009C6B45"/>
    <w:rsid w:val="009C6E28"/>
    <w:rsid w:val="009F23B2"/>
    <w:rsid w:val="00A17F80"/>
    <w:rsid w:val="00A21473"/>
    <w:rsid w:val="00A344E5"/>
    <w:rsid w:val="00A43E77"/>
    <w:rsid w:val="00A54CCC"/>
    <w:rsid w:val="00A72226"/>
    <w:rsid w:val="00A80C30"/>
    <w:rsid w:val="00A916BE"/>
    <w:rsid w:val="00A96A4C"/>
    <w:rsid w:val="00A9782A"/>
    <w:rsid w:val="00AC0FBE"/>
    <w:rsid w:val="00AD04DF"/>
    <w:rsid w:val="00AD2F2A"/>
    <w:rsid w:val="00AD65FD"/>
    <w:rsid w:val="00AF77D3"/>
    <w:rsid w:val="00B17658"/>
    <w:rsid w:val="00B3686F"/>
    <w:rsid w:val="00B43526"/>
    <w:rsid w:val="00B463E2"/>
    <w:rsid w:val="00B47EBA"/>
    <w:rsid w:val="00B55282"/>
    <w:rsid w:val="00B80272"/>
    <w:rsid w:val="00BA54EE"/>
    <w:rsid w:val="00BD6AEE"/>
    <w:rsid w:val="00BF5F8E"/>
    <w:rsid w:val="00C00E77"/>
    <w:rsid w:val="00C223E5"/>
    <w:rsid w:val="00C25292"/>
    <w:rsid w:val="00C27042"/>
    <w:rsid w:val="00C60C1A"/>
    <w:rsid w:val="00C75F6B"/>
    <w:rsid w:val="00C77BD8"/>
    <w:rsid w:val="00CB337A"/>
    <w:rsid w:val="00CB36F3"/>
    <w:rsid w:val="00CC3620"/>
    <w:rsid w:val="00CD7937"/>
    <w:rsid w:val="00D02F47"/>
    <w:rsid w:val="00D03AAF"/>
    <w:rsid w:val="00D25841"/>
    <w:rsid w:val="00D3346E"/>
    <w:rsid w:val="00D51BFD"/>
    <w:rsid w:val="00D6254E"/>
    <w:rsid w:val="00D652C7"/>
    <w:rsid w:val="00D75045"/>
    <w:rsid w:val="00D97370"/>
    <w:rsid w:val="00DA3CBE"/>
    <w:rsid w:val="00DB121C"/>
    <w:rsid w:val="00DD5D61"/>
    <w:rsid w:val="00DD6B1B"/>
    <w:rsid w:val="00E07CDD"/>
    <w:rsid w:val="00E35186"/>
    <w:rsid w:val="00E417A4"/>
    <w:rsid w:val="00E43FEA"/>
    <w:rsid w:val="00E67710"/>
    <w:rsid w:val="00E678EF"/>
    <w:rsid w:val="00E7322A"/>
    <w:rsid w:val="00E805E7"/>
    <w:rsid w:val="00E878DE"/>
    <w:rsid w:val="00E901F3"/>
    <w:rsid w:val="00EA5096"/>
    <w:rsid w:val="00EB135A"/>
    <w:rsid w:val="00EE192F"/>
    <w:rsid w:val="00EE7B51"/>
    <w:rsid w:val="00EF470A"/>
    <w:rsid w:val="00F04F7C"/>
    <w:rsid w:val="00F1426D"/>
    <w:rsid w:val="00F142F4"/>
    <w:rsid w:val="00F17B52"/>
    <w:rsid w:val="00F319BA"/>
    <w:rsid w:val="00F34C61"/>
    <w:rsid w:val="00F35BFB"/>
    <w:rsid w:val="00F4717E"/>
    <w:rsid w:val="00F837D7"/>
    <w:rsid w:val="00F84B95"/>
    <w:rsid w:val="00FB0274"/>
    <w:rsid w:val="00FC3DE6"/>
    <w:rsid w:val="00FD2937"/>
    <w:rsid w:val="00FD7C7A"/>
    <w:rsid w:val="00FF59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C595E1"/>
  <w15:docId w15:val="{C335D522-6A7F-478C-973C-BD863B81D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0C30"/>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80C3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80C30"/>
    <w:rPr>
      <w:lang w:val="es-ES"/>
    </w:rPr>
  </w:style>
  <w:style w:type="paragraph" w:styleId="Piedepgina">
    <w:name w:val="footer"/>
    <w:basedOn w:val="Normal"/>
    <w:link w:val="PiedepginaCar"/>
    <w:uiPriority w:val="99"/>
    <w:unhideWhenUsed/>
    <w:rsid w:val="00A80C3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80C30"/>
    <w:rPr>
      <w:lang w:val="es-ES"/>
    </w:rPr>
  </w:style>
  <w:style w:type="table" w:styleId="Tablaconcuadrcula">
    <w:name w:val="Table Grid"/>
    <w:basedOn w:val="Tablanormal"/>
    <w:uiPriority w:val="59"/>
    <w:rsid w:val="00A80C30"/>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uiPriority w:val="22"/>
    <w:qFormat/>
    <w:rsid w:val="00A80C30"/>
    <w:rPr>
      <w:b/>
      <w:bCs/>
    </w:rPr>
  </w:style>
  <w:style w:type="paragraph" w:styleId="Textodeglobo">
    <w:name w:val="Balloon Text"/>
    <w:basedOn w:val="Normal"/>
    <w:link w:val="TextodegloboCar"/>
    <w:uiPriority w:val="99"/>
    <w:semiHidden/>
    <w:unhideWhenUsed/>
    <w:rsid w:val="0075672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6729"/>
    <w:rPr>
      <w:rFonts w:ascii="Tahoma" w:hAnsi="Tahoma" w:cs="Tahoma"/>
      <w:sz w:val="16"/>
      <w:szCs w:val="16"/>
      <w:lang w:val="es-ES"/>
    </w:rPr>
  </w:style>
  <w:style w:type="character" w:styleId="Hipervnculo">
    <w:name w:val="Hyperlink"/>
    <w:basedOn w:val="Fuentedeprrafopredeter"/>
    <w:uiPriority w:val="99"/>
    <w:unhideWhenUsed/>
    <w:rsid w:val="00756729"/>
    <w:rPr>
      <w:color w:val="0563C1" w:themeColor="hyperlink"/>
      <w:u w:val="single"/>
    </w:rPr>
  </w:style>
  <w:style w:type="paragraph" w:styleId="NormalWeb">
    <w:name w:val="Normal (Web)"/>
    <w:basedOn w:val="Normal"/>
    <w:uiPriority w:val="99"/>
    <w:unhideWhenUsed/>
    <w:rsid w:val="00F84B9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FC3DE6"/>
  </w:style>
  <w:style w:type="character" w:customStyle="1" w:styleId="eop">
    <w:name w:val="eop"/>
    <w:basedOn w:val="Fuentedeprrafopredeter"/>
    <w:rsid w:val="004C7D91"/>
  </w:style>
  <w:style w:type="paragraph" w:customStyle="1" w:styleId="paragraph">
    <w:name w:val="paragraph"/>
    <w:basedOn w:val="Normal"/>
    <w:rsid w:val="002C5FE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Prrafodelista">
    <w:name w:val="List Paragraph"/>
    <w:basedOn w:val="Normal"/>
    <w:uiPriority w:val="34"/>
    <w:qFormat/>
    <w:rsid w:val="00AC0F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4086789">
      <w:bodyDiv w:val="1"/>
      <w:marLeft w:val="0"/>
      <w:marRight w:val="0"/>
      <w:marTop w:val="0"/>
      <w:marBottom w:val="0"/>
      <w:divBdr>
        <w:top w:val="none" w:sz="0" w:space="0" w:color="auto"/>
        <w:left w:val="none" w:sz="0" w:space="0" w:color="auto"/>
        <w:bottom w:val="none" w:sz="0" w:space="0" w:color="auto"/>
        <w:right w:val="none" w:sz="0" w:space="0" w:color="auto"/>
      </w:divBdr>
    </w:div>
    <w:div w:id="500924185">
      <w:bodyDiv w:val="1"/>
      <w:marLeft w:val="0"/>
      <w:marRight w:val="0"/>
      <w:marTop w:val="0"/>
      <w:marBottom w:val="0"/>
      <w:divBdr>
        <w:top w:val="none" w:sz="0" w:space="0" w:color="auto"/>
        <w:left w:val="none" w:sz="0" w:space="0" w:color="auto"/>
        <w:bottom w:val="none" w:sz="0" w:space="0" w:color="auto"/>
        <w:right w:val="none" w:sz="0" w:space="0" w:color="auto"/>
      </w:divBdr>
    </w:div>
    <w:div w:id="779497056">
      <w:bodyDiv w:val="1"/>
      <w:marLeft w:val="0"/>
      <w:marRight w:val="0"/>
      <w:marTop w:val="0"/>
      <w:marBottom w:val="0"/>
      <w:divBdr>
        <w:top w:val="none" w:sz="0" w:space="0" w:color="auto"/>
        <w:left w:val="none" w:sz="0" w:space="0" w:color="auto"/>
        <w:bottom w:val="none" w:sz="0" w:space="0" w:color="auto"/>
        <w:right w:val="none" w:sz="0" w:space="0" w:color="auto"/>
      </w:divBdr>
      <w:divsChild>
        <w:div w:id="323165208">
          <w:marLeft w:val="0"/>
          <w:marRight w:val="0"/>
          <w:marTop w:val="0"/>
          <w:marBottom w:val="0"/>
          <w:divBdr>
            <w:top w:val="none" w:sz="0" w:space="0" w:color="auto"/>
            <w:left w:val="none" w:sz="0" w:space="0" w:color="auto"/>
            <w:bottom w:val="none" w:sz="0" w:space="0" w:color="auto"/>
            <w:right w:val="none" w:sz="0" w:space="0" w:color="auto"/>
          </w:divBdr>
        </w:div>
        <w:div w:id="1479956676">
          <w:marLeft w:val="0"/>
          <w:marRight w:val="0"/>
          <w:marTop w:val="0"/>
          <w:marBottom w:val="0"/>
          <w:divBdr>
            <w:top w:val="none" w:sz="0" w:space="0" w:color="auto"/>
            <w:left w:val="none" w:sz="0" w:space="0" w:color="auto"/>
            <w:bottom w:val="none" w:sz="0" w:space="0" w:color="auto"/>
            <w:right w:val="none" w:sz="0" w:space="0" w:color="auto"/>
          </w:divBdr>
        </w:div>
        <w:div w:id="1733308064">
          <w:marLeft w:val="0"/>
          <w:marRight w:val="0"/>
          <w:marTop w:val="0"/>
          <w:marBottom w:val="0"/>
          <w:divBdr>
            <w:top w:val="none" w:sz="0" w:space="0" w:color="auto"/>
            <w:left w:val="none" w:sz="0" w:space="0" w:color="auto"/>
            <w:bottom w:val="none" w:sz="0" w:space="0" w:color="auto"/>
            <w:right w:val="none" w:sz="0" w:space="0" w:color="auto"/>
          </w:divBdr>
        </w:div>
        <w:div w:id="1449817323">
          <w:marLeft w:val="0"/>
          <w:marRight w:val="0"/>
          <w:marTop w:val="0"/>
          <w:marBottom w:val="0"/>
          <w:divBdr>
            <w:top w:val="none" w:sz="0" w:space="0" w:color="auto"/>
            <w:left w:val="none" w:sz="0" w:space="0" w:color="auto"/>
            <w:bottom w:val="none" w:sz="0" w:space="0" w:color="auto"/>
            <w:right w:val="none" w:sz="0" w:space="0" w:color="auto"/>
          </w:divBdr>
        </w:div>
        <w:div w:id="2127430114">
          <w:marLeft w:val="0"/>
          <w:marRight w:val="0"/>
          <w:marTop w:val="0"/>
          <w:marBottom w:val="0"/>
          <w:divBdr>
            <w:top w:val="none" w:sz="0" w:space="0" w:color="auto"/>
            <w:left w:val="none" w:sz="0" w:space="0" w:color="auto"/>
            <w:bottom w:val="none" w:sz="0" w:space="0" w:color="auto"/>
            <w:right w:val="none" w:sz="0" w:space="0" w:color="auto"/>
          </w:divBdr>
        </w:div>
        <w:div w:id="984160699">
          <w:marLeft w:val="0"/>
          <w:marRight w:val="0"/>
          <w:marTop w:val="0"/>
          <w:marBottom w:val="0"/>
          <w:divBdr>
            <w:top w:val="none" w:sz="0" w:space="0" w:color="auto"/>
            <w:left w:val="none" w:sz="0" w:space="0" w:color="auto"/>
            <w:bottom w:val="none" w:sz="0" w:space="0" w:color="auto"/>
            <w:right w:val="none" w:sz="0" w:space="0" w:color="auto"/>
          </w:divBdr>
        </w:div>
        <w:div w:id="925189201">
          <w:marLeft w:val="0"/>
          <w:marRight w:val="0"/>
          <w:marTop w:val="0"/>
          <w:marBottom w:val="0"/>
          <w:divBdr>
            <w:top w:val="none" w:sz="0" w:space="0" w:color="auto"/>
            <w:left w:val="none" w:sz="0" w:space="0" w:color="auto"/>
            <w:bottom w:val="none" w:sz="0" w:space="0" w:color="auto"/>
            <w:right w:val="none" w:sz="0" w:space="0" w:color="auto"/>
          </w:divBdr>
        </w:div>
        <w:div w:id="1792164792">
          <w:marLeft w:val="0"/>
          <w:marRight w:val="0"/>
          <w:marTop w:val="0"/>
          <w:marBottom w:val="0"/>
          <w:divBdr>
            <w:top w:val="none" w:sz="0" w:space="0" w:color="auto"/>
            <w:left w:val="none" w:sz="0" w:space="0" w:color="auto"/>
            <w:bottom w:val="none" w:sz="0" w:space="0" w:color="auto"/>
            <w:right w:val="none" w:sz="0" w:space="0" w:color="auto"/>
          </w:divBdr>
        </w:div>
        <w:div w:id="1973443460">
          <w:marLeft w:val="0"/>
          <w:marRight w:val="0"/>
          <w:marTop w:val="0"/>
          <w:marBottom w:val="0"/>
          <w:divBdr>
            <w:top w:val="none" w:sz="0" w:space="0" w:color="auto"/>
            <w:left w:val="none" w:sz="0" w:space="0" w:color="auto"/>
            <w:bottom w:val="none" w:sz="0" w:space="0" w:color="auto"/>
            <w:right w:val="none" w:sz="0" w:space="0" w:color="auto"/>
          </w:divBdr>
        </w:div>
        <w:div w:id="2014840840">
          <w:marLeft w:val="0"/>
          <w:marRight w:val="0"/>
          <w:marTop w:val="0"/>
          <w:marBottom w:val="0"/>
          <w:divBdr>
            <w:top w:val="none" w:sz="0" w:space="0" w:color="auto"/>
            <w:left w:val="none" w:sz="0" w:space="0" w:color="auto"/>
            <w:bottom w:val="none" w:sz="0" w:space="0" w:color="auto"/>
            <w:right w:val="none" w:sz="0" w:space="0" w:color="auto"/>
          </w:divBdr>
        </w:div>
        <w:div w:id="631711621">
          <w:marLeft w:val="0"/>
          <w:marRight w:val="0"/>
          <w:marTop w:val="0"/>
          <w:marBottom w:val="0"/>
          <w:divBdr>
            <w:top w:val="none" w:sz="0" w:space="0" w:color="auto"/>
            <w:left w:val="none" w:sz="0" w:space="0" w:color="auto"/>
            <w:bottom w:val="none" w:sz="0" w:space="0" w:color="auto"/>
            <w:right w:val="none" w:sz="0" w:space="0" w:color="auto"/>
          </w:divBdr>
        </w:div>
        <w:div w:id="866606159">
          <w:marLeft w:val="0"/>
          <w:marRight w:val="0"/>
          <w:marTop w:val="0"/>
          <w:marBottom w:val="0"/>
          <w:divBdr>
            <w:top w:val="none" w:sz="0" w:space="0" w:color="auto"/>
            <w:left w:val="none" w:sz="0" w:space="0" w:color="auto"/>
            <w:bottom w:val="none" w:sz="0" w:space="0" w:color="auto"/>
            <w:right w:val="none" w:sz="0" w:space="0" w:color="auto"/>
          </w:divBdr>
        </w:div>
        <w:div w:id="1507819316">
          <w:marLeft w:val="0"/>
          <w:marRight w:val="0"/>
          <w:marTop w:val="0"/>
          <w:marBottom w:val="0"/>
          <w:divBdr>
            <w:top w:val="none" w:sz="0" w:space="0" w:color="auto"/>
            <w:left w:val="none" w:sz="0" w:space="0" w:color="auto"/>
            <w:bottom w:val="none" w:sz="0" w:space="0" w:color="auto"/>
            <w:right w:val="none" w:sz="0" w:space="0" w:color="auto"/>
          </w:divBdr>
        </w:div>
        <w:div w:id="407508381">
          <w:marLeft w:val="0"/>
          <w:marRight w:val="0"/>
          <w:marTop w:val="0"/>
          <w:marBottom w:val="0"/>
          <w:divBdr>
            <w:top w:val="none" w:sz="0" w:space="0" w:color="auto"/>
            <w:left w:val="none" w:sz="0" w:space="0" w:color="auto"/>
            <w:bottom w:val="none" w:sz="0" w:space="0" w:color="auto"/>
            <w:right w:val="none" w:sz="0" w:space="0" w:color="auto"/>
          </w:divBdr>
        </w:div>
      </w:divsChild>
    </w:div>
    <w:div w:id="1649507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311</TotalTime>
  <Pages>7</Pages>
  <Words>1327</Words>
  <Characters>7302</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RF</dc:creator>
  <cp:lastModifiedBy>Cuenta Microsoft</cp:lastModifiedBy>
  <cp:revision>9</cp:revision>
  <cp:lastPrinted>2023-01-31T01:53:00Z</cp:lastPrinted>
  <dcterms:created xsi:type="dcterms:W3CDTF">2023-06-01T14:12:00Z</dcterms:created>
  <dcterms:modified xsi:type="dcterms:W3CDTF">2023-06-05T17:01:00Z</dcterms:modified>
</cp:coreProperties>
</file>