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4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line="360" w:lineRule="auto"/>
        <w:ind w:right="115" w:firstLine="708.6614173228347"/>
        <w:rPr/>
      </w:pPr>
      <w:r w:rsidDel="00000000" w:rsidR="00000000" w:rsidRPr="00000000">
        <w:rPr>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TRIGÉSIMA OCTAVA SESIÓN ORDINARIA DEL VEINTICINCO DE OCTUBRE DE DOS MIL VEINTITRÉS, EN EL RECURSO DE REVISIÓN 03920/INFOEM/IP/RR/2023.</w:t>
      </w:r>
    </w:p>
    <w:p w:rsidR="00000000" w:rsidDel="00000000" w:rsidP="00000000" w:rsidRDefault="00000000" w:rsidRPr="00000000" w14:paraId="00000007">
      <w:pPr>
        <w:spacing w:before="244" w:line="360" w:lineRule="auto"/>
        <w:ind w:left="682" w:right="117" w:firstLine="0"/>
        <w:jc w:val="both"/>
        <w:rPr>
          <w:sz w:val="24"/>
          <w:szCs w:val="24"/>
        </w:r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w:t>
      </w:r>
      <w:r w:rsidDel="00000000" w:rsidR="00000000" w:rsidRPr="00000000">
        <w:rPr>
          <w:b w:val="1"/>
          <w:sz w:val="24"/>
          <w:szCs w:val="24"/>
          <w:rtl w:val="0"/>
        </w:rPr>
        <w:t xml:space="preserve">la Comisionada Guadalupe Ramírez Peña</w:t>
      </w:r>
      <w:r w:rsidDel="00000000" w:rsidR="00000000" w:rsidRPr="00000000">
        <w:rPr>
          <w:sz w:val="24"/>
          <w:szCs w:val="24"/>
          <w:rtl w:val="0"/>
        </w:rPr>
        <w:t xml:space="preserve">, emite </w:t>
      </w:r>
      <w:r w:rsidDel="00000000" w:rsidR="00000000" w:rsidRPr="00000000">
        <w:rPr>
          <w:b w:val="1"/>
          <w:sz w:val="24"/>
          <w:szCs w:val="24"/>
          <w:rtl w:val="0"/>
        </w:rPr>
        <w:t xml:space="preserve">VOTO DISIDENTE </w:t>
      </w:r>
      <w:r w:rsidDel="00000000" w:rsidR="00000000" w:rsidRPr="00000000">
        <w:rPr>
          <w:sz w:val="24"/>
          <w:szCs w:val="24"/>
          <w:rtl w:val="0"/>
        </w:rPr>
        <w:t xml:space="preserve">respecto a la resolución dictada en el recurso de revisión número </w:t>
      </w:r>
      <w:r w:rsidDel="00000000" w:rsidR="00000000" w:rsidRPr="00000000">
        <w:rPr>
          <w:b w:val="1"/>
          <w:sz w:val="24"/>
          <w:szCs w:val="24"/>
          <w:rtl w:val="0"/>
        </w:rPr>
        <w:t xml:space="preserve">03920/INFOEM/IP/RR/2023 </w:t>
      </w:r>
      <w:r w:rsidDel="00000000" w:rsidR="00000000" w:rsidRPr="00000000">
        <w:rPr>
          <w:sz w:val="24"/>
          <w:szCs w:val="24"/>
          <w:rtl w:val="0"/>
        </w:rPr>
        <w:t xml:space="preserve">pronunciada por el Pleno de este Instituto ante el proyecto presentado por el </w:t>
      </w:r>
      <w:r w:rsidDel="00000000" w:rsidR="00000000" w:rsidRPr="00000000">
        <w:rPr>
          <w:b w:val="1"/>
          <w:sz w:val="24"/>
          <w:szCs w:val="24"/>
          <w:rtl w:val="0"/>
        </w:rPr>
        <w:t xml:space="preserve">Comisionado Presidente José Martínez Vilchis</w:t>
      </w:r>
      <w:r w:rsidDel="00000000" w:rsidR="00000000" w:rsidRPr="00000000">
        <w:rPr>
          <w:sz w:val="24"/>
          <w:szCs w:val="24"/>
          <w:rtl w:val="0"/>
        </w:rPr>
        <w:t xml:space="preserve">, el cual se formuló, conforme al tenor siguiente:</w:t>
      </w:r>
    </w:p>
    <w:p w:rsidR="00000000" w:rsidDel="00000000" w:rsidP="00000000" w:rsidRDefault="00000000" w:rsidRPr="00000000" w14:paraId="00000008">
      <w:pPr>
        <w:pStyle w:val="Heading1"/>
        <w:numPr>
          <w:ilvl w:val="0"/>
          <w:numId w:val="2"/>
        </w:numPr>
        <w:tabs>
          <w:tab w:val="left" w:leader="none" w:pos="822"/>
        </w:tabs>
        <w:spacing w:after="0" w:before="236" w:line="240" w:lineRule="auto"/>
        <w:ind w:left="822" w:right="0" w:hanging="282"/>
        <w:jc w:val="both"/>
        <w:rPr/>
      </w:pPr>
      <w:r w:rsidDel="00000000" w:rsidR="00000000" w:rsidRPr="00000000">
        <w:rPr>
          <w:rtl w:val="0"/>
        </w:rPr>
        <w:t xml:space="preserve">Antecedentes.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360" w:lineRule="auto"/>
        <w:ind w:left="682" w:right="117" w:firstLine="0"/>
        <w:jc w:val="both"/>
        <w:rPr>
          <w:sz w:val="24"/>
          <w:szCs w:val="24"/>
        </w:rPr>
      </w:pPr>
      <w:r w:rsidDel="00000000" w:rsidR="00000000" w:rsidRPr="00000000">
        <w:rPr>
          <w:sz w:val="24"/>
          <w:szCs w:val="24"/>
          <w:rtl w:val="0"/>
        </w:rPr>
        <w:t xml:space="preserve">En el asunto que nos ocupa, la </w:t>
      </w:r>
      <w:r w:rsidDel="00000000" w:rsidR="00000000" w:rsidRPr="00000000">
        <w:rPr>
          <w:b w:val="1"/>
          <w:sz w:val="24"/>
          <w:szCs w:val="24"/>
          <w:rtl w:val="0"/>
        </w:rPr>
        <w:t xml:space="preserve">parte Recurrente </w:t>
      </w:r>
      <w:r w:rsidDel="00000000" w:rsidR="00000000" w:rsidRPr="00000000">
        <w:rPr>
          <w:sz w:val="24"/>
          <w:szCs w:val="24"/>
          <w:rtl w:val="0"/>
        </w:rPr>
        <w:t xml:space="preserve">solicitó al </w:t>
      </w:r>
      <w:r w:rsidDel="00000000" w:rsidR="00000000" w:rsidRPr="00000000">
        <w:rPr>
          <w:b w:val="1"/>
          <w:sz w:val="24"/>
          <w:szCs w:val="24"/>
          <w:rtl w:val="0"/>
        </w:rPr>
        <w:t xml:space="preserve">Sujeto Obligado</w:t>
      </w:r>
      <w:r w:rsidDel="00000000" w:rsidR="00000000" w:rsidRPr="00000000">
        <w:rPr>
          <w:sz w:val="24"/>
          <w:szCs w:val="24"/>
          <w:rtl w:val="0"/>
        </w:rPr>
        <w:t xml:space="preserve">, le proporcionará lo siguiente:</w:t>
      </w:r>
    </w:p>
    <w:p w:rsidR="00000000" w:rsidDel="00000000" w:rsidP="00000000" w:rsidRDefault="00000000" w:rsidRPr="00000000" w14:paraId="0000000B">
      <w:pPr>
        <w:spacing w:before="238" w:line="276" w:lineRule="auto"/>
        <w:ind w:left="1248" w:right="1106" w:firstLine="0"/>
        <w:jc w:val="both"/>
        <w:rPr>
          <w:i w:val="1"/>
          <w:sz w:val="22"/>
          <w:szCs w:val="22"/>
        </w:rPr>
      </w:pPr>
      <w:r w:rsidDel="00000000" w:rsidR="00000000" w:rsidRPr="00000000">
        <w:rPr>
          <w:i w:val="1"/>
          <w:sz w:val="22"/>
          <w:szCs w:val="22"/>
          <w:rtl w:val="0"/>
        </w:rPr>
        <w:t xml:space="preserve">“número total de elementos de seguridad desglosado como lo son policías, bomberos, paramédicos, total de unidades de servicios de emergencia, como lo son patrullas y ambulancias y motivo por el cual no se encuentran matriculadas las patrullas” (Sic)</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spacing w:before="0" w:lineRule="auto"/>
        <w:ind w:left="0" w:right="120" w:firstLine="0"/>
        <w:jc w:val="right"/>
        <w:rPr>
          <w:rFonts w:ascii="Arial" w:cs="Arial" w:eastAsia="Arial" w:hAnsi="Arial"/>
          <w:b w:val="1"/>
          <w:sz w:val="20"/>
          <w:szCs w:val="20"/>
        </w:rPr>
        <w:sectPr>
          <w:pgSz w:h="15840" w:w="12240" w:orient="portrait"/>
          <w:pgMar w:bottom="0" w:top="580" w:left="992.1259842519685" w:right="1580" w:header="360" w:footer="360"/>
          <w:pgNumType w:start="1"/>
        </w:sectPr>
      </w:pPr>
      <w:r w:rsidDel="00000000" w:rsidR="00000000" w:rsidRPr="00000000">
        <w:rPr>
          <w:rFonts w:ascii="Arial" w:cs="Arial" w:eastAsia="Arial" w:hAnsi="Arial"/>
          <w:b w:val="1"/>
          <w:sz w:val="20"/>
          <w:szCs w:val="20"/>
          <w:rtl w:val="0"/>
        </w:rPr>
        <w:t xml:space="preserve">1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360"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Posteriormente en su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refirió que respecto del parque vehicular de la Dirección General de Seguridad Pública y Tránsito Municipal, en el municipio se cuenta con un total de ocho unidades emplacadas y cinco con emplacamiento en proceso; que la Coordinación Municipal de Protección Civil cuenta con dos unidades tipo ambulancia, una de las cuales se encuentra fuera de servicio ya que se le está realizando servicio preventivo y correctivo; asimismo, se entregó el documento denominado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UNIDADES EMPLACADAS.pdf</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en el cual se observan dos cuadros en los que se describen las ocho patrullas que cuenta con emplacamiento y las cinco que se encuentran en proceso.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before="0" w:line="360" w:lineRule="auto"/>
        <w:ind w:left="682" w:right="118" w:firstLine="0"/>
        <w:jc w:val="both"/>
        <w:rPr>
          <w:i w:val="1"/>
          <w:sz w:val="24"/>
          <w:szCs w:val="24"/>
        </w:rPr>
      </w:pPr>
      <w:r w:rsidDel="00000000" w:rsidR="00000000" w:rsidRPr="00000000">
        <w:rPr>
          <w:sz w:val="24"/>
          <w:szCs w:val="24"/>
          <w:rtl w:val="0"/>
        </w:rPr>
        <w:t xml:space="preserve">Una vez conocida la respuesta del </w:t>
      </w:r>
      <w:r w:rsidDel="00000000" w:rsidR="00000000" w:rsidRPr="00000000">
        <w:rPr>
          <w:b w:val="1"/>
          <w:sz w:val="24"/>
          <w:szCs w:val="24"/>
          <w:rtl w:val="0"/>
        </w:rPr>
        <w:t xml:space="preserve">Sujeto Obligado</w:t>
      </w:r>
      <w:r w:rsidDel="00000000" w:rsidR="00000000" w:rsidRPr="00000000">
        <w:rPr>
          <w:sz w:val="24"/>
          <w:szCs w:val="24"/>
          <w:rtl w:val="0"/>
        </w:rPr>
        <w:t xml:space="preserve">, la </w:t>
      </w:r>
      <w:r w:rsidDel="00000000" w:rsidR="00000000" w:rsidRPr="00000000">
        <w:rPr>
          <w:b w:val="1"/>
          <w:sz w:val="24"/>
          <w:szCs w:val="24"/>
          <w:rtl w:val="0"/>
        </w:rPr>
        <w:t xml:space="preserve">parte Recurrente </w:t>
      </w:r>
      <w:r w:rsidDel="00000000" w:rsidR="00000000" w:rsidRPr="00000000">
        <w:rPr>
          <w:sz w:val="24"/>
          <w:szCs w:val="24"/>
          <w:rtl w:val="0"/>
        </w:rPr>
        <w:t xml:space="preserve">interpuso el medio de impugnación citado al rubro, manifestado como motivo de inconformidad, lo siguiente: </w:t>
      </w:r>
      <w:r w:rsidDel="00000000" w:rsidR="00000000" w:rsidRPr="00000000">
        <w:rPr>
          <w:i w:val="1"/>
          <w:sz w:val="24"/>
          <w:szCs w:val="24"/>
          <w:rtl w:val="0"/>
        </w:rPr>
        <w:t xml:space="preserve">“Se solicito que informaran el número total de elementos de seguridad desglosado como lo son policías, bomberos, paramédicos, junto con el total de unidades de servicios de emergencia, como lo son patrullas y ambulancias y motivo por el cual no se encuentran matriculadas las patrullas, cosa que no hicieron, solo respondieron el segundo punto” (Sic)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360" w:lineRule="auto"/>
        <w:ind w:left="682"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interpuesto el recurso de revisión, de las constancias que obran en el expediente en el SAIMEX, se advierte que las partes no realizaron manifestaciones, ni formularon alegatos ni ofreció algún medio de prueba en el tiempo procesal establecido para tal efecto.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1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el Comisionado Ponente consideró que los motivos de inconformidad aducidos por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fundados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lo siguiente:</w:t>
      </w:r>
    </w:p>
    <w:p w:rsidR="00000000" w:rsidDel="00000000" w:rsidP="00000000" w:rsidRDefault="00000000" w:rsidRPr="00000000" w14:paraId="00000029">
      <w:pPr>
        <w:spacing w:before="237" w:line="276" w:lineRule="auto"/>
        <w:ind w:left="1248" w:right="1111" w:firstLine="0"/>
        <w:jc w:val="both"/>
        <w:rPr>
          <w:i w:val="1"/>
          <w:sz w:val="22"/>
          <w:szCs w:val="22"/>
        </w:rPr>
      </w:pPr>
      <w:r w:rsidDel="00000000" w:rsidR="00000000" w:rsidRPr="00000000">
        <w:rPr>
          <w:i w:val="1"/>
          <w:sz w:val="22"/>
          <w:szCs w:val="22"/>
          <w:rtl w:val="0"/>
        </w:rPr>
        <w:t xml:space="preserve">“PRIMERO. Se MODIFICA la respuesta entregada por el Sujeto Obligado a la solicitud de información número 00026/OCOYOAC/IP/2023, por resultar parcialmente fundados los motivos de inconformidad argüidos por el Recurrente, en términos del Considerando QUINTO de la presente resolución.</w:t>
      </w:r>
    </w:p>
    <w:p w:rsidR="00000000" w:rsidDel="00000000" w:rsidP="00000000" w:rsidRDefault="00000000" w:rsidRPr="00000000" w14:paraId="0000002A">
      <w:pPr>
        <w:spacing w:before="241" w:line="276" w:lineRule="auto"/>
        <w:ind w:left="1248" w:right="1113" w:firstLine="0"/>
        <w:jc w:val="both"/>
        <w:rPr>
          <w:i w:val="1"/>
          <w:sz w:val="22"/>
          <w:szCs w:val="22"/>
        </w:rPr>
      </w:pPr>
      <w:r w:rsidDel="00000000" w:rsidR="00000000" w:rsidRPr="00000000">
        <w:rPr>
          <w:i w:val="1"/>
          <w:sz w:val="22"/>
          <w:szCs w:val="22"/>
          <w:rtl w:val="0"/>
        </w:rPr>
        <w:t xml:space="preserve">SEGUNDO. Se ORDENA al Sujeto Obligado que haga entrega al Recurrente mediante el Sistema de Acceso a la Información Mexiquense (SAIMEX) y correo electrónico, en versión pública de ser procedente y en términos del Considerando QUINTO, lo siguiente:</w:t>
      </w:r>
    </w:p>
    <w:p w:rsidR="00000000" w:rsidDel="00000000" w:rsidP="00000000" w:rsidRDefault="00000000" w:rsidRPr="00000000" w14:paraId="0000002B">
      <w:pPr>
        <w:spacing w:before="240" w:line="276" w:lineRule="auto"/>
        <w:ind w:left="1248" w:right="1110" w:firstLine="0"/>
        <w:jc w:val="both"/>
        <w:rPr>
          <w:i w:val="1"/>
          <w:sz w:val="22"/>
          <w:szCs w:val="22"/>
        </w:rPr>
      </w:pPr>
      <w:r w:rsidDel="00000000" w:rsidR="00000000" w:rsidRPr="00000000">
        <w:rPr>
          <w:i w:val="1"/>
          <w:sz w:val="22"/>
          <w:szCs w:val="22"/>
          <w:rtl w:val="0"/>
        </w:rPr>
        <w:t xml:space="preserve">1. El documento o estadística en donde conste el número total de elementos de seguridad pública desglosado al mayor grado de desagregación posible, que se encuentre actualizado al quince de marzo de dos mil veintitrés.</w:t>
      </w:r>
    </w:p>
    <w:p w:rsidR="00000000" w:rsidDel="00000000" w:rsidP="00000000" w:rsidRDefault="00000000" w:rsidRPr="00000000" w14:paraId="0000002C">
      <w:pPr>
        <w:spacing w:before="241" w:line="276" w:lineRule="auto"/>
        <w:ind w:left="1248" w:right="1106" w:firstLine="0"/>
        <w:jc w:val="both"/>
        <w:rPr>
          <w:i w:val="1"/>
          <w:sz w:val="22"/>
          <w:szCs w:val="22"/>
        </w:rPr>
      </w:pPr>
      <w:r w:rsidDel="00000000" w:rsidR="00000000" w:rsidRPr="00000000">
        <w:rPr>
          <w:i w:val="1"/>
          <w:sz w:val="22"/>
          <w:szCs w:val="22"/>
          <w:rtl w:val="0"/>
        </w:rPr>
        <w:t xml:space="preserve">De ser necesario, como sustento de la versión pública de los documentos referidos,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000000" w:rsidDel="00000000" w:rsidP="00000000" w:rsidRDefault="00000000" w:rsidRPr="00000000" w14:paraId="0000002D">
      <w:pPr>
        <w:spacing w:before="239" w:line="276" w:lineRule="auto"/>
        <w:ind w:left="1248" w:right="1106" w:firstLine="0"/>
        <w:jc w:val="both"/>
        <w:rPr>
          <w:i w:val="1"/>
          <w:sz w:val="22"/>
          <w:szCs w:val="22"/>
        </w:rPr>
      </w:pPr>
      <w:r w:rsidDel="00000000" w:rsidR="00000000" w:rsidRPr="00000000">
        <w:rPr>
          <w:i w:val="1"/>
          <w:sz w:val="22"/>
          <w:szCs w:val="22"/>
          <w:rtl w:val="0"/>
        </w:rPr>
        <w:t xml:space="preserve">Respecto de los otros medios para realizar la entrega de la información, el Recurrente deberá hacer del conocimiento vía SAIMEX, el procedimiento que tendrá que seguir el particular para acceder a la documentación, indicando los paso para que, en caso de ser procedente, se realice el pago de derechos, así como el domicilio de la Unidad de Transparencia, días y horarios de atención, el nombre del servidor público que le atenderá; asimismo, se deberá informar que podrá obtener de manera gratuita la información si proporciona el medio electrónico y acude a la Unidad de Transparencia para la obtención de la documentación.</w:t>
      </w:r>
      <w:r w:rsidDel="00000000" w:rsidR="00000000" w:rsidRPr="00000000">
        <w:rPr>
          <w:b w:val="1"/>
          <w:i w:val="1"/>
          <w:sz w:val="22"/>
          <w:szCs w:val="22"/>
          <w:rtl w:val="0"/>
        </w:rPr>
        <w:t xml:space="preserve">…</w:t>
      </w:r>
      <w:r w:rsidDel="00000000" w:rsidR="00000000" w:rsidRPr="00000000">
        <w:rPr>
          <w:i w:val="1"/>
          <w:sz w:val="22"/>
          <w:szCs w:val="22"/>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3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4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37">
      <w:pPr>
        <w:pStyle w:val="Heading1"/>
        <w:numPr>
          <w:ilvl w:val="0"/>
          <w:numId w:val="2"/>
        </w:numPr>
        <w:tabs>
          <w:tab w:val="left" w:leader="none" w:pos="1400"/>
        </w:tabs>
        <w:spacing w:after="0" w:before="271" w:line="240" w:lineRule="auto"/>
        <w:ind w:left="1400" w:right="0" w:hanging="435"/>
        <w:jc w:val="left"/>
        <w:rPr/>
      </w:pPr>
      <w:r w:rsidDel="00000000" w:rsidR="00000000" w:rsidRPr="00000000">
        <w:rPr>
          <w:rtl w:val="0"/>
        </w:rPr>
        <w:t xml:space="preserve">Razones del Voto Disidente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este orden de ideas, resulta importante señalar que respetuosamente no coincido con los términos planteados en la Resolución toda vez que en un ejercicio de interpretación a la solicitud de información, se aprecia que la persona solicitante no sólo requiere el número de elementos de seguridad pública, también peticiona el de bomberos y paramédicos respectivamente, sirve de referencia la siguiente cita</w:t>
      </w:r>
    </w:p>
    <w:p w:rsidR="00000000" w:rsidDel="00000000" w:rsidP="00000000" w:rsidRDefault="00000000" w:rsidRPr="00000000" w14:paraId="0000003A">
      <w:pPr>
        <w:spacing w:before="235" w:line="276" w:lineRule="auto"/>
        <w:ind w:left="1248" w:right="1108" w:firstLine="0"/>
        <w:jc w:val="both"/>
        <w:rPr>
          <w:i w:val="1"/>
          <w:sz w:val="22"/>
          <w:szCs w:val="22"/>
        </w:rPr>
      </w:pPr>
      <w:r w:rsidDel="00000000" w:rsidR="00000000" w:rsidRPr="00000000">
        <w:rPr>
          <w:i w:val="1"/>
          <w:sz w:val="22"/>
          <w:szCs w:val="22"/>
          <w:rtl w:val="0"/>
        </w:rPr>
        <w:t xml:space="preserve">“número total de elementos de seguridad desglosado </w:t>
      </w:r>
      <w:r w:rsidDel="00000000" w:rsidR="00000000" w:rsidRPr="00000000">
        <w:rPr>
          <w:b w:val="1"/>
          <w:i w:val="1"/>
          <w:sz w:val="22"/>
          <w:szCs w:val="22"/>
          <w:u w:val="single"/>
          <w:rtl w:val="0"/>
        </w:rPr>
        <w:t xml:space="preserve">como lo son policías,</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bomberos, paramédicos</w:t>
      </w:r>
      <w:r w:rsidDel="00000000" w:rsidR="00000000" w:rsidRPr="00000000">
        <w:rPr>
          <w:i w:val="1"/>
          <w:sz w:val="22"/>
          <w:szCs w:val="22"/>
          <w:rtl w:val="0"/>
        </w:rPr>
        <w:t xml:space="preserve">, total de unidades de servicios de emergencia, como lo son patrullas y ambulancias y motivo por el cual no se encuentran matriculadas las patrullas” (Sic) (Énfasis añadido)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lo anterior que a consideración de la suscrita, la Ponencia debió tomar dichas expresiones realizadas como ejemplo al momento de resolver, máxime que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su inconformidad refiere que únicamente colmaron el punto de las unidades de emergencia, por lo tanto, se infiere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vulneró el derecho de acceso a la información de la parte solicitante al no emitir un pronunciamiento puntual, el cual nos conduce a que no exista congruencia y exhaustividad, esto conforme al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contenido del Criterio 02/17, emitido por el Pleno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del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Instituto Nacional de Transparencia y Acceso a la Información y Protección de Datos Personales, de título y texto siguientes:</w:t>
      </w:r>
    </w:p>
    <w:p w:rsidR="00000000" w:rsidDel="00000000" w:rsidP="00000000" w:rsidRDefault="00000000" w:rsidRPr="00000000" w14:paraId="0000003C">
      <w:pPr>
        <w:spacing w:before="242" w:line="276" w:lineRule="auto"/>
        <w:ind w:left="1248" w:right="1017" w:firstLine="0"/>
        <w:jc w:val="both"/>
        <w:rPr>
          <w:i w:val="1"/>
          <w:sz w:val="22"/>
          <w:szCs w:val="22"/>
        </w:rPr>
      </w:pPr>
      <w:r w:rsidDel="00000000" w:rsidR="00000000" w:rsidRPr="00000000">
        <w:rPr>
          <w:b w:val="1"/>
          <w:i w:val="1"/>
          <w:sz w:val="22"/>
          <w:szCs w:val="22"/>
          <w:rtl w:val="0"/>
        </w:rPr>
        <w:t xml:space="preserve">“Congruencia y exhaustividad. Sus alcances para garantizar el derecho de acceso a la información. </w:t>
      </w:r>
      <w:r w:rsidDel="00000000" w:rsidR="00000000" w:rsidRPr="00000000">
        <w:rPr>
          <w:i w:val="1"/>
          <w:sz w:val="22"/>
          <w:szCs w:val="22"/>
          <w:rtl w:val="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46">
      <w:pPr>
        <w:spacing w:before="270" w:line="276" w:lineRule="auto"/>
        <w:ind w:left="1248" w:right="1016" w:firstLine="0"/>
        <w:jc w:val="both"/>
        <w:rPr>
          <w:i w:val="1"/>
          <w:sz w:val="22"/>
          <w:szCs w:val="22"/>
        </w:rPr>
      </w:pPr>
      <w:r w:rsidDel="00000000" w:rsidR="00000000" w:rsidRPr="00000000">
        <w:rPr>
          <w:i w:val="1"/>
          <w:sz w:val="22"/>
          <w:szCs w:val="22"/>
          <w:rtl w:val="0"/>
        </w:rPr>
        <w:t xml:space="preserve">Para el efectivo ejercicio del derecho de acceso a la información, </w:t>
      </w:r>
      <w:r w:rsidDel="00000000" w:rsidR="00000000" w:rsidRPr="00000000">
        <w:rPr>
          <w:b w:val="1"/>
          <w:i w:val="1"/>
          <w:sz w:val="22"/>
          <w:szCs w:val="22"/>
          <w:rtl w:val="0"/>
        </w:rPr>
        <w:t xml:space="preserve">la congruencia implica que exista concordancia entre el requerimiento formulado por el particular y la respuesta proporcionada por el sujeto obligado</w:t>
      </w:r>
      <w:r w:rsidDel="00000000" w:rsidR="00000000" w:rsidRPr="00000000">
        <w:rPr>
          <w:i w:val="1"/>
          <w:sz w:val="22"/>
          <w:szCs w:val="22"/>
          <w:rtl w:val="0"/>
        </w:rPr>
        <w:t xml:space="preserve">; mientras que </w:t>
      </w:r>
      <w:r w:rsidDel="00000000" w:rsidR="00000000" w:rsidRPr="00000000">
        <w:rPr>
          <w:b w:val="1"/>
          <w:i w:val="1"/>
          <w:sz w:val="22"/>
          <w:szCs w:val="22"/>
          <w:rtl w:val="0"/>
        </w:rPr>
        <w:t xml:space="preserve">la exhaustividad significa que dicha respuesta se refiera expresamente a cada uno de los puntos solicitados</w:t>
      </w:r>
      <w:r w:rsidDel="00000000" w:rsidR="00000000" w:rsidRPr="00000000">
        <w:rPr>
          <w:i w:val="1"/>
          <w:sz w:val="22"/>
          <w:szCs w:val="22"/>
          <w:rtl w:val="0"/>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mérito de lo referido con antelación, lo pertinente era apuntar en el estudio que dentro de la estructura orgánica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Ayuntamiento de Ocoyoacac, se cuentan con un área encargada en estricto sentido de la seguridad pública y otra de la protección civil, sirve de mayor referencia la siguiente cita al Bando Municipal vigente:</w:t>
      </w:r>
    </w:p>
    <w:p w:rsidR="00000000" w:rsidDel="00000000" w:rsidP="00000000" w:rsidRDefault="00000000" w:rsidRPr="00000000" w14:paraId="00000048">
      <w:pPr>
        <w:spacing w:before="238" w:line="276" w:lineRule="auto"/>
        <w:ind w:left="1248" w:right="1015" w:firstLine="0"/>
        <w:jc w:val="both"/>
        <w:rPr>
          <w:i w:val="1"/>
          <w:sz w:val="22"/>
          <w:szCs w:val="22"/>
        </w:rPr>
      </w:pPr>
      <w:r w:rsidDel="00000000" w:rsidR="00000000" w:rsidRPr="00000000">
        <w:rPr>
          <w:i w:val="1"/>
          <w:sz w:val="22"/>
          <w:szCs w:val="22"/>
          <w:rtl w:val="0"/>
        </w:rPr>
        <w:t xml:space="preserve">Artículo 93. </w:t>
      </w:r>
      <w:r w:rsidDel="00000000" w:rsidR="00000000" w:rsidRPr="00000000">
        <w:rPr>
          <w:b w:val="1"/>
          <w:i w:val="1"/>
          <w:sz w:val="22"/>
          <w:szCs w:val="22"/>
          <w:rtl w:val="0"/>
        </w:rPr>
        <w:t xml:space="preserve">El Ayuntamiento, por conducto de la Dirección General de Seguridad Pública y Tránsito Municipal, garantizará el orden público y la paz social, así como la prevención del delito y el combate a la delincuencia, que preserve la integridad, la libertad y el patrimonio de las personas, la paz y el orden públicos</w:t>
      </w:r>
      <w:r w:rsidDel="00000000" w:rsidR="00000000" w:rsidRPr="00000000">
        <w:rPr>
          <w:i w:val="1"/>
          <w:sz w:val="22"/>
          <w:szCs w:val="22"/>
          <w:rtl w:val="0"/>
        </w:rPr>
        <w:t xml:space="preserve">, así como el Estado de derecho, y cuya actuación está apegada a los principios de legalidad, objetividad, eficiencia, profesionalismo y honradez, con pleno respeto a los derechos humanos de igual manera impulsando la cultura vial, controlando, organizando y ejecutando las actividades en dicha materia en las diversas vialidades de jurisdicción municipal, de conformidad con el Libro Octavo del Código Administrativo del Estado de México y demás disposiciones jurídicas aplicables. Además, será una atribución del Ayuntamiento en materia de seguridad pública, el de convocar, seleccionar, capacitar, supervisar y evaluar permanentemente al personal que integre la Dirección General de Seguridad Pública y Tránsito Municipal.</w:t>
      </w:r>
    </w:p>
    <w:p w:rsidR="00000000" w:rsidDel="00000000" w:rsidP="00000000" w:rsidRDefault="00000000" w:rsidRPr="00000000" w14:paraId="00000049">
      <w:pPr>
        <w:spacing w:before="240" w:lineRule="auto"/>
        <w:ind w:left="1248"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spacing w:before="1"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5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54">
      <w:pPr>
        <w:spacing w:before="272" w:line="276" w:lineRule="auto"/>
        <w:ind w:left="1248" w:right="1021" w:firstLine="0"/>
        <w:jc w:val="both"/>
        <w:rPr>
          <w:b w:val="1"/>
          <w:i w:val="1"/>
          <w:sz w:val="22"/>
          <w:szCs w:val="22"/>
        </w:rPr>
      </w:pPr>
      <w:r w:rsidDel="00000000" w:rsidR="00000000" w:rsidRPr="00000000">
        <w:rPr>
          <w:b w:val="1"/>
          <w:i w:val="1"/>
          <w:sz w:val="22"/>
          <w:szCs w:val="22"/>
          <w:rtl w:val="0"/>
        </w:rPr>
        <w:t xml:space="preserve">Artículo 102. El Sistema Municipal de Protección Civil se constituye como un conjunto de órganos, métodos y procedimientos que establece el Ayuntamiento a través de la Coordinación Municipal de Protección Civil y Bomberos.</w:t>
      </w:r>
    </w:p>
    <w:p w:rsidR="00000000" w:rsidDel="00000000" w:rsidP="00000000" w:rsidRDefault="00000000" w:rsidRPr="00000000" w14:paraId="00000055">
      <w:pPr>
        <w:spacing w:before="238" w:line="276" w:lineRule="auto"/>
        <w:ind w:left="1248" w:right="1017" w:firstLine="0"/>
        <w:jc w:val="both"/>
        <w:rPr>
          <w:i w:val="1"/>
          <w:sz w:val="22"/>
          <w:szCs w:val="22"/>
        </w:rPr>
      </w:pPr>
      <w:r w:rsidDel="00000000" w:rsidR="00000000" w:rsidRPr="00000000">
        <w:rPr>
          <w:i w:val="1"/>
          <w:sz w:val="22"/>
          <w:szCs w:val="22"/>
          <w:rtl w:val="0"/>
        </w:rPr>
        <w:t xml:space="preserve">Artículo 103. En apoyo a las actividades de la Coordinación Municipal de Protección Civil y Bomberos se instalará el Consejo Municipal de Protección Civil, el cual coordinará las acciones del sector público, social y privado para la prevención y el auxilio de siniestros.”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360" w:lineRule="auto"/>
        <w:ind w:left="682" w:right="16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tal suerte que al ser dos áreas administrativas diferentes, las cuales cuentan con sus particularidades pues atienden a fines totalmente distintos, es decir, el fin de la seguridad pública consiste en garantizar el orden público y la paz social, mientras que la protección civil encuentra su objetivo en la prevención y auxilio de siniestros, por lo que resulta erróneo otorgarle la calidad de elementos de seguridad pública a los encargados de la protección civil y con esto se refuerza la premisa señalada por la suscrita, consistente en que debieron analizarse de manera pormenorizada.</w:t>
      </w:r>
    </w:p>
    <w:p w:rsidR="00000000" w:rsidDel="00000000" w:rsidP="00000000" w:rsidRDefault="00000000" w:rsidRPr="00000000" w14:paraId="00000057">
      <w:pPr>
        <w:spacing w:before="242" w:line="360" w:lineRule="auto"/>
        <w:ind w:left="682" w:right="162" w:firstLine="0"/>
        <w:jc w:val="both"/>
        <w:rPr>
          <w:b w:val="1"/>
          <w:sz w:val="24"/>
          <w:szCs w:val="24"/>
        </w:rPr>
      </w:pPr>
      <w:r w:rsidDel="00000000" w:rsidR="00000000" w:rsidRPr="00000000">
        <w:rPr>
          <w:sz w:val="24"/>
          <w:szCs w:val="24"/>
          <w:rtl w:val="0"/>
        </w:rPr>
        <w:t xml:space="preserve">Por otra parte, no escapa de la óptica de la emisora del presente voto que en la resolución se ordena la entrega del número de elementos de seguridad pública al mayor grado de desagregación posible, sin embargo, al hablar de elementos pertenecientes a instituciones de seguridad pública con funciones operativas, debemos partir desde la máxima establecida en nuestro texto Constitucional Federal pues el artículo 21 en su párrafo noveno reconoce que la seguridad pública es una función del Estado a cargo de la Federación, las Entidades Federativas y </w:t>
      </w:r>
      <w:r w:rsidDel="00000000" w:rsidR="00000000" w:rsidRPr="00000000">
        <w:rPr>
          <w:b w:val="1"/>
          <w:sz w:val="24"/>
          <w:szCs w:val="24"/>
          <w:rtl w:val="0"/>
        </w:rPr>
        <w:t xml:space="preserve">los Municipios</w:t>
      </w:r>
      <w:r w:rsidDel="00000000" w:rsidR="00000000" w:rsidRPr="00000000">
        <w:rPr>
          <w:sz w:val="24"/>
          <w:szCs w:val="24"/>
          <w:rtl w:val="0"/>
        </w:rPr>
        <w:t xml:space="preserve">, </w:t>
      </w:r>
      <w:r w:rsidDel="00000000" w:rsidR="00000000" w:rsidRPr="00000000">
        <w:rPr>
          <w:b w:val="1"/>
          <w:sz w:val="24"/>
          <w:szCs w:val="24"/>
          <w:rtl w:val="0"/>
        </w:rPr>
        <w:t xml:space="preserve">cuyos fines son salvaguardar la vida, las libertades, la integridad y el patrimonio de las personas, así como contribuir a la generación y preservación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6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360" w:lineRule="auto"/>
        <w:ind w:left="682" w:right="16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del orden público y la paz social</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Asimismo, señala que la actuación de las instituciones de seguridad pública se regirá por los principios de legalidad, objetividad, eficiencia, profesionalismo, honradez y respeto a los derechos humanos.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682"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7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000000" w:rsidDel="00000000" w:rsidP="00000000" w:rsidRDefault="00000000" w:rsidRPr="00000000" w14:paraId="00000071">
      <w:pPr>
        <w:spacing w:before="237" w:lineRule="auto"/>
        <w:ind w:left="1534" w:right="1017" w:firstLine="0"/>
        <w:jc w:val="both"/>
        <w:rPr>
          <w:i w:val="1"/>
          <w:sz w:val="22"/>
          <w:szCs w:val="22"/>
        </w:rPr>
      </w:pPr>
      <w:r w:rsidDel="00000000" w:rsidR="00000000" w:rsidRPr="00000000">
        <w:rPr>
          <w:i w:val="1"/>
          <w:sz w:val="22"/>
          <w:szCs w:val="22"/>
          <w:rtl w:val="0"/>
        </w:rPr>
        <w:t xml:space="preserve">“</w:t>
      </w:r>
      <w:r w:rsidDel="00000000" w:rsidR="00000000" w:rsidRPr="00000000">
        <w:rPr>
          <w:b w:val="1"/>
          <w:i w:val="1"/>
          <w:sz w:val="22"/>
          <w:szCs w:val="22"/>
          <w:rtl w:val="0"/>
        </w:rPr>
        <w:t xml:space="preserve">Artículo 81.- </w:t>
      </w:r>
      <w:r w:rsidDel="00000000" w:rsidR="00000000" w:rsidRPr="00000000">
        <w:rPr>
          <w:i w:val="1"/>
          <w:sz w:val="22"/>
          <w:szCs w:val="22"/>
          <w:rtl w:val="0"/>
        </w:rPr>
        <w:t xml:space="preserve">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000000" w:rsidDel="00000000" w:rsidP="00000000" w:rsidRDefault="00000000" w:rsidRPr="00000000" w14:paraId="00000072">
      <w:pPr>
        <w:spacing w:before="2" w:lineRule="auto"/>
        <w:ind w:left="1534"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73">
      <w:pPr>
        <w:spacing w:before="1" w:lineRule="auto"/>
        <w:ind w:left="1534" w:right="1017" w:firstLine="0"/>
        <w:jc w:val="both"/>
        <w:rPr>
          <w:b w:val="1"/>
          <w:i w:val="1"/>
          <w:sz w:val="22"/>
          <w:szCs w:val="22"/>
        </w:rPr>
      </w:pPr>
      <w:r w:rsidDel="00000000" w:rsidR="00000000" w:rsidRPr="00000000">
        <w:rPr>
          <w:b w:val="1"/>
          <w:i w:val="1"/>
          <w:sz w:val="22"/>
          <w:szCs w:val="22"/>
          <w:u w:val="single"/>
          <w:rtl w:val="0"/>
        </w:rPr>
        <w:t xml:space="preserve">II. Aquella cuya revelación pueda ser utilizada para actualizar o</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potenciar una amenaza a la seguridad pública o a las instituciones del</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Estado de México ;</w:t>
      </w:r>
      <w:r w:rsidDel="00000000" w:rsidR="00000000" w:rsidRPr="00000000">
        <w:rPr>
          <w:b w:val="1"/>
          <w:i w:val="1"/>
          <w:sz w:val="22"/>
          <w:szCs w:val="22"/>
          <w:rtl w:val="0"/>
        </w:rPr>
        <w:t xml:space="preserv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8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spacing w:before="0" w:lineRule="auto"/>
        <w:ind w:left="1534" w:right="0" w:firstLine="0"/>
        <w:jc w:val="left"/>
        <w:rPr>
          <w:b w:val="1"/>
          <w:sz w:val="22"/>
          <w:szCs w:val="22"/>
        </w:rPr>
      </w:pPr>
      <w:r w:rsidDel="00000000" w:rsidR="00000000" w:rsidRPr="00000000">
        <w:rPr>
          <w:b w:val="1"/>
          <w:sz w:val="22"/>
          <w:szCs w:val="22"/>
          <w:rtl w:val="0"/>
        </w:rPr>
        <w:t xml:space="preserve">“Ley General de Transparencia y Acceso a la Información Pública:</w:t>
      </w:r>
    </w:p>
    <w:p w:rsidR="00000000" w:rsidDel="00000000" w:rsidP="00000000" w:rsidRDefault="00000000" w:rsidRPr="00000000" w14:paraId="00000081">
      <w:pPr>
        <w:spacing w:before="267" w:line="278.00000000000006" w:lineRule="auto"/>
        <w:ind w:left="1248" w:right="1020" w:firstLine="0"/>
        <w:jc w:val="both"/>
        <w:rPr>
          <w:i w:val="1"/>
          <w:sz w:val="22"/>
          <w:szCs w:val="22"/>
        </w:rPr>
      </w:pPr>
      <w:r w:rsidDel="00000000" w:rsidR="00000000" w:rsidRPr="00000000">
        <w:rPr>
          <w:b w:val="1"/>
          <w:i w:val="1"/>
          <w:sz w:val="22"/>
          <w:szCs w:val="22"/>
          <w:rtl w:val="0"/>
        </w:rPr>
        <w:t xml:space="preserve">Artículo 113</w:t>
      </w:r>
      <w:r w:rsidDel="00000000" w:rsidR="00000000" w:rsidRPr="00000000">
        <w:rPr>
          <w:i w:val="1"/>
          <w:sz w:val="22"/>
          <w:szCs w:val="22"/>
          <w:rtl w:val="0"/>
        </w:rPr>
        <w:t xml:space="preserve">. Como información reservada podrá clasificarse aquella cuya publicación:</w:t>
      </w:r>
    </w:p>
    <w:p w:rsidR="00000000" w:rsidDel="00000000" w:rsidP="00000000" w:rsidRDefault="00000000" w:rsidRPr="00000000" w14:paraId="00000082">
      <w:pPr>
        <w:spacing w:before="118" w:line="273" w:lineRule="auto"/>
        <w:ind w:left="1248" w:right="1020" w:firstLine="0"/>
        <w:jc w:val="both"/>
        <w:rPr>
          <w:i w:val="1"/>
          <w:sz w:val="22"/>
          <w:szCs w:val="22"/>
        </w:rPr>
      </w:pPr>
      <w:r w:rsidDel="00000000" w:rsidR="00000000" w:rsidRPr="00000000">
        <w:rPr>
          <w:b w:val="1"/>
          <w:i w:val="1"/>
          <w:sz w:val="22"/>
          <w:szCs w:val="22"/>
          <w:rtl w:val="0"/>
        </w:rPr>
        <w:t xml:space="preserve">I. Comprometa la seguridad nacional, la seguridad pública o la defensa nacional y cuente con un propósito genuino y un efecto demostrable</w:t>
      </w:r>
      <w:r w:rsidDel="00000000" w:rsidR="00000000" w:rsidRPr="00000000">
        <w:rPr>
          <w:i w:val="1"/>
          <w:sz w:val="22"/>
          <w:szCs w:val="22"/>
          <w:rtl w:val="0"/>
        </w:rPr>
        <w:t xml:space="preserve">;”</w:t>
      </w:r>
    </w:p>
    <w:p w:rsidR="00000000" w:rsidDel="00000000" w:rsidP="00000000" w:rsidRDefault="00000000" w:rsidRPr="00000000" w14:paraId="00000083">
      <w:pPr>
        <w:spacing w:before="122" w:line="276" w:lineRule="auto"/>
        <w:ind w:left="1248" w:right="1020" w:firstLine="0"/>
        <w:jc w:val="both"/>
        <w:rPr>
          <w:b w:val="1"/>
          <w:sz w:val="22"/>
          <w:szCs w:val="22"/>
        </w:rPr>
      </w:pPr>
      <w:r w:rsidDel="00000000" w:rsidR="00000000" w:rsidRPr="00000000">
        <w:rPr>
          <w:b w:val="1"/>
          <w:sz w:val="22"/>
          <w:szCs w:val="22"/>
          <w:rtl w:val="0"/>
        </w:rPr>
        <w:t xml:space="preserve">“Ley de Transparencia y Acceso a la Información Pública del Estado de México y Municipios:</w:t>
      </w:r>
    </w:p>
    <w:p w:rsidR="00000000" w:rsidDel="00000000" w:rsidP="00000000" w:rsidRDefault="00000000" w:rsidRPr="00000000" w14:paraId="00000084">
      <w:pPr>
        <w:spacing w:before="122" w:line="276" w:lineRule="auto"/>
        <w:ind w:left="1248" w:right="1018" w:firstLine="0"/>
        <w:jc w:val="both"/>
        <w:rPr>
          <w:i w:val="1"/>
          <w:sz w:val="22"/>
          <w:szCs w:val="22"/>
        </w:rPr>
      </w:pPr>
      <w:r w:rsidDel="00000000" w:rsidR="00000000" w:rsidRPr="00000000">
        <w:rPr>
          <w:b w:val="1"/>
          <w:i w:val="1"/>
          <w:sz w:val="22"/>
          <w:szCs w:val="22"/>
          <w:rtl w:val="0"/>
        </w:rPr>
        <w:t xml:space="preserve">Artículo 140</w:t>
      </w:r>
      <w:r w:rsidDel="00000000" w:rsidR="00000000" w:rsidRPr="00000000">
        <w:rPr>
          <w:i w:val="1"/>
          <w:sz w:val="22"/>
          <w:szCs w:val="22"/>
          <w:rtl w:val="0"/>
        </w:rPr>
        <w:t xml:space="preserve">. 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085">
      <w:pPr>
        <w:spacing w:before="121" w:line="276" w:lineRule="auto"/>
        <w:ind w:left="1248" w:right="1018" w:firstLine="0"/>
        <w:jc w:val="both"/>
        <w:rPr>
          <w:i w:val="1"/>
          <w:sz w:val="22"/>
          <w:szCs w:val="22"/>
        </w:rPr>
      </w:pPr>
      <w:r w:rsidDel="00000000" w:rsidR="00000000" w:rsidRPr="00000000">
        <w:rPr>
          <w:b w:val="1"/>
          <w:i w:val="1"/>
          <w:sz w:val="22"/>
          <w:szCs w:val="22"/>
          <w:rtl w:val="0"/>
        </w:rPr>
        <w:t xml:space="preserve">I. Comprometa la seguridad pública y cuente con un propósito genuino y un efecto demostrable</w:t>
      </w:r>
      <w:r w:rsidDel="00000000" w:rsidR="00000000" w:rsidRPr="00000000">
        <w:rPr>
          <w:i w:val="1"/>
          <w:sz w:val="22"/>
          <w:szCs w:val="22"/>
          <w:rtl w:val="0"/>
        </w:rPr>
        <w:t xml:space="preserv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000000" w:rsidDel="00000000" w:rsidP="00000000" w:rsidRDefault="00000000" w:rsidRPr="00000000" w14:paraId="00000087">
      <w:pPr>
        <w:spacing w:before="238" w:line="360" w:lineRule="auto"/>
        <w:ind w:left="682" w:right="116" w:firstLine="0"/>
        <w:jc w:val="both"/>
        <w:rPr>
          <w:b w:val="1"/>
          <w:sz w:val="24"/>
          <w:szCs w:val="24"/>
        </w:rPr>
      </w:pPr>
      <w:r w:rsidDel="00000000" w:rsidR="00000000" w:rsidRPr="00000000">
        <w:rPr>
          <w:sz w:val="24"/>
          <w:szCs w:val="24"/>
          <w:rtl w:val="0"/>
        </w:rPr>
        <w:t xml:space="preserve">Es crucial señalar que estos Lineamientos señalan </w:t>
      </w:r>
      <w:r w:rsidDel="00000000" w:rsidR="00000000" w:rsidRPr="00000000">
        <w:rPr>
          <w:b w:val="1"/>
          <w:sz w:val="24"/>
          <w:szCs w:val="24"/>
          <w:u w:val="single"/>
          <w:rtl w:val="0"/>
        </w:rPr>
        <w:t xml:space="preserve">que es susceptible de</w:t>
      </w:r>
      <w:r w:rsidDel="00000000" w:rsidR="00000000" w:rsidRPr="00000000">
        <w:rPr>
          <w:b w:val="1"/>
          <w:sz w:val="24"/>
          <w:szCs w:val="24"/>
          <w:rtl w:val="0"/>
        </w:rPr>
        <w:t xml:space="preserve"> </w:t>
      </w:r>
      <w:r w:rsidDel="00000000" w:rsidR="00000000" w:rsidRPr="00000000">
        <w:rPr>
          <w:b w:val="1"/>
          <w:sz w:val="24"/>
          <w:szCs w:val="24"/>
          <w:u w:val="single"/>
          <w:rtl w:val="0"/>
        </w:rPr>
        <w:t xml:space="preserve">considerarse como reservada aquella que revele datos que pudieran ser</w:t>
      </w:r>
      <w:r w:rsidDel="00000000" w:rsidR="00000000" w:rsidRPr="00000000">
        <w:rPr>
          <w:b w:val="1"/>
          <w:sz w:val="24"/>
          <w:szCs w:val="24"/>
          <w:rtl w:val="0"/>
        </w:rPr>
        <w:t xml:space="preserve"> </w:t>
      </w:r>
      <w:r w:rsidDel="00000000" w:rsidR="00000000" w:rsidRPr="00000000">
        <w:rPr>
          <w:b w:val="1"/>
          <w:sz w:val="24"/>
          <w:szCs w:val="24"/>
          <w:u w:val="single"/>
          <w:rtl w:val="0"/>
        </w:rPr>
        <w:t xml:space="preserve">aprovechados  para  conocer  la  capacidad  de  reacción  de  las  instituciones</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spacing w:before="1"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9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3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91">
      <w:pPr>
        <w:tabs>
          <w:tab w:val="left" w:leader="none" w:pos="2112"/>
          <w:tab w:val="left" w:leader="none" w:pos="2596"/>
          <w:tab w:val="left" w:leader="none" w:pos="3014"/>
          <w:tab w:val="left" w:leader="none" w:pos="4324"/>
          <w:tab w:val="left" w:leader="none" w:pos="5427"/>
          <w:tab w:val="left" w:leader="none" w:pos="5993"/>
          <w:tab w:val="left" w:leader="none" w:pos="6960"/>
          <w:tab w:val="left" w:leader="none" w:pos="8365"/>
        </w:tabs>
        <w:spacing w:before="271" w:lineRule="auto"/>
        <w:ind w:left="682" w:right="0" w:firstLine="0"/>
        <w:jc w:val="left"/>
        <w:rPr>
          <w:sz w:val="24"/>
          <w:szCs w:val="24"/>
        </w:rPr>
      </w:pPr>
      <w:r w:rsidDel="00000000" w:rsidR="00000000" w:rsidRPr="00000000">
        <w:rPr>
          <w:b w:val="1"/>
          <w:sz w:val="24"/>
          <w:szCs w:val="24"/>
          <w:u w:val="single"/>
          <w:rtl w:val="0"/>
        </w:rPr>
        <w:t xml:space="preserve">encargadas</w:t>
        <w:tab/>
        <w:t xml:space="preserve">de</w:t>
        <w:tab/>
        <w:t xml:space="preserve">la</w:t>
        <w:tab/>
        <w:t xml:space="preserve">seguridad</w:t>
        <w:tab/>
        <w:t xml:space="preserve">pública</w:t>
      </w:r>
      <w:r w:rsidDel="00000000" w:rsidR="00000000" w:rsidRPr="00000000">
        <w:rPr>
          <w:sz w:val="24"/>
          <w:szCs w:val="24"/>
          <w:rtl w:val="0"/>
        </w:rPr>
        <w:t xml:space="preserve">,</w:t>
        <w:tab/>
        <w:t xml:space="preserve">sus</w:t>
        <w:tab/>
        <w:t xml:space="preserve">planes,</w:t>
        <w:tab/>
        <w:t xml:space="preserve">estrategias,</w:t>
        <w:tab/>
        <w:t xml:space="preserve">tecnología,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información, sistemas de comunicaciones.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conclusión, la reserva del personal operativo procede por dos circunstancias: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57"/>
        </w:tabs>
        <w:spacing w:after="0" w:before="1" w:line="360" w:lineRule="auto"/>
        <w:ind w:left="965" w:right="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identifica en términos concretos cómo es que la información requerida podría comprometer el ejercicio de sus facultades constitucionales y, con ello, la seguridad pública, en virtud de que: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10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4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A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s>
        <w:spacing w:after="0" w:before="273" w:line="360" w:lineRule="auto"/>
        <w:ind w:left="1248" w:right="11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información podría ser aprovechada por los grupos criminales para conocer la capacidad de reacción</w:t>
      </w:r>
    </w:p>
    <w:p w:rsidR="00000000" w:rsidDel="00000000" w:rsidP="00000000" w:rsidRDefault="00000000" w:rsidRPr="00000000" w14:paraId="000000A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20"/>
        </w:tabs>
        <w:spacing w:after="0" w:before="241" w:line="360" w:lineRule="auto"/>
        <w:ind w:left="1248"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dicha información se revelarían a detalle las características funcionales del personal y con ello, su organización para el cumplimiento de sus funciones; y</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55"/>
        </w:tabs>
        <w:spacing w:after="0" w:before="240" w:line="360" w:lineRule="auto"/>
        <w:ind w:left="965"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Existe una relación causal general entre la entrega de la información y la afectación a la seguridad pública, pues los grupos criminales estarían en posibilidad de obstaculizar o bloquear actividades encaminadas a preservar el orden dentro de la dinámica social.</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0" w:lineRule="auto"/>
        <w:ind w:left="682" w:right="11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tanto, entre mayor información se dé a conocer respecto del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estado de fuerza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que cuentan el Estado y Municipios, mayor es la probabilidad de que la información pueda implementarse como medio para actualizar o potenciar una amenaza en contra de la seguridad pública de los mismos.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25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aunado a que no se hace una distinción entre el número de personal operativo y administrativo, por lo tanto, resultaría procedente su entrega.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2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consecuencia, la información de los elementos operativos adscrito a instituciones de seguridad pública, deben recibir un tratamiento de carácter excepcional, y esto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spacing w:before="1"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11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4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spacing w:before="0" w:lineRule="auto"/>
        <w:ind w:left="4587" w:right="111" w:firstLine="3110.0000000000005"/>
        <w:jc w:val="left"/>
        <w:rPr>
          <w:b w:val="1"/>
          <w:sz w:val="20"/>
          <w:szCs w:val="20"/>
        </w:rPr>
      </w:pPr>
      <w:r w:rsidDel="00000000" w:rsidR="00000000" w:rsidRPr="00000000">
        <w:rPr>
          <w:b w:val="1"/>
          <w:sz w:val="20"/>
          <w:szCs w:val="20"/>
          <w:rtl w:val="0"/>
        </w:rPr>
        <w:t xml:space="preserve">VOTO DISIDENTE RECURSO DE REVISIÓN 03920/INFOEM/IP/RR/2023</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en razón de que, son los responsables de procurar el orden, la estabilidad y la defensa de la sociedad a la que pertenecen, por lo que, se estima que al 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w:t>
      </w:r>
    </w:p>
    <w:p w:rsidR="00000000" w:rsidDel="00000000" w:rsidP="00000000" w:rsidRDefault="00000000" w:rsidRPr="00000000" w14:paraId="000000B1">
      <w:pPr>
        <w:spacing w:before="240" w:line="360" w:lineRule="auto"/>
        <w:ind w:left="682" w:right="25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 manera que con lo expuesto anteriormente, se acreditó de manera fehaciente que esta información debe ser reservada pues su entrega revela datos que pudieran ser aprovechados para conocer la capacidad de reacción de las instituciones encargadas de la seguridad pública y </w:t>
      </w:r>
      <w:r w:rsidDel="00000000" w:rsidR="00000000" w:rsidRPr="00000000">
        <w:rPr>
          <w:b w:val="1"/>
          <w:sz w:val="24"/>
          <w:szCs w:val="24"/>
          <w:u w:val="single"/>
          <w:rtl w:val="0"/>
        </w:rPr>
        <w:t xml:space="preserve">facilitaría a las células delictivas el</w:t>
      </w:r>
      <w:r w:rsidDel="00000000" w:rsidR="00000000" w:rsidRPr="00000000">
        <w:rPr>
          <w:b w:val="1"/>
          <w:sz w:val="24"/>
          <w:szCs w:val="24"/>
          <w:rtl w:val="0"/>
        </w:rPr>
        <w:t xml:space="preserve"> </w:t>
      </w:r>
      <w:r w:rsidDel="00000000" w:rsidR="00000000" w:rsidRPr="00000000">
        <w:rPr>
          <w:b w:val="1"/>
          <w:sz w:val="24"/>
          <w:szCs w:val="24"/>
          <w:u w:val="single"/>
          <w:rtl w:val="0"/>
        </w:rPr>
        <w:t xml:space="preserve">neutralizar las acciones implementadas o por implementar para la preservación</w:t>
      </w:r>
      <w:r w:rsidDel="00000000" w:rsidR="00000000" w:rsidRPr="00000000">
        <w:rPr>
          <w:b w:val="1"/>
          <w:sz w:val="24"/>
          <w:szCs w:val="24"/>
          <w:rtl w:val="0"/>
        </w:rPr>
        <w:t xml:space="preserve"> </w:t>
      </w:r>
      <w:r w:rsidDel="00000000" w:rsidR="00000000" w:rsidRPr="00000000">
        <w:rPr>
          <w:b w:val="1"/>
          <w:sz w:val="24"/>
          <w:szCs w:val="24"/>
          <w:u w:val="single"/>
          <w:rtl w:val="0"/>
        </w:rPr>
        <w:t xml:space="preserve">de la paz pública, afectando así su estado de fuerza, o bien les permita </w:t>
      </w:r>
      <w:r w:rsidDel="00000000" w:rsidR="00000000" w:rsidRPr="00000000">
        <w:rPr>
          <w:sz w:val="24"/>
          <w:szCs w:val="24"/>
          <w:rtl w:val="0"/>
        </w:rPr>
        <w:t xml:space="preserve">realizar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disidente.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12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13</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32"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0" y="92627"/>
                              <a:ext cx="7379208" cy="715518"/>
                            </a:xfrm>
                            <a:prstGeom prst="rect">
                              <a:avLst/>
                            </a:prstGeom>
                            <a:noFill/>
                            <a:ln>
                              <a:noFill/>
                            </a:ln>
                          </pic:spPr>
                        </pic:pic>
                        <wps:wsp>
                          <wps:cNvSpPr/>
                          <wps:cNvPr id="5" name="Shape 5"/>
                          <wps:spPr>
                            <a:xfrm>
                              <a:off x="6045200" y="0"/>
                              <a:ext cx="929640" cy="135255"/>
                            </a:xfrm>
                            <a:prstGeom prst="rect">
                              <a:avLst/>
                            </a:prstGeom>
                            <a:no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13 de 13</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3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86757" cy="700944"/>
            <wp:effectExtent b="0" l="0" r="0" t="0"/>
            <wp:docPr id="4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spacing w:before="0"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65" w:hanging="293"/>
      </w:pPr>
      <w:rPr>
        <w:rFonts w:ascii="Palatino Linotype" w:cs="Palatino Linotype" w:eastAsia="Palatino Linotype" w:hAnsi="Palatino Linotype"/>
        <w:b w:val="0"/>
        <w:i w:val="0"/>
        <w:sz w:val="24"/>
        <w:szCs w:val="24"/>
      </w:rPr>
    </w:lvl>
    <w:lvl w:ilvl="1">
      <w:start w:val="1"/>
      <w:numFmt w:val="lowerLetter"/>
      <w:lvlText w:val="%2)"/>
      <w:lvlJc w:val="left"/>
      <w:pPr>
        <w:ind w:left="1248" w:hanging="312"/>
      </w:pPr>
      <w:rPr>
        <w:rFonts w:ascii="Palatino Linotype" w:cs="Palatino Linotype" w:eastAsia="Palatino Linotype" w:hAnsi="Palatino Linotype"/>
        <w:b w:val="0"/>
        <w:i w:val="0"/>
        <w:sz w:val="24"/>
        <w:szCs w:val="24"/>
      </w:rPr>
    </w:lvl>
    <w:lvl w:ilvl="2">
      <w:start w:val="0"/>
      <w:numFmt w:val="bullet"/>
      <w:lvlText w:val="•"/>
      <w:lvlJc w:val="left"/>
      <w:pPr>
        <w:ind w:left="2173" w:hanging="311.9999999999998"/>
      </w:pPr>
      <w:rPr/>
    </w:lvl>
    <w:lvl w:ilvl="3">
      <w:start w:val="0"/>
      <w:numFmt w:val="bullet"/>
      <w:lvlText w:val="•"/>
      <w:lvlJc w:val="left"/>
      <w:pPr>
        <w:ind w:left="3106" w:hanging="311.99999999999955"/>
      </w:pPr>
      <w:rPr/>
    </w:lvl>
    <w:lvl w:ilvl="4">
      <w:start w:val="0"/>
      <w:numFmt w:val="bullet"/>
      <w:lvlText w:val="•"/>
      <w:lvlJc w:val="left"/>
      <w:pPr>
        <w:ind w:left="4040" w:hanging="312"/>
      </w:pPr>
      <w:rPr/>
    </w:lvl>
    <w:lvl w:ilvl="5">
      <w:start w:val="0"/>
      <w:numFmt w:val="bullet"/>
      <w:lvlText w:val="•"/>
      <w:lvlJc w:val="left"/>
      <w:pPr>
        <w:ind w:left="4973" w:hanging="312"/>
      </w:pPr>
      <w:rPr/>
    </w:lvl>
    <w:lvl w:ilvl="6">
      <w:start w:val="0"/>
      <w:numFmt w:val="bullet"/>
      <w:lvlText w:val="•"/>
      <w:lvlJc w:val="left"/>
      <w:pPr>
        <w:ind w:left="5906" w:hanging="312"/>
      </w:pPr>
      <w:rPr/>
    </w:lvl>
    <w:lvl w:ilvl="7">
      <w:start w:val="0"/>
      <w:numFmt w:val="bullet"/>
      <w:lvlText w:val="•"/>
      <w:lvlJc w:val="left"/>
      <w:pPr>
        <w:ind w:left="6840" w:hanging="312"/>
      </w:pPr>
      <w:rPr/>
    </w:lvl>
    <w:lvl w:ilvl="8">
      <w:start w:val="0"/>
      <w:numFmt w:val="bullet"/>
      <w:lvlText w:val="•"/>
      <w:lvlJc w:val="left"/>
      <w:pPr>
        <w:ind w:left="7773" w:hanging="312.0000000000009"/>
      </w:pPr>
      <w:rPr/>
    </w:lvl>
  </w:abstractNum>
  <w:abstractNum w:abstractNumId="2">
    <w:lvl w:ilvl="0">
      <w:start w:val="1"/>
      <w:numFmt w:val="upperRoman"/>
      <w:lvlText w:val="%1."/>
      <w:lvlJc w:val="left"/>
      <w:pPr>
        <w:ind w:left="823" w:hanging="284"/>
      </w:pPr>
      <w:rPr>
        <w:rFonts w:ascii="Palatino Linotype" w:cs="Palatino Linotype" w:eastAsia="Palatino Linotype" w:hAnsi="Palatino Linotype"/>
        <w:b w:val="1"/>
        <w:i w:val="0"/>
        <w:sz w:val="24"/>
        <w:szCs w:val="24"/>
      </w:rPr>
    </w:lvl>
    <w:lvl w:ilvl="1">
      <w:start w:val="0"/>
      <w:numFmt w:val="bullet"/>
      <w:lvlText w:val="•"/>
      <w:lvlJc w:val="left"/>
      <w:pPr>
        <w:ind w:left="1702" w:hanging="284.0000000000002"/>
      </w:pPr>
      <w:rPr/>
    </w:lvl>
    <w:lvl w:ilvl="2">
      <w:start w:val="0"/>
      <w:numFmt w:val="bullet"/>
      <w:lvlText w:val="•"/>
      <w:lvlJc w:val="left"/>
      <w:pPr>
        <w:ind w:left="2584" w:hanging="284.00000000000045"/>
      </w:pPr>
      <w:rPr/>
    </w:lvl>
    <w:lvl w:ilvl="3">
      <w:start w:val="0"/>
      <w:numFmt w:val="bullet"/>
      <w:lvlText w:val="•"/>
      <w:lvlJc w:val="left"/>
      <w:pPr>
        <w:ind w:left="3466" w:hanging="283.99999999999955"/>
      </w:pPr>
      <w:rPr/>
    </w:lvl>
    <w:lvl w:ilvl="4">
      <w:start w:val="0"/>
      <w:numFmt w:val="bullet"/>
      <w:lvlText w:val="•"/>
      <w:lvlJc w:val="left"/>
      <w:pPr>
        <w:ind w:left="4348" w:hanging="283.99999999999955"/>
      </w:pPr>
      <w:rPr/>
    </w:lvl>
    <w:lvl w:ilvl="5">
      <w:start w:val="0"/>
      <w:numFmt w:val="bullet"/>
      <w:lvlText w:val="•"/>
      <w:lvlJc w:val="left"/>
      <w:pPr>
        <w:ind w:left="5230" w:hanging="284"/>
      </w:pPr>
      <w:rPr/>
    </w:lvl>
    <w:lvl w:ilvl="6">
      <w:start w:val="0"/>
      <w:numFmt w:val="bullet"/>
      <w:lvlText w:val="•"/>
      <w:lvlJc w:val="left"/>
      <w:pPr>
        <w:ind w:left="6112" w:hanging="283.9999999999991"/>
      </w:pPr>
      <w:rPr/>
    </w:lvl>
    <w:lvl w:ilvl="7">
      <w:start w:val="0"/>
      <w:numFmt w:val="bullet"/>
      <w:lvlText w:val="•"/>
      <w:lvlJc w:val="left"/>
      <w:pPr>
        <w:ind w:left="6994" w:hanging="284"/>
      </w:pPr>
      <w:rPr/>
    </w:lvl>
    <w:lvl w:ilvl="8">
      <w:start w:val="0"/>
      <w:numFmt w:val="bullet"/>
      <w:lvlText w:val="•"/>
      <w:lvlJc w:val="left"/>
      <w:pPr>
        <w:ind w:left="7876" w:hanging="2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82" w:hanging="435"/>
      <w:jc w:val="both"/>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682" w:hanging="435"/>
      <w:jc w:val="both"/>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spacing w:before="1"/>
      <w:ind w:left="965"/>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7Vdi5yRmXAA1iGMygg6gGIsSA==">CgMxLjA4AHIhMXpjdjVrdFlwZ3F4WWY3Y1BkQUVPeUt4cUVEalJrQjhI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2024-08-29T23:46:53Z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2023-10-30T00:00:00Z</vt:lpwstr>
  </property>
  <property fmtid="{D5CDD505-2E9C-101B-9397-08002B2CF9AE}" pid="3" name="Creator">
    <vt:lpwstr>Microsoft® Word 2013</vt:lpwstr>
  </property>
  <property fmtid="{D5CDD505-2E9C-101B-9397-08002B2CF9AE}" pid="4" name="LastSaved">
    <vt:lpwstr>2024-08-29T00:00:00Z</vt:lpwstr>
  </property>
  <property fmtid="{D5CDD505-2E9C-101B-9397-08002B2CF9AE}" pid="5" name="Producer">
    <vt:lpwstr>Microsoft® Word 2013; modified using iText® 5.5.13 ©2000-2018 iText Group NV (AGPL-version)</vt:lpwstr>
  </property>
</Properties>
</file>