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b w:val="1"/>
          <w:sz w:val="24"/>
          <w:szCs w:val="24"/>
        </w:rPr>
      </w:pPr>
      <w:bookmarkStart w:colFirst="0" w:colLast="0" w:name="_heading=h.gjdgxs" w:id="0"/>
      <w:bookmarkEnd w:id="0"/>
      <w:r w:rsidDel="00000000" w:rsidR="00000000" w:rsidRPr="00000000">
        <w:rPr>
          <w:rFonts w:ascii="Palatino Linotype" w:cs="Palatino Linotype" w:eastAsia="Palatino Linotype" w:hAnsi="Palatino Linotype"/>
          <w:b w:val="1"/>
          <w:sz w:val="24"/>
          <w:szCs w:val="24"/>
          <w:rtl w:val="0"/>
        </w:rPr>
        <w:t xml:space="preserve">VOTO DISIDENTE QUE FORMULA LA COMISIONADA GUADALUPE RAMÍREZ PEÑA, EN RELACIÓN CON LA RESOLUCIÓN DICTADA POR EL PLENO DEL INSTITUTO DE TRANSPARENCIA, ACCESO A LA INFORMACIÓN PÚBLICA Y PROTECCIÓN DE DATOS PERSONALES DEL ESTADO DE MÉXICO Y MUNICIPIOS, EN LA TRIGÉSIMA NOVENA SESIÓN ORDINARIA CELEBRADA EL UNO DE NOVIEMBRE DE DOS MIL VEINTITRÉS, EN LOS RECURSOS DE REVISIÓN 02055/INFOEM/IP/RR/2023 Y ACUMULADOS.  </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Con fundamento en lo dispuesto por el artículo 14, fracciones X y XI, del Reglamento del Instituto de Transparencia, Acceso a la Información Pública y Protección de Datos Personales del Estado de México, la Comisionada Guadalupe Ramírez Peña, emite </w:t>
      </w:r>
      <w:r w:rsidDel="00000000" w:rsidR="00000000" w:rsidRPr="00000000">
        <w:rPr>
          <w:rFonts w:ascii="Palatino Linotype" w:cs="Palatino Linotype" w:eastAsia="Palatino Linotype" w:hAnsi="Palatino Linotype"/>
          <w:b w:val="1"/>
          <w:sz w:val="24"/>
          <w:szCs w:val="24"/>
          <w:rtl w:val="0"/>
        </w:rPr>
        <w:t xml:space="preserve">VOTO DISIDENTE </w:t>
      </w:r>
      <w:r w:rsidDel="00000000" w:rsidR="00000000" w:rsidRPr="00000000">
        <w:rPr>
          <w:rFonts w:ascii="Palatino Linotype" w:cs="Palatino Linotype" w:eastAsia="Palatino Linotype" w:hAnsi="Palatino Linotype"/>
          <w:sz w:val="24"/>
          <w:szCs w:val="24"/>
          <w:rtl w:val="0"/>
        </w:rPr>
        <w:t xml:space="preserve">respecto a la resolución dictada en los recursos de revisión número </w:t>
      </w:r>
      <w:r w:rsidDel="00000000" w:rsidR="00000000" w:rsidRPr="00000000">
        <w:rPr>
          <w:rFonts w:ascii="Palatino Linotype" w:cs="Palatino Linotype" w:eastAsia="Palatino Linotype" w:hAnsi="Palatino Linotype"/>
          <w:b w:val="1"/>
          <w:sz w:val="24"/>
          <w:szCs w:val="24"/>
          <w:rtl w:val="0"/>
        </w:rPr>
        <w:t xml:space="preserve">02055/INFOEM/IP/RR/2023 y acumulados  </w:t>
      </w:r>
      <w:r w:rsidDel="00000000" w:rsidR="00000000" w:rsidRPr="00000000">
        <w:rPr>
          <w:rFonts w:ascii="Palatino Linotype" w:cs="Palatino Linotype" w:eastAsia="Palatino Linotype" w:hAnsi="Palatino Linotype"/>
          <w:sz w:val="24"/>
          <w:szCs w:val="24"/>
          <w:rtl w:val="0"/>
        </w:rPr>
        <w:t xml:space="preserve">pronunciada por el Pleno de este Instituto ante el proyecto presentado por el Comisionado Presidente José Martínez Vilchis, el cual se formuló, conforme al tenor siguiente:</w:t>
      </w:r>
      <w:r w:rsidDel="00000000" w:rsidR="00000000" w:rsidRPr="00000000">
        <w:rPr>
          <w:rtl w:val="0"/>
        </w:rPr>
      </w:r>
    </w:p>
    <w:p w:rsidR="00000000" w:rsidDel="00000000" w:rsidP="00000000" w:rsidRDefault="00000000" w:rsidRPr="00000000" w14:paraId="00000003">
      <w:pPr>
        <w:numPr>
          <w:ilvl w:val="0"/>
          <w:numId w:val="6"/>
        </w:numPr>
        <w:spacing w:after="240" w:before="240" w:line="360" w:lineRule="auto"/>
        <w:ind w:left="567" w:hanging="141"/>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Antecedentes.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el asunto que nos ocupa,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presentó ante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las solicitudes de información </w:t>
      </w:r>
      <w:r w:rsidDel="00000000" w:rsidR="00000000" w:rsidRPr="00000000">
        <w:rPr>
          <w:rFonts w:ascii="Palatino Linotype" w:cs="Palatino Linotype" w:eastAsia="Palatino Linotype" w:hAnsi="Palatino Linotype"/>
          <w:b w:val="1"/>
          <w:sz w:val="24"/>
          <w:szCs w:val="24"/>
          <w:rtl w:val="0"/>
        </w:rPr>
        <w:t xml:space="preserve">00241/SE/IP/2023, 00239/SE/IP/2023 y 00242/SE/IP/2023 </w:t>
      </w:r>
      <w:r w:rsidDel="00000000" w:rsidR="00000000" w:rsidRPr="00000000">
        <w:rPr>
          <w:rFonts w:ascii="Palatino Linotype" w:cs="Palatino Linotype" w:eastAsia="Palatino Linotype" w:hAnsi="Palatino Linotype"/>
          <w:sz w:val="24"/>
          <w:szCs w:val="24"/>
          <w:rtl w:val="0"/>
        </w:rPr>
        <w:t xml:space="preserve"> en las que requirió:</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360" w:lineRule="auto"/>
        <w:ind w:left="720" w:right="-142" w:hanging="360"/>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Se me informe de manera clara, precisa debidamente fundada y porque razón la persona referida en la solicitud, funge como Titular de la Unidad de Transparencia si tiene plaza docente según informaron en solicitud diversa, petición que se hace con fundamento en el artículo 8 de la Constitución Política de los estados  Unidos Mexicanos, para ser presentada ante otra autoridad</w:t>
      </w:r>
      <w:r w:rsidDel="00000000" w:rsidR="00000000" w:rsidRPr="00000000">
        <w:rPr>
          <w:rFonts w:ascii="Palatino Linotype" w:cs="Palatino Linotype" w:eastAsia="Palatino Linotype" w:hAnsi="Palatino Linotype"/>
          <w:b w:val="1"/>
          <w:color w:val="000000"/>
          <w:sz w:val="24"/>
          <w:szCs w:val="24"/>
          <w:rtl w:val="0"/>
        </w:rPr>
        <w:t xml:space="preserve">.</w:t>
      </w: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360" w:lineRule="auto"/>
        <w:ind w:left="720" w:right="-142" w:hanging="360"/>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Se me informe de manera clara, precisa debidamente fundada y motivada, porque razón la persona descrita en la solicitud, no firma en la listas de asistencia de la Unidad de Transparencia si está adscrita en dicha Unidad, con plaza docente y firma ella sola en lista diferente según lo informado en solicitud diversa, lo anterior lo requiero con fundamento en lo dispuesto en el </w:t>
      </w:r>
      <w:r w:rsidDel="00000000" w:rsidR="00000000" w:rsidRPr="00000000">
        <w:rPr>
          <w:rFonts w:ascii="Palatino Linotype" w:cs="Palatino Linotype" w:eastAsia="Palatino Linotype" w:hAnsi="Palatino Linotype"/>
          <w:sz w:val="24"/>
          <w:szCs w:val="24"/>
          <w:rtl w:val="0"/>
        </w:rPr>
        <w:t xml:space="preserve">artículo 8</w:t>
      </w:r>
      <w:r w:rsidDel="00000000" w:rsidR="00000000" w:rsidRPr="00000000">
        <w:rPr>
          <w:rFonts w:ascii="Palatino Linotype" w:cs="Palatino Linotype" w:eastAsia="Palatino Linotype" w:hAnsi="Palatino Linotype"/>
          <w:color w:val="000000"/>
          <w:sz w:val="24"/>
          <w:szCs w:val="24"/>
          <w:rtl w:val="0"/>
        </w:rPr>
        <w:t xml:space="preserve"> de la Constitución Política de los Estado Unidos Mexicanos para presentarle ante otra autoridad.</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Me informe el Secretario Técnico de manera clara, precisa debidamente fundada y motivada, porque razón la permite que la persona que funge como Titular de la Unidad de Transparencia viole la Normatividad toda vez que tiene plaza docente según informaron en solicitud diversa, ya que la normatividad señala "PROCEDIMIENTO: 022 ALTA DE SERVIDORES PÚBLICOS DOCENTES OBJETIVO: Procesar el movimiento de alta de los servidores públicos docentes que ingresan al Subsistema Educativo Estatal, con el propósito de emitir su pago quincenal y establecer, mediante su nombramiento, la relación laboral entre el servidor público docente y el Gobierno del Estado." 20301/022-08 • "A los servidores públicos sólo se les podrán asignar plazas docentes para desempeñar funciones de esta naturaleza, por lo tanto no podrán asignarse plazas docentes para desempeñar labores administrativas o viceversa. Incurre en responsabilidades quien infrinja esta disposición" petición que se hace con fundamento en el artículo 8 de la Constitución Política de los estados Unidos Mexicanos, para ser presentada ante otra autoridad.</w:t>
      </w:r>
    </w:p>
    <w:p w:rsidR="00000000" w:rsidDel="00000000" w:rsidP="00000000" w:rsidRDefault="00000000" w:rsidRPr="00000000" w14:paraId="00000008">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sz w:val="24"/>
          <w:szCs w:val="24"/>
          <w:rtl w:val="0"/>
        </w:rPr>
        <w:t xml:space="preserve">Una vez presentadas las solicitudes,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respondió en términos generales señalando que la Secretaría de Educación no cuenta como tal con un área denominada Unidad de Transparencia, asimismo refiere que la designación de un responsable para atender la Unidad de Transparencia por parte de los sujetos obligados no es un nombramiento a un cargo estructuralmente existente como “Directivo” y no se otorga una plaza de confianza, para su creación, por lo ya antes expuesto, sino que es una designación de responsabilidades de la o el servidor público independientemente de la Secretaría de Educación que tenga a bien a designar el titular de la misma , independientemente del puesto nominal con que dicha persona cuente; asimismo remitió, certificado de competencia laboral, nombramiento y  listas de asistencia de 2022 y 2023 de la persona referida en las solicitudes de información. </w:t>
      </w:r>
      <w:r w:rsidDel="00000000" w:rsidR="00000000" w:rsidRPr="00000000">
        <w:rPr>
          <w:rtl w:val="0"/>
        </w:rPr>
      </w:r>
    </w:p>
    <w:p w:rsidR="00000000" w:rsidDel="00000000" w:rsidP="00000000" w:rsidRDefault="00000000" w:rsidRPr="00000000" w14:paraId="00000009">
      <w:pPr>
        <w:spacing w:after="240" w:before="240" w:line="360" w:lineRule="auto"/>
        <w:jc w:val="both"/>
        <w:rPr>
          <w:rFonts w:ascii="Palatino Linotype" w:cs="Palatino Linotype" w:eastAsia="Palatino Linotype" w:hAnsi="Palatino Linotype"/>
          <w:i w:val="1"/>
          <w:color w:val="000000"/>
        </w:rPr>
      </w:pPr>
      <w:r w:rsidDel="00000000" w:rsidR="00000000" w:rsidRPr="00000000">
        <w:rPr>
          <w:rtl w:val="0"/>
        </w:rPr>
      </w:r>
    </w:p>
    <w:p w:rsidR="00000000" w:rsidDel="00000000" w:rsidP="00000000" w:rsidRDefault="00000000" w:rsidRPr="00000000" w14:paraId="0000000A">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Una vez conocidas las respuestas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interpuso los medios de impugnación, manifestado como motivo de inconformidad, lo siguiente: </w:t>
      </w:r>
    </w:p>
    <w:p w:rsidR="00000000" w:rsidDel="00000000" w:rsidP="00000000" w:rsidRDefault="00000000" w:rsidRPr="00000000" w14:paraId="0000000B">
      <w:pPr>
        <w:spacing w:after="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02055/INFOEM/IP/RR/2023:</w:t>
      </w:r>
    </w:p>
    <w:p w:rsidR="00000000" w:rsidDel="00000000" w:rsidP="00000000" w:rsidRDefault="00000000" w:rsidRPr="00000000" w14:paraId="0000000C">
      <w:pPr>
        <w:spacing w:after="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Acto Impugnado:</w:t>
      </w:r>
    </w:p>
    <w:p w:rsidR="00000000" w:rsidDel="00000000" w:rsidP="00000000" w:rsidRDefault="00000000" w:rsidRPr="00000000" w14:paraId="0000000D">
      <w:pPr>
        <w:spacing w:after="0" w:lineRule="auto"/>
        <w:ind w:left="567" w:right="567"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“La falta de enterrega de información” [Sic]</w:t>
      </w:r>
    </w:p>
    <w:p w:rsidR="00000000" w:rsidDel="00000000" w:rsidP="00000000" w:rsidRDefault="00000000" w:rsidRPr="00000000" w14:paraId="0000000E">
      <w:pPr>
        <w:spacing w:after="0" w:lineRule="auto"/>
        <w:ind w:left="567" w:right="567" w:firstLine="0"/>
        <w:jc w:val="both"/>
        <w:rPr>
          <w:rFonts w:ascii="Palatino Linotype" w:cs="Palatino Linotype" w:eastAsia="Palatino Linotype" w:hAnsi="Palatino Linotype"/>
          <w:i w:val="1"/>
          <w:color w:val="000000"/>
        </w:rPr>
      </w:pPr>
      <w:r w:rsidDel="00000000" w:rsidR="00000000" w:rsidRPr="00000000">
        <w:rPr>
          <w:rtl w:val="0"/>
        </w:rPr>
      </w:r>
    </w:p>
    <w:p w:rsidR="00000000" w:rsidDel="00000000" w:rsidP="00000000" w:rsidRDefault="00000000" w:rsidRPr="00000000" w14:paraId="0000000F">
      <w:pPr>
        <w:spacing w:after="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Razones o Motivos de Inconformidad</w:t>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10">
      <w:pPr>
        <w:spacing w:after="0" w:lineRule="auto"/>
        <w:ind w:left="567" w:right="567"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“La Titular de la Unidad de Transparencia no informa lo que se le solicite, así mismo la documentación que adjunta lo hace sin proteger los datos sensibles toda vez que no texto el CURP den el Certificado de competencia Laboral, de igual manera exhibe el nombramiento que le fue expedido por el Secretario de educación y eso no fue lo que se le solicitó, por lo que la C: Paulina Cruz casas esconde la Información como es posible que diera respuesta a dos solicitudes cuando se están pidiendo cosas distintas, así mismo esta fungiendo como Juez y Parte, porque da información de ella misma.” [Sic]</w:t>
      </w:r>
    </w:p>
    <w:p w:rsidR="00000000" w:rsidDel="00000000" w:rsidP="00000000" w:rsidRDefault="00000000" w:rsidRPr="00000000" w14:paraId="00000011">
      <w:pPr>
        <w:spacing w:after="0" w:lineRule="auto"/>
        <w:ind w:left="567" w:right="567" w:firstLine="0"/>
        <w:jc w:val="both"/>
        <w:rPr>
          <w:rFonts w:ascii="Palatino Linotype" w:cs="Palatino Linotype" w:eastAsia="Palatino Linotype" w:hAnsi="Palatino Linotype"/>
          <w:i w:val="1"/>
          <w:color w:val="000000"/>
        </w:rPr>
      </w:pPr>
      <w:r w:rsidDel="00000000" w:rsidR="00000000" w:rsidRPr="00000000">
        <w:rPr>
          <w:rtl w:val="0"/>
        </w:rPr>
      </w:r>
    </w:p>
    <w:p w:rsidR="00000000" w:rsidDel="00000000" w:rsidP="00000000" w:rsidRDefault="00000000" w:rsidRPr="00000000" w14:paraId="00000012">
      <w:pPr>
        <w:spacing w:after="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02068/INFOEM/IP/RR/2023:</w:t>
      </w:r>
    </w:p>
    <w:p w:rsidR="00000000" w:rsidDel="00000000" w:rsidP="00000000" w:rsidRDefault="00000000" w:rsidRPr="00000000" w14:paraId="00000013">
      <w:pPr>
        <w:spacing w:after="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Acto Impugnado:</w:t>
      </w:r>
    </w:p>
    <w:p w:rsidR="00000000" w:rsidDel="00000000" w:rsidP="00000000" w:rsidRDefault="00000000" w:rsidRPr="00000000" w14:paraId="00000014">
      <w:pPr>
        <w:spacing w:after="0" w:lineRule="auto"/>
        <w:ind w:left="567" w:right="567"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“la falsa información dada por la titular de la Unidad de Transparencia” [Sic]</w:t>
      </w:r>
    </w:p>
    <w:p w:rsidR="00000000" w:rsidDel="00000000" w:rsidP="00000000" w:rsidRDefault="00000000" w:rsidRPr="00000000" w14:paraId="00000015">
      <w:pPr>
        <w:spacing w:after="0" w:lineRule="auto"/>
        <w:ind w:left="567" w:right="567" w:firstLine="0"/>
        <w:jc w:val="both"/>
        <w:rPr>
          <w:rFonts w:ascii="Palatino Linotype" w:cs="Palatino Linotype" w:eastAsia="Palatino Linotype" w:hAnsi="Palatino Linotype"/>
          <w:i w:val="1"/>
          <w:color w:val="000000"/>
        </w:rPr>
      </w:pPr>
      <w:r w:rsidDel="00000000" w:rsidR="00000000" w:rsidRPr="00000000">
        <w:rPr>
          <w:rtl w:val="0"/>
        </w:rPr>
      </w:r>
    </w:p>
    <w:p w:rsidR="00000000" w:rsidDel="00000000" w:rsidP="00000000" w:rsidRDefault="00000000" w:rsidRPr="00000000" w14:paraId="00000016">
      <w:pPr>
        <w:spacing w:after="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Razones o Motivos de Inconformidad</w:t>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17">
      <w:pPr>
        <w:spacing w:after="0" w:lineRule="auto"/>
        <w:ind w:left="567" w:right="567"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“no da respuesta a lo que se le solicito, además de que no entrega las listas de asistencia completas solo anexo listas del 01 al 15 de septiembre del 2022,01 al 15 de enero del 2023 y del 16 al 28 de febrero del 2023, y solamente están firmadas por la C. Paulina Cruz Casas, y se le solicito el porque no firma en la lista de todo el personal ya sea de la Unidad de Transparencia o de la Dirección de Planeación, Programación y Evaluación, si se supone esta adscrita a dicha dirección y tiene nombramiento de titular de la Unidad” [Sic]</w:t>
      </w:r>
    </w:p>
    <w:p w:rsidR="00000000" w:rsidDel="00000000" w:rsidP="00000000" w:rsidRDefault="00000000" w:rsidRPr="00000000" w14:paraId="00000018">
      <w:pPr>
        <w:spacing w:after="0" w:line="36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19">
      <w:pPr>
        <w:spacing w:after="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02072/INFOEM/IP/RR/2023:</w:t>
      </w:r>
    </w:p>
    <w:p w:rsidR="00000000" w:rsidDel="00000000" w:rsidP="00000000" w:rsidRDefault="00000000" w:rsidRPr="00000000" w14:paraId="0000001A">
      <w:pPr>
        <w:spacing w:after="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Acto Impugnado:</w:t>
      </w:r>
    </w:p>
    <w:p w:rsidR="00000000" w:rsidDel="00000000" w:rsidP="00000000" w:rsidRDefault="00000000" w:rsidRPr="00000000" w14:paraId="0000001B">
      <w:pPr>
        <w:spacing w:after="0" w:lineRule="auto"/>
        <w:ind w:left="567" w:right="567"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“la respuesta dada a mi solicitud” [Sic]</w:t>
      </w:r>
    </w:p>
    <w:p w:rsidR="00000000" w:rsidDel="00000000" w:rsidP="00000000" w:rsidRDefault="00000000" w:rsidRPr="00000000" w14:paraId="0000001C">
      <w:pPr>
        <w:spacing w:after="0" w:lineRule="auto"/>
        <w:ind w:left="567" w:right="567" w:firstLine="0"/>
        <w:jc w:val="both"/>
        <w:rPr>
          <w:rFonts w:ascii="Palatino Linotype" w:cs="Palatino Linotype" w:eastAsia="Palatino Linotype" w:hAnsi="Palatino Linotype"/>
          <w:i w:val="1"/>
          <w:color w:val="000000"/>
        </w:rPr>
      </w:pPr>
      <w:r w:rsidDel="00000000" w:rsidR="00000000" w:rsidRPr="00000000">
        <w:rPr>
          <w:rtl w:val="0"/>
        </w:rPr>
      </w:r>
    </w:p>
    <w:p w:rsidR="00000000" w:rsidDel="00000000" w:rsidP="00000000" w:rsidRDefault="00000000" w:rsidRPr="00000000" w14:paraId="0000001D">
      <w:pPr>
        <w:spacing w:after="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Razones o Motivos de Inconformidad</w:t>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1E">
      <w:pPr>
        <w:spacing w:after="0" w:lineRule="auto"/>
        <w:ind w:left="567" w:right="567"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“me da la misma respuesta que en la solicitud 241, y en ningún momento anexa el oficio mediante el cual el Secretario Técnico proporciono la información, anexando el Certificado de Competencia laboral además de que no testa la información confidencial como lo es el CURP, y solo exhibe el nombramiento que le otorga el Secretario de Educación del estado de México, y no informa lo solicitado” [Sic]</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Interpuestos los recursos de revisión, de las constancias que obran en los expedientes en el SAIMEX, se advierte que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mediante sus informes justificados ratificó sus respuestas iniciales y remitió versión pública del certificado de competencia laboral.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Así las cosas, el Pleno de este Instituto determinó:</w:t>
      </w:r>
    </w:p>
    <w:p w:rsidR="00000000" w:rsidDel="00000000" w:rsidP="00000000" w:rsidRDefault="00000000" w:rsidRPr="00000000" w14:paraId="00000022">
      <w:pPr>
        <w:tabs>
          <w:tab w:val="left" w:leader="none" w:pos="8647"/>
        </w:tabs>
        <w:spacing w:after="0" w:line="276" w:lineRule="auto"/>
        <w:ind w:left="851" w:right="706" w:firstLine="0"/>
        <w:jc w:val="both"/>
        <w:rPr>
          <w:rFonts w:ascii="Palatino Linotype" w:cs="Palatino Linotype" w:eastAsia="Palatino Linotype" w:hAnsi="Palatino Linotype"/>
          <w:i w:val="1"/>
        </w:rPr>
      </w:pPr>
      <w:bookmarkStart w:colFirst="0" w:colLast="0" w:name="_heading=h.1fob9te" w:id="1"/>
      <w:bookmarkEnd w:id="1"/>
      <w:r w:rsidDel="00000000" w:rsidR="00000000" w:rsidRPr="00000000">
        <w:rPr>
          <w:rFonts w:ascii="Palatino Linotype" w:cs="Palatino Linotype" w:eastAsia="Palatino Linotype" w:hAnsi="Palatino Linotype"/>
          <w:b w:val="1"/>
          <w:i w:val="1"/>
          <w:rtl w:val="0"/>
        </w:rPr>
        <w:t xml:space="preserve">“PRIMERO.</w:t>
      </w:r>
      <w:r w:rsidDel="00000000" w:rsidR="00000000" w:rsidRPr="00000000">
        <w:rPr>
          <w:rFonts w:ascii="Palatino Linotype" w:cs="Palatino Linotype" w:eastAsia="Palatino Linotype" w:hAnsi="Palatino Linotype"/>
          <w:i w:val="1"/>
          <w:rtl w:val="0"/>
        </w:rPr>
        <w:t xml:space="preserve"> Se </w:t>
      </w:r>
      <w:r w:rsidDel="00000000" w:rsidR="00000000" w:rsidRPr="00000000">
        <w:rPr>
          <w:rFonts w:ascii="Palatino Linotype" w:cs="Palatino Linotype" w:eastAsia="Palatino Linotype" w:hAnsi="Palatino Linotype"/>
          <w:b w:val="1"/>
          <w:i w:val="1"/>
          <w:rtl w:val="0"/>
        </w:rPr>
        <w:t xml:space="preserve">SOBRESEEN</w:t>
      </w:r>
      <w:r w:rsidDel="00000000" w:rsidR="00000000" w:rsidRPr="00000000">
        <w:rPr>
          <w:rFonts w:ascii="Palatino Linotype" w:cs="Palatino Linotype" w:eastAsia="Palatino Linotype" w:hAnsi="Palatino Linotype"/>
          <w:i w:val="1"/>
          <w:rtl w:val="0"/>
        </w:rPr>
        <w:t xml:space="preserve"> los recursos de revisión </w:t>
      </w:r>
      <w:r w:rsidDel="00000000" w:rsidR="00000000" w:rsidRPr="00000000">
        <w:rPr>
          <w:rFonts w:ascii="Palatino Linotype" w:cs="Palatino Linotype" w:eastAsia="Palatino Linotype" w:hAnsi="Palatino Linotype"/>
          <w:b w:val="1"/>
          <w:i w:val="1"/>
          <w:rtl w:val="0"/>
        </w:rPr>
        <w:t xml:space="preserve">02055/INFOEM/IP/RR/2023, 02068/INFOEM/IP/RR/2023, y 02072/INFOEM/IP/RR/2023</w:t>
      </w:r>
      <w:r w:rsidDel="00000000" w:rsidR="00000000" w:rsidRPr="00000000">
        <w:rPr>
          <w:rFonts w:ascii="Palatino Linotype" w:cs="Palatino Linotype" w:eastAsia="Palatino Linotype" w:hAnsi="Palatino Linotype"/>
          <w:i w:val="1"/>
          <w:rtl w:val="0"/>
        </w:rPr>
        <w:t xml:space="preserve"> de conformidad con el artículo 192, fracción IV por actualizarse la causal de improcedencia contenida en la fracción VI, del artículo 191, ambos de la Ley de Transparencia y Acceso a la Información Pública del Estado de México y Municipios, en términos del Considerando </w:t>
      </w:r>
      <w:r w:rsidDel="00000000" w:rsidR="00000000" w:rsidRPr="00000000">
        <w:rPr>
          <w:rFonts w:ascii="Palatino Linotype" w:cs="Palatino Linotype" w:eastAsia="Palatino Linotype" w:hAnsi="Palatino Linotype"/>
          <w:b w:val="1"/>
          <w:i w:val="1"/>
          <w:rtl w:val="0"/>
        </w:rPr>
        <w:t xml:space="preserve">CUARTO</w:t>
      </w:r>
      <w:r w:rsidDel="00000000" w:rsidR="00000000" w:rsidRPr="00000000">
        <w:rPr>
          <w:rFonts w:ascii="Palatino Linotype" w:cs="Palatino Linotype" w:eastAsia="Palatino Linotype" w:hAnsi="Palatino Linotype"/>
          <w:i w:val="1"/>
          <w:rtl w:val="0"/>
        </w:rPr>
        <w:t xml:space="preserve"> de la presente resolución.</w:t>
      </w:r>
    </w:p>
    <w:p w:rsidR="00000000" w:rsidDel="00000000" w:rsidP="00000000" w:rsidRDefault="00000000" w:rsidRPr="00000000" w14:paraId="00000023">
      <w:pPr>
        <w:tabs>
          <w:tab w:val="left" w:leader="none" w:pos="8647"/>
        </w:tabs>
        <w:spacing w:after="0" w:line="276" w:lineRule="auto"/>
        <w:ind w:left="851"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24">
      <w:pPr>
        <w:spacing w:after="0" w:line="276" w:lineRule="auto"/>
        <w:ind w:left="851" w:right="706"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b w:val="1"/>
          <w:i w:val="1"/>
          <w:rtl w:val="0"/>
        </w:rPr>
        <w:t xml:space="preserve">CUARTO. GÍRESE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color w:val="000000"/>
          <w:rtl w:val="0"/>
        </w:rPr>
        <w:t xml:space="preserve">oficio al Titular de la Dirección General de Protección de Datos Personales, en atención al artículo 82, fracción XXVII de la Ley de Protección de Datos Personales del Estado de México y Municipios, en términos del </w:t>
      </w:r>
      <w:r w:rsidDel="00000000" w:rsidR="00000000" w:rsidRPr="00000000">
        <w:rPr>
          <w:rFonts w:ascii="Palatino Linotype" w:cs="Palatino Linotype" w:eastAsia="Palatino Linotype" w:hAnsi="Palatino Linotype"/>
          <w:b w:val="1"/>
          <w:i w:val="1"/>
          <w:color w:val="000000"/>
          <w:rtl w:val="0"/>
        </w:rPr>
        <w:t xml:space="preserve">Considerando CUARTO</w:t>
      </w:r>
      <w:r w:rsidDel="00000000" w:rsidR="00000000" w:rsidRPr="00000000">
        <w:rPr>
          <w:rFonts w:ascii="Palatino Linotype" w:cs="Palatino Linotype" w:eastAsia="Palatino Linotype" w:hAnsi="Palatino Linotype"/>
          <w:i w:val="1"/>
          <w:color w:val="000000"/>
          <w:rtl w:val="0"/>
        </w:rPr>
        <w:t xml:space="preserve"> de la presente resolución.”</w:t>
      </w:r>
    </w:p>
    <w:p w:rsidR="00000000" w:rsidDel="00000000" w:rsidP="00000000" w:rsidRDefault="00000000" w:rsidRPr="00000000" w14:paraId="00000025">
      <w:pPr>
        <w:spacing w:after="0" w:line="276" w:lineRule="auto"/>
        <w:ind w:left="851" w:right="706"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6">
      <w:pPr>
        <w:numPr>
          <w:ilvl w:val="0"/>
          <w:numId w:val="6"/>
        </w:numPr>
        <w:pBdr>
          <w:top w:space="0" w:sz="0" w:val="nil"/>
          <w:left w:space="0" w:sz="0" w:val="nil"/>
          <w:bottom w:space="0" w:sz="0" w:val="nil"/>
          <w:right w:space="0" w:sz="0" w:val="nil"/>
          <w:between w:space="0" w:sz="0" w:val="nil"/>
        </w:pBdr>
        <w:spacing w:after="120" w:line="360" w:lineRule="auto"/>
        <w:ind w:left="567" w:hanging="283"/>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Razones del Voto disidente.</w:t>
      </w:r>
    </w:p>
    <w:p w:rsidR="00000000" w:rsidDel="00000000" w:rsidP="00000000" w:rsidRDefault="00000000" w:rsidRPr="00000000" w14:paraId="00000027">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términos generales es de señalar que no comparto el sentido de la resolución, por los argumentos que se exponen a continuación:</w:t>
      </w:r>
    </w:p>
    <w:p w:rsidR="00000000" w:rsidDel="00000000" w:rsidP="00000000" w:rsidRDefault="00000000" w:rsidRPr="00000000" w14:paraId="00000028">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Este Organismo Garante, determinó el sobreseimiento del presente medio de impugnación al determinar la improcedencia, por actualizarse la causal prevista en la fracción IV del artículo 192 en relación con la fracción VI del artículo 191 de la Ley de Transparencia y Acceso a la Información Pública del Estado de México y Municipios, por tratarse de una consulta los planteamientos formulados por la parte </w:t>
      </w:r>
      <w:r w:rsidDel="00000000" w:rsidR="00000000" w:rsidRPr="00000000">
        <w:rPr>
          <w:rFonts w:ascii="Palatino Linotype" w:cs="Palatino Linotype" w:eastAsia="Palatino Linotype" w:hAnsi="Palatino Linotype"/>
          <w:b w:val="1"/>
          <w:sz w:val="24"/>
          <w:szCs w:val="24"/>
          <w:rtl w:val="0"/>
        </w:rPr>
        <w:t xml:space="preserve">Recurrente; </w:t>
      </w:r>
      <w:r w:rsidDel="00000000" w:rsidR="00000000" w:rsidRPr="00000000">
        <w:rPr>
          <w:rFonts w:ascii="Palatino Linotype" w:cs="Palatino Linotype" w:eastAsia="Palatino Linotype" w:hAnsi="Palatino Linotype"/>
          <w:sz w:val="24"/>
          <w:szCs w:val="24"/>
          <w:rtl w:val="0"/>
        </w:rPr>
        <w:t xml:space="preserve">preceptos normativos que fueron transcritos en la resolución y que son que son del tenor literal siguiente. </w:t>
      </w:r>
    </w:p>
    <w:p w:rsidR="00000000" w:rsidDel="00000000" w:rsidP="00000000" w:rsidRDefault="00000000" w:rsidRPr="00000000" w14:paraId="00000029">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A">
      <w:pPr>
        <w:spacing w:after="0" w:line="240" w:lineRule="auto"/>
        <w:ind w:left="709"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191. </w:t>
      </w:r>
      <w:r w:rsidDel="00000000" w:rsidR="00000000" w:rsidRPr="00000000">
        <w:rPr>
          <w:rFonts w:ascii="Palatino Linotype" w:cs="Palatino Linotype" w:eastAsia="Palatino Linotype" w:hAnsi="Palatino Linotype"/>
          <w:b w:val="1"/>
          <w:i w:val="1"/>
          <w:u w:val="single"/>
          <w:rtl w:val="0"/>
        </w:rPr>
        <w:t xml:space="preserve">El recurso será desechado por improcedente cuando</w:t>
      </w:r>
      <w:r w:rsidDel="00000000" w:rsidR="00000000" w:rsidRPr="00000000">
        <w:rPr>
          <w:rFonts w:ascii="Palatino Linotype" w:cs="Palatino Linotype" w:eastAsia="Palatino Linotype" w:hAnsi="Palatino Linotype"/>
          <w:i w:val="1"/>
          <w:rtl w:val="0"/>
        </w:rPr>
        <w:t xml:space="preserve">: </w:t>
      </w:r>
    </w:p>
    <w:p w:rsidR="00000000" w:rsidDel="00000000" w:rsidP="00000000" w:rsidRDefault="00000000" w:rsidRPr="00000000" w14:paraId="0000002B">
      <w:pPr>
        <w:spacing w:after="0" w:line="240" w:lineRule="auto"/>
        <w:ind w:left="709"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spacing w:after="0" w:line="240" w:lineRule="auto"/>
        <w:ind w:left="1134" w:hanging="425"/>
        <w:jc w:val="both"/>
        <w:rPr>
          <w:rFonts w:ascii="Palatino Linotype" w:cs="Palatino Linotype" w:eastAsia="Palatino Linotype" w:hAnsi="Palatino Linotype"/>
          <w:b w:val="1"/>
          <w:i w:val="1"/>
          <w:color w:val="000000"/>
          <w:sz w:val="24"/>
          <w:szCs w:val="24"/>
        </w:rPr>
      </w:pPr>
      <w:r w:rsidDel="00000000" w:rsidR="00000000" w:rsidRPr="00000000">
        <w:rPr>
          <w:rFonts w:ascii="Palatino Linotype" w:cs="Palatino Linotype" w:eastAsia="Palatino Linotype" w:hAnsi="Palatino Linotype"/>
          <w:b w:val="1"/>
          <w:i w:val="1"/>
          <w:color w:val="000000"/>
          <w:sz w:val="24"/>
          <w:szCs w:val="24"/>
          <w:u w:val="single"/>
          <w:rtl w:val="0"/>
        </w:rPr>
        <w:t xml:space="preserve">Se trate de una consulta</w:t>
      </w:r>
      <w:r w:rsidDel="00000000" w:rsidR="00000000" w:rsidRPr="00000000">
        <w:rPr>
          <w:rFonts w:ascii="Palatino Linotype" w:cs="Palatino Linotype" w:eastAsia="Palatino Linotype" w:hAnsi="Palatino Linotype"/>
          <w:i w:val="1"/>
          <w:color w:val="000000"/>
          <w:sz w:val="24"/>
          <w:szCs w:val="24"/>
          <w:rtl w:val="0"/>
        </w:rPr>
        <w:t xml:space="preserve">,</w:t>
      </w:r>
      <w:r w:rsidDel="00000000" w:rsidR="00000000" w:rsidRPr="00000000">
        <w:rPr>
          <w:rFonts w:ascii="Palatino Linotype" w:cs="Palatino Linotype" w:eastAsia="Palatino Linotype" w:hAnsi="Palatino Linotype"/>
          <w:b w:val="1"/>
          <w:i w:val="1"/>
          <w:color w:val="000000"/>
          <w:sz w:val="24"/>
          <w:szCs w:val="24"/>
          <w:rtl w:val="0"/>
        </w:rPr>
        <w:t xml:space="preserve"> </w:t>
      </w:r>
      <w:r w:rsidDel="00000000" w:rsidR="00000000" w:rsidRPr="00000000">
        <w:rPr>
          <w:rFonts w:ascii="Palatino Linotype" w:cs="Palatino Linotype" w:eastAsia="Palatino Linotype" w:hAnsi="Palatino Linotype"/>
          <w:i w:val="1"/>
          <w:color w:val="000000"/>
          <w:sz w:val="24"/>
          <w:szCs w:val="24"/>
          <w:rtl w:val="0"/>
        </w:rPr>
        <w:t xml:space="preserve">o trámite en específico; y</w:t>
      </w:r>
      <w:r w:rsidDel="00000000" w:rsidR="00000000" w:rsidRPr="00000000">
        <w:rPr>
          <w:rFonts w:ascii="Palatino Linotype" w:cs="Palatino Linotype" w:eastAsia="Palatino Linotype" w:hAnsi="Palatino Linotype"/>
          <w:b w:val="1"/>
          <w:i w:val="1"/>
          <w:color w:val="000000"/>
          <w:sz w:val="24"/>
          <w:szCs w:val="24"/>
          <w:rtl w:val="0"/>
        </w:rPr>
        <w:t xml:space="preserve"> </w:t>
      </w:r>
    </w:p>
    <w:p w:rsidR="00000000" w:rsidDel="00000000" w:rsidP="00000000" w:rsidRDefault="00000000" w:rsidRPr="00000000" w14:paraId="0000002D">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E">
      <w:pPr>
        <w:spacing w:after="0" w:line="240" w:lineRule="auto"/>
        <w:ind w:left="70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192. </w:t>
      </w:r>
      <w:r w:rsidDel="00000000" w:rsidR="00000000" w:rsidRPr="00000000">
        <w:rPr>
          <w:rFonts w:ascii="Palatino Linotype" w:cs="Palatino Linotype" w:eastAsia="Palatino Linotype" w:hAnsi="Palatino Linotype"/>
          <w:b w:val="1"/>
          <w:i w:val="1"/>
          <w:u w:val="single"/>
          <w:rtl w:val="0"/>
        </w:rPr>
        <w:t xml:space="preserve">El recurso será sobreseído, en todo o en parte, cuando una vez admitido, se actualicen alguno de los siguientes supuestos</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2F">
      <w:pPr>
        <w:spacing w:after="0" w:line="240" w:lineRule="auto"/>
        <w:ind w:firstLine="708"/>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30">
      <w:pPr>
        <w:spacing w:after="0" w:line="240" w:lineRule="auto"/>
        <w:ind w:left="768" w:firstLine="0"/>
        <w:jc w:val="both"/>
        <w:rPr>
          <w:rFonts w:ascii="Palatino Linotype" w:cs="Palatino Linotype" w:eastAsia="Palatino Linotype" w:hAnsi="Palatino Linotype"/>
          <w:b w:val="1"/>
          <w:i w:val="1"/>
          <w:u w:val="single"/>
        </w:rPr>
      </w:pPr>
      <w:r w:rsidDel="00000000" w:rsidR="00000000" w:rsidRPr="00000000">
        <w:rPr>
          <w:rFonts w:ascii="Palatino Linotype" w:cs="Palatino Linotype" w:eastAsia="Palatino Linotype" w:hAnsi="Palatino Linotype"/>
          <w:b w:val="1"/>
          <w:i w:val="1"/>
          <w:u w:val="single"/>
          <w:rtl w:val="0"/>
        </w:rPr>
        <w:t xml:space="preserve">IV. Admitido el recurso de revisión, aparezca alguna causal de improcedencia en los términos de la presente Ley; y </w:t>
      </w:r>
    </w:p>
    <w:p w:rsidR="00000000" w:rsidDel="00000000" w:rsidP="00000000" w:rsidRDefault="00000000" w:rsidRPr="00000000" w14:paraId="00000031">
      <w:pPr>
        <w:spacing w:after="0" w:line="240" w:lineRule="auto"/>
        <w:ind w:left="768"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w:t>
      </w:r>
    </w:p>
    <w:p w:rsidR="00000000" w:rsidDel="00000000" w:rsidP="00000000" w:rsidRDefault="00000000" w:rsidRPr="00000000" w14:paraId="00000032">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3">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este sentido,  de los preceptos normativos en cita se tiene que este Organismo Garante, señaló como causal de sobreseimiento, la contemplada en el artículo 192, fracción IV, de la Ley de Transparencia y Acceso a la Información Pública del Estado de México y Municipios, que señala que </w:t>
      </w:r>
      <w:r w:rsidDel="00000000" w:rsidR="00000000" w:rsidRPr="00000000">
        <w:rPr>
          <w:rFonts w:ascii="Palatino Linotype" w:cs="Palatino Linotype" w:eastAsia="Palatino Linotype" w:hAnsi="Palatino Linotype"/>
          <w:sz w:val="24"/>
          <w:szCs w:val="24"/>
          <w:u w:val="single"/>
          <w:rtl w:val="0"/>
        </w:rPr>
        <w:t xml:space="preserve">el recurso será sobreseído cuando admitido el recurso de revisión aparezca una causal de improcedencia</w:t>
      </w:r>
      <w:r w:rsidDel="00000000" w:rsidR="00000000" w:rsidRPr="00000000">
        <w:rPr>
          <w:rFonts w:ascii="Palatino Linotype" w:cs="Palatino Linotype" w:eastAsia="Palatino Linotype" w:hAnsi="Palatino Linotype"/>
          <w:sz w:val="24"/>
          <w:szCs w:val="24"/>
          <w:rtl w:val="0"/>
        </w:rPr>
        <w:t xml:space="preserve"> y señaló como presupuesto para la improcedencia, lo consignado en el artículo 191, fracción VI, de la Ley en comento, que contempla que el recurso será desechado por improcedente cuando se trate de una consulta.</w:t>
      </w:r>
    </w:p>
    <w:p w:rsidR="00000000" w:rsidDel="00000000" w:rsidP="00000000" w:rsidRDefault="00000000" w:rsidRPr="00000000" w14:paraId="00000034">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5">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 respecto, la diferencia que existe entre sobreseer y entrar al estudio de la información aportada en el expediente digital afecta o puede afectar en el sentido de la resolución, para ello, cobra relevancia para efectos de criterio jurídico, la jurisprudencia, emitida por la Segunda Sala de la Suprema Corte de Justicia de la Nación, con registro digital 239006, de la séptima época, publicada en el semanario judicial de la federación, volumen 24, tercera parte, página 49, que lleva por rubro y texto:</w:t>
      </w:r>
    </w:p>
    <w:p w:rsidR="00000000" w:rsidDel="00000000" w:rsidP="00000000" w:rsidRDefault="00000000" w:rsidRPr="00000000" w14:paraId="00000036">
      <w:pPr>
        <w:spacing w:after="0" w:line="276" w:lineRule="auto"/>
        <w:ind w:left="567" w:right="616"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SOBRESEIMIENTO. NO PERMITE ENTRAR AL ESTUDIO DE LAS CUESTIONES DE FONDO.</w:t>
      </w:r>
    </w:p>
    <w:p w:rsidR="00000000" w:rsidDel="00000000" w:rsidP="00000000" w:rsidRDefault="00000000" w:rsidRPr="00000000" w14:paraId="00000037">
      <w:pPr>
        <w:spacing w:after="0" w:line="276"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No causa agravio la sentencia que no se ocupa de los razonamientos tendientes a demostrar la violación de garantías individuales por los actos reclamados de las autoridades responsables, que constituyen el problema de fondo, si se decreta el sobreseimiento del juicio.</w:t>
      </w:r>
    </w:p>
    <w:p w:rsidR="00000000" w:rsidDel="00000000" w:rsidP="00000000" w:rsidRDefault="00000000" w:rsidRPr="00000000" w14:paraId="00000038">
      <w:pPr>
        <w:spacing w:after="0" w:line="360" w:lineRule="auto"/>
        <w:jc w:val="both"/>
        <w:rPr>
          <w:rFonts w:ascii="Palatino Linotype" w:cs="Palatino Linotype" w:eastAsia="Palatino Linotype" w:hAnsi="Palatino Linotype"/>
          <w:color w:val="ff0000"/>
          <w:sz w:val="24"/>
          <w:szCs w:val="24"/>
        </w:rPr>
      </w:pPr>
      <w:r w:rsidDel="00000000" w:rsidR="00000000" w:rsidRPr="00000000">
        <w:rPr>
          <w:rtl w:val="0"/>
        </w:rPr>
      </w:r>
    </w:p>
    <w:p w:rsidR="00000000" w:rsidDel="00000000" w:rsidP="00000000" w:rsidRDefault="00000000" w:rsidRPr="00000000" w14:paraId="00000039">
      <w:pPr>
        <w:spacing w:after="0" w:line="360" w:lineRule="auto"/>
        <w:jc w:val="both"/>
        <w:rPr>
          <w:rFonts w:ascii="Palatino Linotype" w:cs="Palatino Linotype" w:eastAsia="Palatino Linotype" w:hAnsi="Palatino Linotype"/>
          <w:color w:val="ff0000"/>
          <w:sz w:val="24"/>
          <w:szCs w:val="24"/>
        </w:rPr>
      </w:pPr>
      <w:r w:rsidDel="00000000" w:rsidR="00000000" w:rsidRPr="00000000">
        <w:rPr>
          <w:rtl w:val="0"/>
        </w:rPr>
      </w:r>
    </w:p>
    <w:p w:rsidR="00000000" w:rsidDel="00000000" w:rsidP="00000000" w:rsidRDefault="00000000" w:rsidRPr="00000000" w14:paraId="0000003A">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Criterio que en la resolución se citó para apoyar la siguiente consideración: </w:t>
      </w:r>
    </w:p>
    <w:p w:rsidR="00000000" w:rsidDel="00000000" w:rsidP="00000000" w:rsidRDefault="00000000" w:rsidRPr="00000000" w14:paraId="0000003B">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C">
      <w:pPr>
        <w:spacing w:after="0" w:line="276" w:lineRule="auto"/>
        <w:ind w:left="851"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000000" w:rsidDel="00000000" w:rsidP="00000000" w:rsidRDefault="00000000" w:rsidRPr="00000000" w14:paraId="0000003D">
      <w:pPr>
        <w:spacing w:after="0" w:line="276" w:lineRule="auto"/>
        <w:ind w:left="851" w:right="706"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SOBRESEIMIENTO, NO PERMITE ENTRAR AL ESTUDIO DE LAS CUESTIONES DE FONDO…”</w:t>
      </w:r>
    </w:p>
    <w:p w:rsidR="00000000" w:rsidDel="00000000" w:rsidP="00000000" w:rsidRDefault="00000000" w:rsidRPr="00000000" w14:paraId="0000003E">
      <w:pPr>
        <w:spacing w:after="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F">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Correlativo a lo anterior, es conveniente citar al Doctor Ignacio Burgoa, en su obra </w:t>
      </w:r>
      <w:r w:rsidDel="00000000" w:rsidR="00000000" w:rsidRPr="00000000">
        <w:rPr>
          <w:rFonts w:ascii="Palatino Linotype" w:cs="Palatino Linotype" w:eastAsia="Palatino Linotype" w:hAnsi="Palatino Linotype"/>
          <w:i w:val="1"/>
          <w:sz w:val="24"/>
          <w:szCs w:val="24"/>
          <w:rtl w:val="0"/>
        </w:rPr>
        <w:t xml:space="preserve">El Juicio de Amparo</w:t>
      </w:r>
      <w:r w:rsidDel="00000000" w:rsidR="00000000" w:rsidRPr="00000000">
        <w:rPr>
          <w:rFonts w:ascii="Palatino Linotype" w:cs="Palatino Linotype" w:eastAsia="Palatino Linotype" w:hAnsi="Palatino Linotype"/>
          <w:sz w:val="24"/>
          <w:szCs w:val="24"/>
          <w:rtl w:val="0"/>
        </w:rPr>
        <w:t xml:space="preserve">, donde plasma que el sobreseimiento es un acto procesal proveniente de la potestad jurisdiccional, que concluye una instancia judicial, sin resolver el negocio en cuanto al fondo, sustantivamente, sino atendiendo a circunstancias o hechos ajenos, o al menos, diversos, de lo substancial de la controversia subyacente o fundamental. </w:t>
      </w:r>
    </w:p>
    <w:p w:rsidR="00000000" w:rsidDel="00000000" w:rsidP="00000000" w:rsidRDefault="00000000" w:rsidRPr="00000000" w14:paraId="00000040">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1">
      <w:pPr>
        <w:shd w:fill="ffffff" w:val="clea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ese sentido, es de resaltar que el recurso de revisión es la garantía secundaria mediante la cual se pretende reparar cualquier posible afectación al derecho de acceso a la información pública, en donde las resoluciones de este Órgano Garante pueden:</w:t>
      </w:r>
    </w:p>
    <w:p w:rsidR="00000000" w:rsidDel="00000000" w:rsidP="00000000" w:rsidRDefault="00000000" w:rsidRPr="00000000" w14:paraId="00000042">
      <w:pPr>
        <w:numPr>
          <w:ilvl w:val="0"/>
          <w:numId w:val="2"/>
        </w:numPr>
        <w:spacing w:after="0" w:line="276" w:lineRule="auto"/>
        <w:ind w:left="720" w:hanging="360"/>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Desechar o sobreseer el recurso</w:t>
      </w:r>
    </w:p>
    <w:p w:rsidR="00000000" w:rsidDel="00000000" w:rsidP="00000000" w:rsidRDefault="00000000" w:rsidRPr="00000000" w14:paraId="00000043">
      <w:pPr>
        <w:numPr>
          <w:ilvl w:val="0"/>
          <w:numId w:val="2"/>
        </w:numPr>
        <w:spacing w:after="0" w:line="276"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Confirma la respuesta del sujeto obligado</w:t>
      </w:r>
    </w:p>
    <w:p w:rsidR="00000000" w:rsidDel="00000000" w:rsidP="00000000" w:rsidRDefault="00000000" w:rsidRPr="00000000" w14:paraId="00000044">
      <w:pPr>
        <w:numPr>
          <w:ilvl w:val="0"/>
          <w:numId w:val="2"/>
        </w:numPr>
        <w:spacing w:after="0" w:line="276"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Revocar o modificar la respuesta del sujeto obligado; y </w:t>
      </w:r>
    </w:p>
    <w:p w:rsidR="00000000" w:rsidDel="00000000" w:rsidP="00000000" w:rsidRDefault="00000000" w:rsidRPr="00000000" w14:paraId="00000045">
      <w:pPr>
        <w:numPr>
          <w:ilvl w:val="0"/>
          <w:numId w:val="2"/>
        </w:numPr>
        <w:spacing w:after="0" w:line="276"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Ordenar la entrega de la información</w:t>
      </w:r>
    </w:p>
    <w:p w:rsidR="00000000" w:rsidDel="00000000" w:rsidP="00000000" w:rsidRDefault="00000000" w:rsidRPr="00000000" w14:paraId="00000046">
      <w:pPr>
        <w:spacing w:after="0" w:line="360" w:lineRule="auto"/>
        <w:ind w:left="720"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7">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Cabe agregar que las resoluciones que pronuncie este Instituto deben contener cuatro aspectos importantes:</w:t>
      </w:r>
    </w:p>
    <w:p w:rsidR="00000000" w:rsidDel="00000000" w:rsidP="00000000" w:rsidRDefault="00000000" w:rsidRPr="00000000" w14:paraId="00000048">
      <w:pPr>
        <w:numPr>
          <w:ilvl w:val="0"/>
          <w:numId w:val="3"/>
        </w:numPr>
        <w:spacing w:after="0" w:line="276"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Lugar, fecha, el nombre del recurrente y del tercero interesado en su caso, sujeto obligado y un extracto de los hechos cuestionados;</w:t>
      </w:r>
    </w:p>
    <w:p w:rsidR="00000000" w:rsidDel="00000000" w:rsidP="00000000" w:rsidRDefault="00000000" w:rsidRPr="00000000" w14:paraId="00000049">
      <w:pPr>
        <w:numPr>
          <w:ilvl w:val="0"/>
          <w:numId w:val="3"/>
        </w:numPr>
        <w:spacing w:after="0" w:line="276"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Los preceptos en que se fundamenten y las consideraciones que las sustenten;</w:t>
      </w:r>
    </w:p>
    <w:p w:rsidR="00000000" w:rsidDel="00000000" w:rsidP="00000000" w:rsidRDefault="00000000" w:rsidRPr="00000000" w14:paraId="0000004A">
      <w:pPr>
        <w:numPr>
          <w:ilvl w:val="0"/>
          <w:numId w:val="3"/>
        </w:numPr>
        <w:spacing w:after="0" w:line="276"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Los alcances y efectos de la resolución, fijando con precisión, en su caso, los sujetos y órganos obligados a cumplirla; y</w:t>
      </w:r>
    </w:p>
    <w:p w:rsidR="00000000" w:rsidDel="00000000" w:rsidP="00000000" w:rsidRDefault="00000000" w:rsidRPr="00000000" w14:paraId="0000004B">
      <w:pPr>
        <w:numPr>
          <w:ilvl w:val="0"/>
          <w:numId w:val="3"/>
        </w:numPr>
        <w:spacing w:after="0" w:line="276"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Los puntos resolutivos.</w:t>
      </w:r>
    </w:p>
    <w:p w:rsidR="00000000" w:rsidDel="00000000" w:rsidP="00000000" w:rsidRDefault="00000000" w:rsidRPr="00000000" w14:paraId="0000004C">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D">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Sobre este punto, se considera de suma importancia mencionar que de la normatividad citada, se advierte que este Instituto está facultado entre otras cosas para:</w:t>
      </w:r>
    </w:p>
    <w:p w:rsidR="00000000" w:rsidDel="00000000" w:rsidP="00000000" w:rsidRDefault="00000000" w:rsidRPr="00000000" w14:paraId="0000004E">
      <w:pPr>
        <w:numPr>
          <w:ilvl w:val="0"/>
          <w:numId w:val="5"/>
        </w:numPr>
        <w:spacing w:after="0" w:line="276" w:lineRule="auto"/>
        <w:ind w:left="720" w:hanging="360"/>
        <w:jc w:val="both"/>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i w:val="1"/>
          <w:sz w:val="24"/>
          <w:szCs w:val="24"/>
          <w:rtl w:val="0"/>
        </w:rPr>
        <w:t xml:space="preserve">Conocer y resolver los recursos de revisión interpuestos por los particulares en contra de las resoluciones de los sujetos obligados en el ámbito estatal;</w:t>
      </w:r>
    </w:p>
    <w:p w:rsidR="00000000" w:rsidDel="00000000" w:rsidP="00000000" w:rsidRDefault="00000000" w:rsidRPr="00000000" w14:paraId="0000004F">
      <w:pPr>
        <w:numPr>
          <w:ilvl w:val="0"/>
          <w:numId w:val="5"/>
        </w:numPr>
        <w:spacing w:after="0" w:line="276" w:lineRule="auto"/>
        <w:ind w:left="720" w:hanging="360"/>
        <w:jc w:val="both"/>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i w:val="1"/>
          <w:sz w:val="24"/>
          <w:szCs w:val="24"/>
          <w:rtl w:val="0"/>
        </w:rPr>
        <w:t xml:space="preserve">Realizar de oficio y a petición de parte, análisis y recomendaciones o en su caso, lineamientos en relación con presuntos incumplimientos a las disposiciones de la Ley, cuando existan elementos suficientes a juicio del Pleno del Instituto;</w:t>
      </w:r>
    </w:p>
    <w:p w:rsidR="00000000" w:rsidDel="00000000" w:rsidP="00000000" w:rsidRDefault="00000000" w:rsidRPr="00000000" w14:paraId="00000050">
      <w:pPr>
        <w:numPr>
          <w:ilvl w:val="0"/>
          <w:numId w:val="5"/>
        </w:numPr>
        <w:spacing w:after="0" w:line="276" w:lineRule="auto"/>
        <w:ind w:left="720" w:hanging="360"/>
        <w:jc w:val="both"/>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i w:val="1"/>
          <w:sz w:val="24"/>
          <w:szCs w:val="24"/>
          <w:rtl w:val="0"/>
        </w:rPr>
        <w:t xml:space="preserve">Emitir comunicados públicos sobre el incumplimiento de sus resoluciones o por infracciones reiteradas a la Ley, en el ámbito de su competencia;</w:t>
      </w:r>
    </w:p>
    <w:p w:rsidR="00000000" w:rsidDel="00000000" w:rsidP="00000000" w:rsidRDefault="00000000" w:rsidRPr="00000000" w14:paraId="00000051">
      <w:pPr>
        <w:numPr>
          <w:ilvl w:val="0"/>
          <w:numId w:val="5"/>
        </w:numPr>
        <w:spacing w:after="0" w:line="276" w:lineRule="auto"/>
        <w:ind w:left="720" w:hanging="360"/>
        <w:jc w:val="both"/>
        <w:rPr>
          <w:rFonts w:ascii="Palatino Linotype" w:cs="Palatino Linotype" w:eastAsia="Palatino Linotype" w:hAnsi="Palatino Linotype"/>
          <w:i w:val="1"/>
          <w:sz w:val="24"/>
          <w:szCs w:val="24"/>
        </w:rPr>
      </w:pPr>
      <w:bookmarkStart w:colFirst="0" w:colLast="0" w:name="_heading=h.30j0zll" w:id="2"/>
      <w:bookmarkEnd w:id="2"/>
      <w:r w:rsidDel="00000000" w:rsidR="00000000" w:rsidRPr="00000000">
        <w:rPr>
          <w:rFonts w:ascii="Palatino Linotype" w:cs="Palatino Linotype" w:eastAsia="Palatino Linotype" w:hAnsi="Palatino Linotype"/>
          <w:i w:val="1"/>
          <w:sz w:val="24"/>
          <w:szCs w:val="24"/>
          <w:rtl w:val="0"/>
        </w:rPr>
        <w:t xml:space="preserve">Ordenar a los sujetos obligados la ejecutoría en la entrega de información en términos de la presente Ley;</w:t>
      </w:r>
    </w:p>
    <w:p w:rsidR="00000000" w:rsidDel="00000000" w:rsidP="00000000" w:rsidRDefault="00000000" w:rsidRPr="00000000" w14:paraId="00000052">
      <w:pPr>
        <w:numPr>
          <w:ilvl w:val="0"/>
          <w:numId w:val="5"/>
        </w:numPr>
        <w:spacing w:after="0" w:line="276" w:lineRule="auto"/>
        <w:ind w:left="720" w:hanging="360"/>
        <w:jc w:val="both"/>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i w:val="1"/>
          <w:sz w:val="24"/>
          <w:szCs w:val="24"/>
          <w:rtl w:val="0"/>
        </w:rPr>
        <w:t xml:space="preserve">Imponer las medidas de apremio para asegurar el cumplimiento de sus determinaciones;</w:t>
      </w:r>
    </w:p>
    <w:p w:rsidR="00000000" w:rsidDel="00000000" w:rsidP="00000000" w:rsidRDefault="00000000" w:rsidRPr="00000000" w14:paraId="00000053">
      <w:pPr>
        <w:numPr>
          <w:ilvl w:val="0"/>
          <w:numId w:val="5"/>
        </w:numPr>
        <w:spacing w:after="0" w:line="276" w:lineRule="auto"/>
        <w:ind w:left="720" w:hanging="360"/>
        <w:jc w:val="both"/>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i w:val="1"/>
          <w:sz w:val="24"/>
          <w:szCs w:val="24"/>
          <w:rtl w:val="0"/>
        </w:rPr>
        <w:t xml:space="preserve">Hacer del conocimiento de la instancia competente la probable responsabilidad por el incumplimiento de las obligaciones previstas en la Ley y en las demás disposiciones aplicable.  </w:t>
      </w:r>
    </w:p>
    <w:p w:rsidR="00000000" w:rsidDel="00000000" w:rsidP="00000000" w:rsidRDefault="00000000" w:rsidRPr="00000000" w14:paraId="00000054">
      <w:pPr>
        <w:spacing w:after="0" w:line="360" w:lineRule="auto"/>
        <w:ind w:left="720" w:firstLine="0"/>
        <w:jc w:val="both"/>
        <w:rPr>
          <w:rFonts w:ascii="Palatino Linotype" w:cs="Palatino Linotype" w:eastAsia="Palatino Linotype" w:hAnsi="Palatino Linotype"/>
          <w:i w:val="1"/>
          <w:sz w:val="24"/>
          <w:szCs w:val="24"/>
        </w:rPr>
      </w:pPr>
      <w:r w:rsidDel="00000000" w:rsidR="00000000" w:rsidRPr="00000000">
        <w:rPr>
          <w:rtl w:val="0"/>
        </w:rPr>
      </w:r>
    </w:p>
    <w:p w:rsidR="00000000" w:rsidDel="00000000" w:rsidP="00000000" w:rsidRDefault="00000000" w:rsidRPr="00000000" w14:paraId="00000055">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Establecido lo anterior, debe tomarse en cuenta que la vista a la Dirección General de Datos de este Instituto, no debió incluirse en los resolutivos de la resolución referida, toda vez que, el sobreseimiento no permitió entrará al análisis y estudio de fondo de las constancias que obraban en el expediente electrónico en comento, y por lo tanto no comparto la vista a la Dirección General de Datos. </w:t>
      </w:r>
    </w:p>
    <w:p w:rsidR="00000000" w:rsidDel="00000000" w:rsidP="00000000" w:rsidRDefault="00000000" w:rsidRPr="00000000" w14:paraId="00000056">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por todo lo vertido en líneas anteriores que la Suscrita no comparte el sentido de la resolución, y formula el presente voto disidente.</w:t>
      </w:r>
    </w:p>
    <w:p w:rsidR="00000000" w:rsidDel="00000000" w:rsidP="00000000" w:rsidRDefault="00000000" w:rsidRPr="00000000" w14:paraId="00000057">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8">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9">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A">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B">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C">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D">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E">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F">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0">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1">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2">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3">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4">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5">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6">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7">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8">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sectPr>
      <w:headerReference r:id="rId7" w:type="default"/>
      <w:pgSz w:h="15840" w:w="12240" w:orient="portrait"/>
      <w:pgMar w:bottom="2836" w:top="1871" w:left="1985" w:right="1327" w:header="709" w:footer="58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-1341749</wp:posOffset>
          </wp:positionH>
          <wp:positionV relativeFrom="paragraph">
            <wp:posOffset>-453384</wp:posOffset>
          </wp:positionV>
          <wp:extent cx="7510145" cy="9883775"/>
          <wp:effectExtent b="0" l="0" r="0" t="0"/>
          <wp:wrapNone/>
          <wp:docPr id="9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10145" cy="9883775"/>
                  </a:xfrm>
                  <a:prstGeom prst="rect"/>
                  <a:ln/>
                </pic:spPr>
              </pic:pic>
            </a:graphicData>
          </a:graphic>
        </wp:anchor>
      </w:drawing>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VOTO DISIDENTE</w:t>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RECURSOS DE REVISIÓN: 02055/INFOEM/IP/RR/2023</w:t>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y acumulados </w:t>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 </w: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6"/>
      <w:numFmt w:val="upperRoman"/>
      <w:lvlText w:val="%1."/>
      <w:lvlJc w:val="left"/>
      <w:pPr>
        <w:ind w:left="2148" w:hanging="720"/>
      </w:pPr>
      <w:rPr>
        <w:u w:val="single"/>
      </w:rPr>
    </w:lvl>
    <w:lvl w:ilvl="1">
      <w:start w:val="1"/>
      <w:numFmt w:val="lowerLetter"/>
      <w:lvlText w:val="%2."/>
      <w:lvlJc w:val="left"/>
      <w:pPr>
        <w:ind w:left="2508" w:hanging="360"/>
      </w:pPr>
      <w:rPr/>
    </w:lvl>
    <w:lvl w:ilvl="2">
      <w:start w:val="1"/>
      <w:numFmt w:val="lowerRoman"/>
      <w:lvlText w:val="%3."/>
      <w:lvlJc w:val="right"/>
      <w:pPr>
        <w:ind w:left="3228" w:hanging="180"/>
      </w:pPr>
      <w:rPr/>
    </w:lvl>
    <w:lvl w:ilvl="3">
      <w:start w:val="1"/>
      <w:numFmt w:val="decimal"/>
      <w:lvlText w:val="%4."/>
      <w:lvlJc w:val="left"/>
      <w:pPr>
        <w:ind w:left="3948" w:hanging="360"/>
      </w:pPr>
      <w:rPr/>
    </w:lvl>
    <w:lvl w:ilvl="4">
      <w:start w:val="1"/>
      <w:numFmt w:val="lowerLetter"/>
      <w:lvlText w:val="%5."/>
      <w:lvlJc w:val="left"/>
      <w:pPr>
        <w:ind w:left="4668" w:hanging="360"/>
      </w:pPr>
      <w:rPr/>
    </w:lvl>
    <w:lvl w:ilvl="5">
      <w:start w:val="1"/>
      <w:numFmt w:val="lowerRoman"/>
      <w:lvlText w:val="%6."/>
      <w:lvlJc w:val="right"/>
      <w:pPr>
        <w:ind w:left="5388" w:hanging="180"/>
      </w:pPr>
      <w:rPr/>
    </w:lvl>
    <w:lvl w:ilvl="6">
      <w:start w:val="1"/>
      <w:numFmt w:val="decimal"/>
      <w:lvlText w:val="%7."/>
      <w:lvlJc w:val="left"/>
      <w:pPr>
        <w:ind w:left="6108" w:hanging="360"/>
      </w:pPr>
      <w:rPr/>
    </w:lvl>
    <w:lvl w:ilvl="7">
      <w:start w:val="1"/>
      <w:numFmt w:val="lowerLetter"/>
      <w:lvlText w:val="%8."/>
      <w:lvlJc w:val="left"/>
      <w:pPr>
        <w:ind w:left="6828" w:hanging="360"/>
      </w:pPr>
      <w:rPr/>
    </w:lvl>
    <w:lvl w:ilvl="8">
      <w:start w:val="1"/>
      <w:numFmt w:val="lowerRoman"/>
      <w:lvlText w:val="%9."/>
      <w:lvlJc w:val="right"/>
      <w:pPr>
        <w:ind w:left="7548"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607BA"/>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link w:val="Ttulo2Car"/>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0607BA"/>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EncabezadoCar" w:customStyle="1">
    <w:name w:val="Encabezado Car"/>
    <w:basedOn w:val="Fuentedeprrafopredeter"/>
    <w:link w:val="Encabezado"/>
    <w:uiPriority w:val="99"/>
    <w:rsid w:val="000607BA"/>
    <w:rPr>
      <w:rFonts w:ascii="Times New Roman" w:cs="Times New Roman" w:eastAsia="Times New Roman" w:hAnsi="Times New Roman"/>
      <w:sz w:val="24"/>
      <w:szCs w:val="24"/>
      <w:lang w:eastAsia="es-ES" w:val="es-ES"/>
    </w:rPr>
  </w:style>
  <w:style w:type="paragraph" w:styleId="Piedepgina">
    <w:name w:val="footer"/>
    <w:basedOn w:val="Normal"/>
    <w:link w:val="PiedepginaCar"/>
    <w:uiPriority w:val="99"/>
    <w:unhideWhenUsed w:val="1"/>
    <w:rsid w:val="000607BA"/>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PiedepginaCar" w:customStyle="1">
    <w:name w:val="Pie de página Car"/>
    <w:basedOn w:val="Fuentedeprrafopredeter"/>
    <w:link w:val="Piedepgina"/>
    <w:uiPriority w:val="99"/>
    <w:rsid w:val="000607BA"/>
    <w:rPr>
      <w:rFonts w:ascii="Times New Roman" w:cs="Times New Roman" w:eastAsia="Times New Roman" w:hAnsi="Times New Roman"/>
      <w:sz w:val="24"/>
      <w:szCs w:val="24"/>
      <w:lang w:eastAsia="es-ES" w:val="es-ES"/>
    </w:rPr>
  </w:style>
  <w:style w:type="paragraph" w:styleId="NormalWeb">
    <w:name w:val="Normal (Web)"/>
    <w:basedOn w:val="Normal"/>
    <w:uiPriority w:val="99"/>
    <w:rsid w:val="000607BA"/>
    <w:pPr>
      <w:spacing w:after="100" w:afterAutospacing="1" w:before="100" w:beforeAutospacing="1" w:line="240" w:lineRule="auto"/>
    </w:pPr>
    <w:rPr>
      <w:rFonts w:ascii="Times New Roman" w:cs="Times New Roman" w:eastAsia="Times New Roman" w:hAnsi="Times New Roman"/>
      <w:sz w:val="24"/>
      <w:szCs w:val="24"/>
      <w:lang w:eastAsia="es-ES"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0607BA"/>
    <w:pPr>
      <w:spacing w:after="0" w:line="240" w:lineRule="auto"/>
      <w:ind w:left="720"/>
      <w:contextualSpacing w:val="1"/>
    </w:pPr>
    <w:rPr>
      <w:rFonts w:ascii="Times New Roman" w:cs="Times New Roman" w:hAnsi="Times New Roman"/>
      <w:sz w:val="24"/>
      <w:szCs w:val="24"/>
      <w:lang w:eastAsia="es-ES" w:val="es-ES"/>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0607BA"/>
    <w:rPr>
      <w:rFonts w:ascii="Times New Roman" w:cs="Times New Roman" w:eastAsia="Calibri" w:hAnsi="Times New Roman"/>
      <w:sz w:val="24"/>
      <w:szCs w:val="24"/>
      <w:lang w:eastAsia="es-ES" w:val="es-ES"/>
    </w:rPr>
  </w:style>
  <w:style w:type="paragraph" w:styleId="Textodeglobo">
    <w:name w:val="Balloon Text"/>
    <w:basedOn w:val="Normal"/>
    <w:link w:val="TextodegloboCar"/>
    <w:uiPriority w:val="99"/>
    <w:semiHidden w:val="1"/>
    <w:unhideWhenUsed w:val="1"/>
    <w:rsid w:val="0045646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456467"/>
    <w:rPr>
      <w:rFonts w:ascii="Segoe UI" w:cs="Segoe UI" w:hAnsi="Segoe UI"/>
      <w:sz w:val="18"/>
      <w:szCs w:val="18"/>
    </w:rPr>
  </w:style>
  <w:style w:type="character" w:styleId="apple-converted-space" w:customStyle="1">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921613"/>
    <w:pPr>
      <w:spacing w:after="0" w:line="240" w:lineRule="auto"/>
    </w:pPr>
    <w:rPr>
      <w:sz w:val="20"/>
      <w:szCs w:val="20"/>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val="1"/>
    <w:qFormat w:val="1"/>
    <w:rsid w:val="00921613"/>
    <w:rPr>
      <w:vertAlign w:val="superscript"/>
    </w:rPr>
  </w:style>
  <w:style w:type="character" w:styleId="Hipervnculo">
    <w:name w:val="Hyperlink"/>
    <w:basedOn w:val="Fuentedeprrafopredeter"/>
    <w:uiPriority w:val="99"/>
    <w:semiHidden w:val="1"/>
    <w:unhideWhenUsed w:val="1"/>
    <w:rsid w:val="00696A57"/>
    <w:rPr>
      <w:color w:val="0000ff"/>
      <w:u w:val="single"/>
    </w:rPr>
  </w:style>
  <w:style w:type="paragraph" w:styleId="Citas" w:customStyle="1">
    <w:name w:val="Citas"/>
    <w:basedOn w:val="Normal"/>
    <w:qFormat w:val="1"/>
    <w:rsid w:val="00191E4D"/>
    <w:pPr>
      <w:spacing w:before="240" w:line="360" w:lineRule="auto"/>
      <w:ind w:left="851" w:right="851"/>
      <w:jc w:val="both"/>
    </w:pPr>
    <w:rPr>
      <w:rFonts w:ascii="Palatino Linotype" w:cs="Arial" w:hAnsi="Palatino Linotype"/>
      <w:i w:val="1"/>
    </w:rPr>
  </w:style>
  <w:style w:type="paragraph" w:styleId="Sinespaciado">
    <w:name w:val="No Spacing"/>
    <w:aliases w:val="Francesa,INAI"/>
    <w:link w:val="SinespaciadoCar"/>
    <w:uiPriority w:val="1"/>
    <w:qFormat w:val="1"/>
    <w:rsid w:val="00AB4878"/>
    <w:pPr>
      <w:spacing w:after="0" w:line="240" w:lineRule="auto"/>
    </w:pPr>
    <w:rPr>
      <w:rFonts w:ascii="Times New Roman" w:cs="Times New Roman" w:eastAsia="Times New Roman" w:hAnsi="Times New Roman"/>
      <w:sz w:val="24"/>
      <w:szCs w:val="24"/>
      <w:lang w:eastAsia="es-ES"/>
    </w:rPr>
  </w:style>
  <w:style w:type="character" w:styleId="SinespaciadoCar" w:customStyle="1">
    <w:name w:val="Sin espaciado Car"/>
    <w:aliases w:val="Francesa Car,INAI Car"/>
    <w:link w:val="Sinespaciado"/>
    <w:uiPriority w:val="1"/>
    <w:locked w:val="1"/>
    <w:rsid w:val="00AB4878"/>
    <w:rPr>
      <w:rFonts w:ascii="Times New Roman" w:cs="Times New Roman" w:eastAsia="Times New Roman" w:hAnsi="Times New Roman"/>
      <w:sz w:val="24"/>
      <w:szCs w:val="24"/>
      <w:lang w:eastAsia="es-ES"/>
    </w:rPr>
  </w:style>
  <w:style w:type="paragraph" w:styleId="INFOEM" w:customStyle="1">
    <w:name w:val="INFOEM"/>
    <w:basedOn w:val="Normal"/>
    <w:qFormat w:val="1"/>
    <w:rsid w:val="00A430B5"/>
    <w:pPr>
      <w:spacing w:before="240" w:line="360" w:lineRule="auto"/>
      <w:ind w:left="851" w:right="851"/>
      <w:jc w:val="both"/>
    </w:pPr>
    <w:rPr>
      <w:rFonts w:ascii="Palatino Linotype" w:hAnsi="Palatino Linotype"/>
      <w:i w:val="1"/>
      <w:szCs w:val="14"/>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Fundamentos" w:customStyle="1">
    <w:name w:val="Fundamentos"/>
    <w:basedOn w:val="Normal"/>
    <w:qFormat w:val="1"/>
    <w:rsid w:val="000B7742"/>
    <w:pPr>
      <w:pBdr>
        <w:top w:space="0" w:sz="0" w:val="nil"/>
        <w:left w:space="0" w:sz="0" w:val="nil"/>
        <w:bottom w:space="0" w:sz="0" w:val="nil"/>
        <w:right w:space="0" w:sz="0" w:val="nil"/>
        <w:between w:space="0" w:sz="0" w:val="nil"/>
      </w:pBdr>
      <w:spacing w:after="0" w:line="240" w:lineRule="auto"/>
      <w:ind w:left="567" w:right="567"/>
      <w:contextualSpacing w:val="1"/>
      <w:jc w:val="both"/>
    </w:pPr>
    <w:rPr>
      <w:rFonts w:ascii="Palatino Linotype" w:cs="Palatino Linotype" w:eastAsia="Palatino Linotype" w:hAnsi="Palatino Linotype"/>
      <w:i w:val="1"/>
      <w:color w:val="000000"/>
      <w:szCs w:val="24"/>
      <w:lang w:val="es-ES_tradnl"/>
    </w:rPr>
  </w:style>
  <w:style w:type="character" w:styleId="Ttulo2Car" w:customStyle="1">
    <w:name w:val="Título 2 Car"/>
    <w:basedOn w:val="Fuentedeprrafopredeter"/>
    <w:link w:val="Ttulo2"/>
    <w:rsid w:val="00E972C0"/>
    <w:rPr>
      <w:b w:val="1"/>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lssDfAUI0C761l9HKR9pAnCGag==">CgMxLjAyCGguZ2pkZ3hzMgloLjFmb2I5dGUyCWguMzBqMHpsbDgAciExZy05MU1RdEZKYmE1UThWUGZJNE03UzlsWDl6S3pXb1Y=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2023-11-06T16:29:00Z</dcterms:created>
  <dc:creator>USUARIO</dc:creator>
</cp:coreProperties>
</file>