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32DEE82B" w:rsidR="00E81438" w:rsidRPr="0056567F" w:rsidRDefault="00406D8C" w:rsidP="00107D23">
      <w:pPr>
        <w:widowControl w:val="0"/>
        <w:ind w:right="-164"/>
        <w:contextualSpacing/>
        <w:jc w:val="both"/>
        <w:rPr>
          <w:rFonts w:ascii="Palatino Linotype" w:hAnsi="Palatino Linotype" w:cs="Arial"/>
          <w:b/>
        </w:rPr>
      </w:pPr>
      <w:bookmarkStart w:id="0" w:name="_GoBack"/>
      <w:bookmarkEnd w:id="0"/>
      <w:r w:rsidRPr="0056567F">
        <w:rPr>
          <w:rFonts w:ascii="Palatino Linotype" w:hAnsi="Palatino Linotype" w:cs="Arial"/>
          <w:b/>
        </w:rPr>
        <w:t>VOTO DISIDENTE</w:t>
      </w:r>
      <w:r w:rsidR="00E81438" w:rsidRPr="0056567F">
        <w:rPr>
          <w:rFonts w:ascii="Palatino Linotype" w:hAnsi="Palatino Linotype" w:cs="Arial"/>
          <w:b/>
        </w:rPr>
        <w:t xml:space="preserve"> QUE FORMULA LA COMISIONADA</w:t>
      </w:r>
      <w:r w:rsidR="002351D3" w:rsidRPr="0056567F">
        <w:rPr>
          <w:rFonts w:ascii="Palatino Linotype" w:hAnsi="Palatino Linotype" w:cs="Arial"/>
          <w:b/>
        </w:rPr>
        <w:t xml:space="preserve"> SHARON CRISTINA MORALES MARTÍNEZ</w:t>
      </w:r>
      <w:r w:rsidR="00E81438" w:rsidRPr="0056567F">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BB4E0F">
        <w:rPr>
          <w:rFonts w:ascii="Palatino Linotype" w:hAnsi="Palatino Linotype" w:cs="Arial"/>
          <w:b/>
        </w:rPr>
        <w:t xml:space="preserve">SÉPTIMA </w:t>
      </w:r>
      <w:r w:rsidR="00FC4426" w:rsidRPr="0056567F">
        <w:rPr>
          <w:rFonts w:ascii="Palatino Linotype" w:hAnsi="Palatino Linotype" w:cs="Arial"/>
          <w:b/>
        </w:rPr>
        <w:t xml:space="preserve">SESIÓN ORDINARIA CELEBRADA EL </w:t>
      </w:r>
      <w:r w:rsidR="00BB4E0F">
        <w:rPr>
          <w:rFonts w:ascii="Palatino Linotype" w:hAnsi="Palatino Linotype" w:cs="Arial"/>
          <w:b/>
        </w:rPr>
        <w:t xml:space="preserve">VEINTIDÓS </w:t>
      </w:r>
      <w:r w:rsidR="00C25C81">
        <w:rPr>
          <w:rFonts w:ascii="Palatino Linotype" w:hAnsi="Palatino Linotype" w:cs="Arial"/>
          <w:b/>
        </w:rPr>
        <w:t xml:space="preserve">DE </w:t>
      </w:r>
      <w:r w:rsidR="00BB4E0F">
        <w:rPr>
          <w:rFonts w:ascii="Palatino Linotype" w:hAnsi="Palatino Linotype" w:cs="Arial"/>
          <w:b/>
        </w:rPr>
        <w:t xml:space="preserve">FEBRERO </w:t>
      </w:r>
      <w:r w:rsidR="00333436" w:rsidRPr="0056567F">
        <w:rPr>
          <w:rFonts w:ascii="Palatino Linotype" w:hAnsi="Palatino Linotype" w:cs="Arial"/>
          <w:b/>
        </w:rPr>
        <w:t xml:space="preserve">DE DOS MIL </w:t>
      </w:r>
      <w:r w:rsidR="00BB4E0F">
        <w:rPr>
          <w:rFonts w:ascii="Palatino Linotype" w:hAnsi="Palatino Linotype" w:cs="Arial"/>
          <w:b/>
        </w:rPr>
        <w:t>VEINTITRÉS</w:t>
      </w:r>
      <w:r w:rsidR="00E81438" w:rsidRPr="0056567F">
        <w:rPr>
          <w:rFonts w:ascii="Palatino Linotype" w:hAnsi="Palatino Linotype" w:cs="Arial"/>
          <w:b/>
        </w:rPr>
        <w:t xml:space="preserve">, EN EL </w:t>
      </w:r>
      <w:r w:rsidR="00333436" w:rsidRPr="0056567F">
        <w:rPr>
          <w:rFonts w:ascii="Palatino Linotype" w:hAnsi="Palatino Linotype" w:cs="Arial"/>
          <w:b/>
        </w:rPr>
        <w:t>RECURSO DE REVISIÓN</w:t>
      </w:r>
      <w:r w:rsidR="00E81438" w:rsidRPr="0056567F">
        <w:rPr>
          <w:rFonts w:ascii="Palatino Linotype" w:hAnsi="Palatino Linotype" w:cs="Arial"/>
          <w:b/>
        </w:rPr>
        <w:t xml:space="preserve"> </w:t>
      </w:r>
      <w:r w:rsidR="00BB4E0F">
        <w:rPr>
          <w:rFonts w:ascii="Palatino Linotype" w:hAnsi="Palatino Linotype"/>
          <w:b/>
          <w:bCs/>
          <w:color w:val="000000" w:themeColor="text1"/>
        </w:rPr>
        <w:t>15404</w:t>
      </w:r>
      <w:r w:rsidR="00791445" w:rsidRPr="0056567F">
        <w:rPr>
          <w:rFonts w:ascii="Palatino Linotype" w:hAnsi="Palatino Linotype"/>
          <w:b/>
          <w:bCs/>
          <w:color w:val="000000" w:themeColor="text1"/>
        </w:rPr>
        <w:t>/INFOEM/IP/RR/</w:t>
      </w:r>
      <w:r w:rsidR="00B737A0" w:rsidRPr="0056567F">
        <w:rPr>
          <w:rFonts w:ascii="Palatino Linotype" w:hAnsi="Palatino Linotype"/>
          <w:b/>
          <w:bCs/>
          <w:color w:val="000000" w:themeColor="text1"/>
        </w:rPr>
        <w:t>2022</w:t>
      </w:r>
      <w:r w:rsidR="00DF6822">
        <w:rPr>
          <w:rFonts w:ascii="Palatino Linotype" w:hAnsi="Palatino Linotype"/>
          <w:b/>
          <w:bCs/>
          <w:color w:val="000000" w:themeColor="text1"/>
        </w:rPr>
        <w:t>.</w:t>
      </w:r>
    </w:p>
    <w:p w14:paraId="7ADE6D68" w14:textId="77777777" w:rsidR="009B728D" w:rsidRPr="0056567F" w:rsidRDefault="009B728D" w:rsidP="009B728D">
      <w:pPr>
        <w:widowControl w:val="0"/>
        <w:spacing w:line="360" w:lineRule="auto"/>
        <w:ind w:right="-164"/>
        <w:contextualSpacing/>
        <w:jc w:val="both"/>
        <w:rPr>
          <w:rFonts w:ascii="Palatino Linotype" w:eastAsia="Calibri" w:hAnsi="Palatino Linotype" w:cs="Arial"/>
          <w:b/>
          <w:color w:val="000000"/>
        </w:rPr>
      </w:pPr>
    </w:p>
    <w:p w14:paraId="42181C1A" w14:textId="7BA55A3A" w:rsidR="00E81438" w:rsidRPr="004645A9" w:rsidRDefault="00E81438" w:rsidP="00791445">
      <w:pPr>
        <w:widowControl w:val="0"/>
        <w:spacing w:line="360" w:lineRule="auto"/>
        <w:ind w:right="-164"/>
        <w:contextualSpacing/>
        <w:jc w:val="both"/>
        <w:rPr>
          <w:rFonts w:ascii="Palatino Linotype" w:hAnsi="Palatino Linotype" w:cs="Arial"/>
          <w:b/>
          <w:sz w:val="22"/>
          <w:szCs w:val="22"/>
        </w:rPr>
      </w:pPr>
      <w:r w:rsidRPr="004645A9">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000F4390" w:rsidRPr="004645A9">
        <w:rPr>
          <w:rFonts w:ascii="Palatino Linotype" w:hAnsi="Palatino Linotype" w:cs="Arial"/>
          <w:sz w:val="22"/>
          <w:szCs w:val="22"/>
        </w:rPr>
        <w:t xml:space="preserve">, </w:t>
      </w:r>
      <w:r w:rsidR="000F4390" w:rsidRPr="004645A9">
        <w:rPr>
          <w:rFonts w:ascii="Palatino Linotype" w:hAnsi="Palatino Linotype" w:cs="Arial"/>
          <w:b/>
          <w:sz w:val="22"/>
          <w:szCs w:val="22"/>
        </w:rPr>
        <w:t>Sharon Cristina Morales Martínez</w:t>
      </w:r>
      <w:r w:rsidR="00C12B90" w:rsidRPr="004645A9">
        <w:rPr>
          <w:rFonts w:ascii="Palatino Linotype" w:hAnsi="Palatino Linotype" w:cs="Arial"/>
          <w:b/>
          <w:sz w:val="22"/>
          <w:szCs w:val="22"/>
          <w:lang w:val="es-ES_tradnl"/>
        </w:rPr>
        <w:t xml:space="preserve">, </w:t>
      </w:r>
      <w:r w:rsidRPr="004645A9">
        <w:rPr>
          <w:rFonts w:ascii="Palatino Linotype" w:hAnsi="Palatino Linotype" w:cs="Arial"/>
          <w:sz w:val="22"/>
          <w:szCs w:val="22"/>
        </w:rPr>
        <w:t xml:space="preserve">emite </w:t>
      </w:r>
      <w:r w:rsidRPr="004645A9">
        <w:rPr>
          <w:rFonts w:ascii="Palatino Linotype" w:hAnsi="Palatino Linotype" w:cs="Arial"/>
          <w:b/>
          <w:sz w:val="22"/>
          <w:szCs w:val="22"/>
        </w:rPr>
        <w:t xml:space="preserve">VOTO </w:t>
      </w:r>
      <w:r w:rsidR="00406D8C" w:rsidRPr="004645A9">
        <w:rPr>
          <w:rFonts w:ascii="Palatino Linotype" w:hAnsi="Palatino Linotype" w:cs="Arial"/>
          <w:b/>
          <w:sz w:val="22"/>
          <w:szCs w:val="22"/>
        </w:rPr>
        <w:t>DISIDENTE</w:t>
      </w:r>
      <w:r w:rsidRPr="004645A9">
        <w:rPr>
          <w:rFonts w:ascii="Palatino Linotype" w:hAnsi="Palatino Linotype" w:cs="Arial"/>
          <w:b/>
          <w:sz w:val="22"/>
          <w:szCs w:val="22"/>
        </w:rPr>
        <w:t xml:space="preserve"> </w:t>
      </w:r>
      <w:r w:rsidRPr="004645A9">
        <w:rPr>
          <w:rFonts w:ascii="Palatino Linotype" w:hAnsi="Palatino Linotype" w:cs="Arial"/>
          <w:sz w:val="22"/>
          <w:szCs w:val="22"/>
        </w:rPr>
        <w:t xml:space="preserve">respecto de la resolución dictada en el </w:t>
      </w:r>
      <w:r w:rsidR="00333436" w:rsidRPr="004645A9">
        <w:rPr>
          <w:rFonts w:ascii="Palatino Linotype" w:hAnsi="Palatino Linotype" w:cs="Arial"/>
          <w:sz w:val="22"/>
          <w:szCs w:val="22"/>
        </w:rPr>
        <w:t>Recurso de Revisión</w:t>
      </w:r>
      <w:r w:rsidRPr="004645A9">
        <w:rPr>
          <w:rFonts w:ascii="Palatino Linotype" w:hAnsi="Palatino Linotype" w:cs="Arial"/>
          <w:sz w:val="22"/>
          <w:szCs w:val="22"/>
        </w:rPr>
        <w:t xml:space="preserve"> </w:t>
      </w:r>
      <w:r w:rsidR="00BB4E0F">
        <w:rPr>
          <w:rFonts w:ascii="Palatino Linotype" w:hAnsi="Palatino Linotype"/>
          <w:b/>
          <w:bCs/>
          <w:color w:val="000000" w:themeColor="text1"/>
          <w:sz w:val="22"/>
          <w:szCs w:val="22"/>
        </w:rPr>
        <w:t>15404</w:t>
      </w:r>
      <w:r w:rsidR="00B737A0" w:rsidRPr="004645A9">
        <w:rPr>
          <w:rFonts w:ascii="Palatino Linotype" w:hAnsi="Palatino Linotype"/>
          <w:b/>
          <w:bCs/>
          <w:color w:val="000000" w:themeColor="text1"/>
          <w:sz w:val="22"/>
          <w:szCs w:val="22"/>
        </w:rPr>
        <w:t>/</w:t>
      </w:r>
      <w:r w:rsidR="00333436" w:rsidRPr="004645A9">
        <w:rPr>
          <w:rFonts w:ascii="Palatino Linotype" w:hAnsi="Palatino Linotype"/>
          <w:b/>
          <w:bCs/>
          <w:color w:val="000000" w:themeColor="text1"/>
          <w:sz w:val="22"/>
          <w:szCs w:val="22"/>
        </w:rPr>
        <w:t>INFOEM/IP/RR/2022</w:t>
      </w:r>
      <w:r w:rsidR="00B737A0" w:rsidRPr="004645A9">
        <w:rPr>
          <w:rFonts w:ascii="Palatino Linotype" w:hAnsi="Palatino Linotype"/>
          <w:b/>
          <w:bCs/>
          <w:color w:val="000000" w:themeColor="text1"/>
          <w:sz w:val="22"/>
          <w:szCs w:val="22"/>
        </w:rPr>
        <w:t>,</w:t>
      </w:r>
      <w:r w:rsidRPr="004645A9">
        <w:rPr>
          <w:rFonts w:ascii="Palatino Linotype" w:hAnsi="Palatino Linotype" w:cs="Arial"/>
          <w:sz w:val="22"/>
          <w:szCs w:val="22"/>
        </w:rPr>
        <w:t xml:space="preserve"> pronunciada por el Pleno de este Instituto ante el proyecto presentado </w:t>
      </w:r>
      <w:r w:rsidR="00940CFC" w:rsidRPr="004645A9">
        <w:rPr>
          <w:rFonts w:ascii="Palatino Linotype" w:hAnsi="Palatino Linotype" w:cs="Arial"/>
          <w:sz w:val="22"/>
          <w:szCs w:val="22"/>
        </w:rPr>
        <w:t xml:space="preserve">por </w:t>
      </w:r>
      <w:r w:rsidR="00BB4E0F">
        <w:rPr>
          <w:rFonts w:ascii="Palatino Linotype" w:hAnsi="Palatino Linotype" w:cs="Arial"/>
          <w:sz w:val="22"/>
          <w:szCs w:val="22"/>
        </w:rPr>
        <w:t>la</w:t>
      </w:r>
      <w:r w:rsidR="00940CFC" w:rsidRPr="004645A9">
        <w:rPr>
          <w:rFonts w:ascii="Palatino Linotype" w:hAnsi="Palatino Linotype" w:cs="Arial"/>
          <w:sz w:val="22"/>
          <w:szCs w:val="22"/>
        </w:rPr>
        <w:t xml:space="preserve"> </w:t>
      </w:r>
      <w:r w:rsidR="00940CFC" w:rsidRPr="004645A9">
        <w:rPr>
          <w:rFonts w:ascii="Palatino Linotype" w:hAnsi="Palatino Linotype" w:cs="Arial"/>
          <w:b/>
          <w:sz w:val="22"/>
          <w:szCs w:val="22"/>
        </w:rPr>
        <w:t>Comisionad</w:t>
      </w:r>
      <w:r w:rsidR="00BB4E0F">
        <w:rPr>
          <w:rFonts w:ascii="Palatino Linotype" w:hAnsi="Palatino Linotype" w:cs="Arial"/>
          <w:b/>
          <w:sz w:val="22"/>
          <w:szCs w:val="22"/>
        </w:rPr>
        <w:t>a</w:t>
      </w:r>
      <w:r w:rsidR="00DE4F14">
        <w:rPr>
          <w:rFonts w:ascii="Palatino Linotype" w:hAnsi="Palatino Linotype" w:cs="Arial"/>
          <w:b/>
          <w:sz w:val="22"/>
          <w:szCs w:val="22"/>
        </w:rPr>
        <w:t xml:space="preserve"> </w:t>
      </w:r>
      <w:r w:rsidR="00BB4E0F">
        <w:rPr>
          <w:rFonts w:ascii="Palatino Linotype" w:hAnsi="Palatino Linotype" w:cs="Arial"/>
          <w:b/>
          <w:sz w:val="22"/>
          <w:szCs w:val="22"/>
        </w:rPr>
        <w:t>Guadalupe Remírez Peña</w:t>
      </w:r>
      <w:r w:rsidR="00C12B90" w:rsidRPr="004645A9">
        <w:rPr>
          <w:rFonts w:ascii="Palatino Linotype" w:hAnsi="Palatino Linotype" w:cs="Arial"/>
          <w:b/>
          <w:sz w:val="22"/>
          <w:szCs w:val="22"/>
        </w:rPr>
        <w:t>.</w:t>
      </w:r>
    </w:p>
    <w:p w14:paraId="31FAEBE3" w14:textId="77777777" w:rsidR="00595D69" w:rsidRPr="004645A9" w:rsidRDefault="00595D69" w:rsidP="009B728D">
      <w:pPr>
        <w:spacing w:line="360" w:lineRule="auto"/>
        <w:contextualSpacing/>
        <w:jc w:val="both"/>
        <w:rPr>
          <w:rFonts w:ascii="Palatino Linotype" w:hAnsi="Palatino Linotype" w:cs="Arial"/>
          <w:sz w:val="22"/>
          <w:szCs w:val="22"/>
        </w:rPr>
      </w:pPr>
    </w:p>
    <w:p w14:paraId="02382029" w14:textId="069674E2" w:rsidR="003868B5" w:rsidRPr="004645A9" w:rsidRDefault="00E81438" w:rsidP="003868B5">
      <w:pPr>
        <w:spacing w:line="360" w:lineRule="auto"/>
        <w:contextualSpacing/>
        <w:jc w:val="both"/>
        <w:rPr>
          <w:rFonts w:ascii="Palatino Linotype" w:hAnsi="Palatino Linotype"/>
          <w:sz w:val="22"/>
          <w:szCs w:val="22"/>
        </w:rPr>
      </w:pPr>
      <w:r w:rsidRPr="004645A9">
        <w:rPr>
          <w:rFonts w:ascii="Palatino Linotype" w:hAnsi="Palatino Linotype"/>
          <w:sz w:val="22"/>
          <w:szCs w:val="22"/>
        </w:rPr>
        <w:t xml:space="preserve">Es de destacar, que la suscrita </w:t>
      </w:r>
      <w:r w:rsidR="003868B5" w:rsidRPr="004645A9">
        <w:rPr>
          <w:rFonts w:ascii="Palatino Linotype" w:hAnsi="Palatino Linotype"/>
          <w:sz w:val="22"/>
          <w:szCs w:val="22"/>
        </w:rPr>
        <w:t xml:space="preserve">no </w:t>
      </w:r>
      <w:r w:rsidRPr="004645A9">
        <w:rPr>
          <w:rFonts w:ascii="Palatino Linotype" w:hAnsi="Palatino Linotype"/>
          <w:sz w:val="22"/>
          <w:szCs w:val="22"/>
        </w:rPr>
        <w:t>co</w:t>
      </w:r>
      <w:r w:rsidR="00313375" w:rsidRPr="004645A9">
        <w:rPr>
          <w:rFonts w:ascii="Palatino Linotype" w:hAnsi="Palatino Linotype"/>
          <w:sz w:val="22"/>
          <w:szCs w:val="22"/>
        </w:rPr>
        <w:t xml:space="preserve">incide </w:t>
      </w:r>
      <w:r w:rsidR="002D46DF" w:rsidRPr="004645A9">
        <w:rPr>
          <w:rFonts w:ascii="Palatino Linotype" w:hAnsi="Palatino Linotype"/>
          <w:sz w:val="22"/>
          <w:szCs w:val="22"/>
        </w:rPr>
        <w:t>con el</w:t>
      </w:r>
      <w:r w:rsidRPr="004645A9">
        <w:rPr>
          <w:rFonts w:ascii="Palatino Linotype" w:hAnsi="Palatino Linotype"/>
          <w:sz w:val="22"/>
          <w:szCs w:val="22"/>
        </w:rPr>
        <w:t xml:space="preserve"> estudio realizado en la resolución del </w:t>
      </w:r>
      <w:r w:rsidR="00333436" w:rsidRPr="004645A9">
        <w:rPr>
          <w:rFonts w:ascii="Palatino Linotype" w:hAnsi="Palatino Linotype"/>
          <w:sz w:val="22"/>
          <w:szCs w:val="22"/>
        </w:rPr>
        <w:t>Recurso de Revisión</w:t>
      </w:r>
      <w:r w:rsidR="003868B5" w:rsidRPr="004645A9">
        <w:rPr>
          <w:rFonts w:ascii="Palatino Linotype" w:hAnsi="Palatino Linotype"/>
          <w:sz w:val="22"/>
          <w:szCs w:val="22"/>
        </w:rPr>
        <w:t>, en atención a lo siguiente:</w:t>
      </w:r>
    </w:p>
    <w:p w14:paraId="3E367D51" w14:textId="77777777" w:rsidR="003868B5" w:rsidRPr="004645A9" w:rsidRDefault="003868B5" w:rsidP="003868B5">
      <w:pPr>
        <w:spacing w:line="360" w:lineRule="auto"/>
        <w:contextualSpacing/>
        <w:jc w:val="both"/>
        <w:rPr>
          <w:rFonts w:ascii="Palatino Linotype" w:hAnsi="Palatino Linotype"/>
          <w:sz w:val="22"/>
          <w:szCs w:val="22"/>
        </w:rPr>
      </w:pPr>
    </w:p>
    <w:p w14:paraId="35828E45" w14:textId="77777777" w:rsidR="003617FA" w:rsidRDefault="003868B5" w:rsidP="00D35908">
      <w:pPr>
        <w:spacing w:line="276" w:lineRule="auto"/>
        <w:ind w:right="49"/>
        <w:jc w:val="both"/>
        <w:rPr>
          <w:rFonts w:ascii="Palatino Linotype" w:hAnsi="Palatino Linotype"/>
          <w:sz w:val="22"/>
          <w:szCs w:val="22"/>
        </w:rPr>
      </w:pPr>
      <w:r w:rsidRPr="004645A9">
        <w:rPr>
          <w:rFonts w:ascii="Palatino Linotype" w:hAnsi="Palatino Linotype"/>
          <w:sz w:val="22"/>
          <w:szCs w:val="22"/>
        </w:rPr>
        <w:t>T</w:t>
      </w:r>
      <w:r w:rsidR="00E81438" w:rsidRPr="004645A9">
        <w:rPr>
          <w:rFonts w:ascii="Palatino Linotype" w:hAnsi="Palatino Linotype"/>
          <w:sz w:val="22"/>
          <w:szCs w:val="22"/>
        </w:rPr>
        <w:t>a</w:t>
      </w:r>
      <w:r w:rsidRPr="004645A9">
        <w:rPr>
          <w:rFonts w:ascii="Palatino Linotype" w:hAnsi="Palatino Linotype"/>
          <w:sz w:val="22"/>
          <w:szCs w:val="22"/>
        </w:rPr>
        <w:t>l y como quedó</w:t>
      </w:r>
      <w:r w:rsidR="00E81438" w:rsidRPr="004645A9">
        <w:rPr>
          <w:rFonts w:ascii="Palatino Linotype" w:hAnsi="Palatino Linotype"/>
          <w:sz w:val="22"/>
          <w:szCs w:val="22"/>
        </w:rPr>
        <w:t xml:space="preserve"> asentado en la resolución materia del presente voto, </w:t>
      </w:r>
      <w:r w:rsidR="00F22A66" w:rsidRPr="004645A9">
        <w:rPr>
          <w:rFonts w:ascii="Palatino Linotype" w:hAnsi="Palatino Linotype"/>
          <w:sz w:val="22"/>
          <w:szCs w:val="22"/>
        </w:rPr>
        <w:t>el</w:t>
      </w:r>
      <w:r w:rsidR="00E81438" w:rsidRPr="004645A9">
        <w:rPr>
          <w:rFonts w:ascii="Palatino Linotype" w:hAnsi="Palatino Linotype"/>
          <w:sz w:val="22"/>
          <w:szCs w:val="22"/>
        </w:rPr>
        <w:t xml:space="preserve"> particular requirió del </w:t>
      </w:r>
      <w:r w:rsidR="00E81438" w:rsidRPr="004645A9">
        <w:rPr>
          <w:rFonts w:ascii="Palatino Linotype" w:hAnsi="Palatino Linotype"/>
          <w:b/>
          <w:sz w:val="22"/>
          <w:szCs w:val="22"/>
        </w:rPr>
        <w:t>SUJETO OBLIGADO</w:t>
      </w:r>
      <w:r w:rsidR="00FC4426" w:rsidRPr="004645A9">
        <w:rPr>
          <w:rFonts w:ascii="Palatino Linotype" w:hAnsi="Palatino Linotype"/>
          <w:b/>
          <w:sz w:val="22"/>
          <w:szCs w:val="22"/>
        </w:rPr>
        <w:t xml:space="preserve"> </w:t>
      </w:r>
      <w:r w:rsidR="003617FA">
        <w:rPr>
          <w:rFonts w:ascii="Palatino Linotype" w:hAnsi="Palatino Linotype"/>
          <w:sz w:val="22"/>
          <w:szCs w:val="22"/>
        </w:rPr>
        <w:t xml:space="preserve">lo siguiente: </w:t>
      </w:r>
    </w:p>
    <w:p w14:paraId="39DEAD67" w14:textId="77777777" w:rsidR="003617FA" w:rsidRDefault="003617FA" w:rsidP="001A75DE">
      <w:pPr>
        <w:spacing w:line="276" w:lineRule="auto"/>
        <w:ind w:right="567"/>
        <w:jc w:val="both"/>
        <w:rPr>
          <w:rFonts w:ascii="Palatino Linotype" w:hAnsi="Palatino Linotype"/>
          <w:sz w:val="22"/>
          <w:szCs w:val="22"/>
        </w:rPr>
      </w:pPr>
    </w:p>
    <w:p w14:paraId="0A9A8DF4" w14:textId="439F634E" w:rsidR="003617FA" w:rsidRDefault="00BB4E0F" w:rsidP="003617FA">
      <w:pPr>
        <w:spacing w:line="276" w:lineRule="auto"/>
        <w:ind w:right="567" w:firstLine="708"/>
        <w:jc w:val="both"/>
        <w:rPr>
          <w:rFonts w:ascii="Palatino Linotype" w:hAnsi="Palatino Linotype" w:cs="Arial"/>
          <w:b/>
          <w:sz w:val="22"/>
          <w:szCs w:val="22"/>
        </w:rPr>
      </w:pPr>
      <w:r w:rsidRPr="00BB4E0F">
        <w:rPr>
          <w:rFonts w:ascii="Palatino Linotype" w:hAnsi="Palatino Linotype" w:cs="Arial"/>
          <w:b/>
          <w:sz w:val="22"/>
          <w:szCs w:val="22"/>
        </w:rPr>
        <w:t>00814/NAUCALPA/IP/2022</w:t>
      </w:r>
      <w:r w:rsidR="003617FA">
        <w:rPr>
          <w:rFonts w:ascii="Palatino Linotype" w:hAnsi="Palatino Linotype" w:cs="Arial"/>
          <w:b/>
          <w:sz w:val="22"/>
          <w:szCs w:val="22"/>
        </w:rPr>
        <w:t xml:space="preserve">: </w:t>
      </w:r>
    </w:p>
    <w:p w14:paraId="49A89801" w14:textId="5F32255C" w:rsidR="003617FA" w:rsidRPr="003617FA" w:rsidRDefault="003617FA" w:rsidP="00F65201">
      <w:pPr>
        <w:spacing w:line="276" w:lineRule="auto"/>
        <w:ind w:left="851" w:right="1183"/>
        <w:jc w:val="both"/>
        <w:rPr>
          <w:rFonts w:ascii="Palatino Linotype" w:hAnsi="Palatino Linotype" w:cs="Arial"/>
          <w:i/>
          <w:sz w:val="22"/>
          <w:szCs w:val="22"/>
        </w:rPr>
      </w:pPr>
      <w:r>
        <w:rPr>
          <w:rFonts w:ascii="Palatino Linotype" w:hAnsi="Palatino Linotype" w:cs="Arial"/>
          <w:i/>
          <w:sz w:val="22"/>
          <w:szCs w:val="22"/>
        </w:rPr>
        <w:t>“</w:t>
      </w:r>
      <w:r w:rsidR="00BB4E0F" w:rsidRPr="00BB4E0F">
        <w:rPr>
          <w:rFonts w:ascii="Palatino Linotype" w:hAnsi="Palatino Linotype" w:cs="Arial"/>
          <w:i/>
          <w:sz w:val="22"/>
          <w:szCs w:val="22"/>
        </w:rPr>
        <w:t>Saludos buenas trades,solicito se me de información sobre el personal de confianza adscrito a cada area de l administración asi como el personal adscrito a cada no de los ediles den H. Ayuntamiento de Naucalpan de Juárez.</w:t>
      </w:r>
      <w:r w:rsidR="006201FC" w:rsidRPr="006201FC">
        <w:rPr>
          <w:rFonts w:ascii="Palatino Linotype" w:hAnsi="Palatino Linotype" w:cs="Arial"/>
          <w:i/>
          <w:sz w:val="22"/>
          <w:szCs w:val="22"/>
        </w:rPr>
        <w:t>”</w:t>
      </w:r>
      <w:r>
        <w:rPr>
          <w:rFonts w:ascii="Palatino Linotype" w:hAnsi="Palatino Linotype" w:cs="Arial"/>
          <w:i/>
          <w:sz w:val="22"/>
          <w:szCs w:val="22"/>
        </w:rPr>
        <w:t xml:space="preserve"> </w:t>
      </w:r>
      <w:r>
        <w:rPr>
          <w:rFonts w:ascii="Palatino Linotype" w:hAnsi="Palatino Linotype" w:cs="Arial"/>
          <w:sz w:val="22"/>
          <w:szCs w:val="22"/>
        </w:rPr>
        <w:t>(Sic).</w:t>
      </w:r>
      <w:r w:rsidR="00C6311E" w:rsidRPr="003617FA">
        <w:rPr>
          <w:rFonts w:ascii="Palatino Linotype" w:hAnsi="Palatino Linotype" w:cs="Arial"/>
          <w:i/>
          <w:sz w:val="22"/>
          <w:szCs w:val="22"/>
        </w:rPr>
        <w:t xml:space="preserve"> </w:t>
      </w:r>
    </w:p>
    <w:p w14:paraId="12D50F86" w14:textId="77777777" w:rsidR="003617FA" w:rsidRDefault="003617FA" w:rsidP="003617FA">
      <w:pPr>
        <w:spacing w:line="276" w:lineRule="auto"/>
        <w:ind w:right="567" w:firstLine="708"/>
        <w:jc w:val="both"/>
        <w:rPr>
          <w:rFonts w:ascii="Palatino Linotype" w:hAnsi="Palatino Linotype" w:cs="Arial"/>
          <w:b/>
          <w:sz w:val="22"/>
          <w:szCs w:val="22"/>
        </w:rPr>
      </w:pPr>
    </w:p>
    <w:p w14:paraId="28696CFF" w14:textId="5913E12A" w:rsidR="006A0CA6" w:rsidRDefault="00577766" w:rsidP="00BB4E0F">
      <w:pPr>
        <w:pStyle w:val="Prrafodelista"/>
        <w:tabs>
          <w:tab w:val="left" w:pos="567"/>
        </w:tabs>
        <w:spacing w:line="360" w:lineRule="auto"/>
        <w:ind w:left="0"/>
        <w:jc w:val="both"/>
        <w:rPr>
          <w:rFonts w:ascii="Palatino Linotype" w:hAnsi="Palatino Linotype" w:cs="Tahoma"/>
          <w:sz w:val="22"/>
          <w:szCs w:val="22"/>
          <w:lang w:val="es-MX"/>
        </w:rPr>
      </w:pPr>
      <w:r>
        <w:rPr>
          <w:rFonts w:ascii="Palatino Linotype" w:hAnsi="Palatino Linotype" w:cs="Tahoma"/>
          <w:color w:val="0D0D0D"/>
          <w:sz w:val="22"/>
          <w:szCs w:val="22"/>
          <w:lang w:val="es-MX"/>
        </w:rPr>
        <w:t>Cabe destacar que</w:t>
      </w:r>
      <w:r w:rsidR="00F65201" w:rsidRPr="00F65201">
        <w:rPr>
          <w:rFonts w:ascii="Palatino Linotype" w:hAnsi="Palatino Linotype" w:cs="Tahoma"/>
          <w:sz w:val="22"/>
          <w:szCs w:val="22"/>
          <w:lang w:val="es-MX"/>
        </w:rPr>
        <w:t xml:space="preserve"> el </w:t>
      </w:r>
      <w:r w:rsidR="006A0CA6" w:rsidRPr="006A0CA6">
        <w:rPr>
          <w:rFonts w:ascii="Palatino Linotype" w:hAnsi="Palatino Linotype" w:cs="Tahoma"/>
          <w:sz w:val="22"/>
          <w:szCs w:val="22"/>
          <w:lang w:val="es-MX"/>
        </w:rPr>
        <w:t xml:space="preserve">Ayuntamiento de </w:t>
      </w:r>
      <w:r w:rsidR="00BB4E0F" w:rsidRPr="00BB4E0F">
        <w:rPr>
          <w:rFonts w:ascii="Palatino Linotype" w:hAnsi="Palatino Linotype" w:cs="Tahoma"/>
          <w:sz w:val="22"/>
          <w:szCs w:val="22"/>
          <w:lang w:val="es-MX"/>
        </w:rPr>
        <w:t>Naucalpan de Juárez</w:t>
      </w:r>
      <w:r w:rsidR="00BB4E0F">
        <w:rPr>
          <w:rFonts w:ascii="Palatino Linotype" w:hAnsi="Palatino Linotype" w:cs="Tahoma"/>
          <w:sz w:val="22"/>
          <w:szCs w:val="22"/>
          <w:lang w:val="es-MX"/>
        </w:rPr>
        <w:t xml:space="preserve"> fue omiso en presentar en tiempo y forma la </w:t>
      </w:r>
      <w:r w:rsidR="00F65201" w:rsidRPr="00F65201">
        <w:rPr>
          <w:rFonts w:ascii="Palatino Linotype" w:hAnsi="Palatino Linotype" w:cs="Tahoma"/>
          <w:sz w:val="22"/>
          <w:szCs w:val="22"/>
          <w:lang w:val="es-MX"/>
        </w:rPr>
        <w:t>respuesta a la solicitud de acceso a la información</w:t>
      </w:r>
      <w:r w:rsidR="00BB4E0F">
        <w:rPr>
          <w:rFonts w:ascii="Palatino Linotype" w:hAnsi="Palatino Linotype" w:cs="Tahoma"/>
          <w:sz w:val="22"/>
          <w:szCs w:val="22"/>
          <w:lang w:val="es-MX"/>
        </w:rPr>
        <w:t xml:space="preserve"> que dio trámite al presente Recurso de Revisión.</w:t>
      </w:r>
    </w:p>
    <w:p w14:paraId="6A3F4A18" w14:textId="77777777" w:rsidR="00BB4E0F" w:rsidRDefault="00BB4E0F" w:rsidP="00BB4E0F">
      <w:pPr>
        <w:pStyle w:val="Prrafodelista"/>
        <w:tabs>
          <w:tab w:val="left" w:pos="567"/>
        </w:tabs>
        <w:spacing w:line="360" w:lineRule="auto"/>
        <w:ind w:left="0"/>
        <w:jc w:val="both"/>
        <w:rPr>
          <w:rFonts w:ascii="Palatino Linotype" w:hAnsi="Palatino Linotype" w:cs="Arial"/>
          <w:sz w:val="22"/>
          <w:szCs w:val="22"/>
          <w:lang w:val="es-419"/>
        </w:rPr>
      </w:pPr>
    </w:p>
    <w:p w14:paraId="0D6CFA7F" w14:textId="6A0AE373" w:rsidR="0035304E" w:rsidRPr="00577766" w:rsidRDefault="00B302ED" w:rsidP="00F65201">
      <w:pPr>
        <w:autoSpaceDE w:val="0"/>
        <w:autoSpaceDN w:val="0"/>
        <w:adjustRightInd w:val="0"/>
        <w:spacing w:line="360" w:lineRule="auto"/>
        <w:jc w:val="both"/>
        <w:rPr>
          <w:rFonts w:ascii="Palatino Linotype" w:hAnsi="Palatino Linotype" w:cs="Arial"/>
          <w:b/>
          <w:sz w:val="22"/>
          <w:szCs w:val="22"/>
          <w:lang w:val="es-419"/>
        </w:rPr>
      </w:pPr>
      <w:r>
        <w:rPr>
          <w:rFonts w:ascii="Palatino Linotype" w:hAnsi="Palatino Linotype" w:cs="Arial"/>
          <w:sz w:val="22"/>
          <w:szCs w:val="22"/>
          <w:lang w:val="es-419"/>
        </w:rPr>
        <w:lastRenderedPageBreak/>
        <w:t xml:space="preserve">Inconforme </w:t>
      </w:r>
      <w:r w:rsidR="00BB4E0F">
        <w:rPr>
          <w:rFonts w:ascii="Palatino Linotype" w:hAnsi="Palatino Linotype" w:cs="Arial"/>
          <w:sz w:val="22"/>
          <w:szCs w:val="22"/>
          <w:lang w:val="es-419"/>
        </w:rPr>
        <w:t>por</w:t>
      </w:r>
      <w:r w:rsidR="00577766">
        <w:rPr>
          <w:rFonts w:ascii="Palatino Linotype" w:hAnsi="Palatino Linotype" w:cs="Arial"/>
          <w:sz w:val="22"/>
          <w:szCs w:val="22"/>
          <w:lang w:val="es-419"/>
        </w:rPr>
        <w:t xml:space="preserve"> la</w:t>
      </w:r>
      <w:r w:rsidR="00BB4E0F">
        <w:rPr>
          <w:rFonts w:ascii="Palatino Linotype" w:hAnsi="Palatino Linotype" w:cs="Arial"/>
          <w:sz w:val="22"/>
          <w:szCs w:val="22"/>
          <w:lang w:val="es-419"/>
        </w:rPr>
        <w:t xml:space="preserve"> falta de</w:t>
      </w:r>
      <w:r w:rsidR="00577766">
        <w:rPr>
          <w:rFonts w:ascii="Palatino Linotype" w:hAnsi="Palatino Linotype" w:cs="Arial"/>
          <w:sz w:val="22"/>
          <w:szCs w:val="22"/>
          <w:lang w:val="es-419"/>
        </w:rPr>
        <w:t xml:space="preserve"> respuesta brindada por </w:t>
      </w:r>
      <w:r w:rsidR="00577766">
        <w:rPr>
          <w:rFonts w:ascii="Palatino Linotype" w:hAnsi="Palatino Linotype" w:cs="Arial"/>
          <w:b/>
          <w:sz w:val="22"/>
          <w:szCs w:val="22"/>
          <w:lang w:val="es-419"/>
        </w:rPr>
        <w:t xml:space="preserve">EL SUJETO OBLIGADO, </w:t>
      </w:r>
      <w:r w:rsidR="0016335C">
        <w:rPr>
          <w:rFonts w:ascii="Palatino Linotype" w:hAnsi="Palatino Linotype" w:cs="Arial"/>
          <w:sz w:val="22"/>
          <w:szCs w:val="22"/>
          <w:lang w:val="es-419"/>
        </w:rPr>
        <w:t>el particular</w:t>
      </w:r>
      <w:r w:rsidR="00F202EA">
        <w:rPr>
          <w:rFonts w:ascii="Palatino Linotype" w:hAnsi="Palatino Linotype" w:cs="Arial"/>
          <w:b/>
          <w:sz w:val="22"/>
          <w:szCs w:val="22"/>
          <w:lang w:val="es-419"/>
        </w:rPr>
        <w:t xml:space="preserve"> </w:t>
      </w:r>
      <w:r w:rsidR="0035304E" w:rsidRPr="004645A9">
        <w:rPr>
          <w:rFonts w:ascii="Palatino Linotype" w:hAnsi="Palatino Linotype" w:cs="Arial"/>
          <w:sz w:val="22"/>
          <w:szCs w:val="22"/>
          <w:lang w:val="es-419"/>
        </w:rPr>
        <w:t xml:space="preserve">interpuso </w:t>
      </w:r>
      <w:r>
        <w:rPr>
          <w:rFonts w:ascii="Palatino Linotype" w:hAnsi="Palatino Linotype" w:cs="Arial"/>
          <w:sz w:val="22"/>
          <w:szCs w:val="22"/>
          <w:lang w:val="es-419"/>
        </w:rPr>
        <w:t>el</w:t>
      </w:r>
      <w:r w:rsidR="0035304E" w:rsidRPr="004645A9">
        <w:rPr>
          <w:rFonts w:ascii="Palatino Linotype" w:hAnsi="Palatino Linotype" w:cs="Arial"/>
          <w:sz w:val="22"/>
          <w:szCs w:val="22"/>
          <w:lang w:val="es-419"/>
        </w:rPr>
        <w:t xml:space="preserve"> presente medio de defensa, señalando como razones o motivos de inconformidad</w:t>
      </w:r>
      <w:r w:rsidR="00426A0D">
        <w:rPr>
          <w:rFonts w:ascii="Palatino Linotype" w:hAnsi="Palatino Linotype" w:cs="Arial"/>
          <w:sz w:val="22"/>
          <w:szCs w:val="22"/>
          <w:lang w:val="es-419"/>
        </w:rPr>
        <w:t xml:space="preserve"> para </w:t>
      </w:r>
      <w:r>
        <w:rPr>
          <w:rFonts w:ascii="Palatino Linotype" w:hAnsi="Palatino Linotype" w:cs="Arial"/>
          <w:sz w:val="22"/>
          <w:szCs w:val="22"/>
          <w:lang w:val="es-419"/>
        </w:rPr>
        <w:t xml:space="preserve">el </w:t>
      </w:r>
      <w:r w:rsidR="00426A0D">
        <w:rPr>
          <w:rFonts w:ascii="Palatino Linotype" w:hAnsi="Palatino Linotype" w:cs="Arial"/>
          <w:sz w:val="22"/>
          <w:szCs w:val="22"/>
          <w:lang w:val="es-419"/>
        </w:rPr>
        <w:t xml:space="preserve">Recurso </w:t>
      </w:r>
      <w:r w:rsidR="00AC6449">
        <w:rPr>
          <w:rFonts w:ascii="Palatino Linotype" w:hAnsi="Palatino Linotype" w:cs="Arial"/>
          <w:sz w:val="22"/>
          <w:szCs w:val="22"/>
          <w:lang w:val="es-419"/>
        </w:rPr>
        <w:t xml:space="preserve">de Revisión que nos ocupa, </w:t>
      </w:r>
      <w:r w:rsidR="00426A0D">
        <w:rPr>
          <w:rFonts w:ascii="Palatino Linotype" w:hAnsi="Palatino Linotype" w:cs="Arial"/>
          <w:sz w:val="22"/>
          <w:szCs w:val="22"/>
          <w:lang w:val="es-419"/>
        </w:rPr>
        <w:t>lo siguiente</w:t>
      </w:r>
      <w:r w:rsidR="0035304E" w:rsidRPr="004645A9">
        <w:rPr>
          <w:rFonts w:ascii="Palatino Linotype" w:hAnsi="Palatino Linotype" w:cs="Arial"/>
          <w:sz w:val="22"/>
          <w:szCs w:val="22"/>
          <w:lang w:val="es-419"/>
        </w:rPr>
        <w:t>:</w:t>
      </w:r>
    </w:p>
    <w:p w14:paraId="4E7C7BFA" w14:textId="47D74484" w:rsidR="00FE56C0" w:rsidRDefault="00FE56C0" w:rsidP="0035304E">
      <w:pPr>
        <w:spacing w:line="360" w:lineRule="auto"/>
        <w:ind w:left="708"/>
        <w:jc w:val="both"/>
        <w:rPr>
          <w:rFonts w:ascii="Palatino Linotype" w:hAnsi="Palatino Linotype" w:cs="Arial"/>
          <w:sz w:val="22"/>
          <w:szCs w:val="22"/>
        </w:rPr>
      </w:pPr>
    </w:p>
    <w:p w14:paraId="0F5380C4" w14:textId="77777777" w:rsidR="0035304E" w:rsidRPr="004645A9" w:rsidRDefault="0035304E" w:rsidP="0035304E">
      <w:pPr>
        <w:spacing w:line="360" w:lineRule="auto"/>
        <w:ind w:left="708"/>
        <w:jc w:val="both"/>
        <w:rPr>
          <w:rFonts w:ascii="Palatino Linotype" w:hAnsi="Palatino Linotype" w:cs="Arial"/>
          <w:b/>
          <w:sz w:val="22"/>
          <w:szCs w:val="22"/>
        </w:rPr>
      </w:pPr>
      <w:r w:rsidRPr="004645A9">
        <w:rPr>
          <w:rFonts w:ascii="Palatino Linotype" w:hAnsi="Palatino Linotype" w:cs="Arial"/>
          <w:b/>
          <w:sz w:val="22"/>
          <w:szCs w:val="22"/>
        </w:rPr>
        <w:t>Acto Impugnado:</w:t>
      </w:r>
    </w:p>
    <w:p w14:paraId="117F881E" w14:textId="66EE7FC0" w:rsidR="0035304E" w:rsidRPr="00577766" w:rsidRDefault="0035304E" w:rsidP="00C419F9">
      <w:pPr>
        <w:autoSpaceDE w:val="0"/>
        <w:autoSpaceDN w:val="0"/>
        <w:adjustRightInd w:val="0"/>
        <w:spacing w:line="360" w:lineRule="auto"/>
        <w:ind w:left="1560" w:right="1183"/>
        <w:jc w:val="both"/>
        <w:rPr>
          <w:rFonts w:ascii="Palatino Linotype" w:hAnsi="Palatino Linotype" w:cs="Tahoma"/>
          <w:i/>
          <w:color w:val="0D0D0D"/>
          <w:sz w:val="22"/>
          <w:szCs w:val="22"/>
          <w:lang w:val="es-MX"/>
        </w:rPr>
      </w:pPr>
      <w:r w:rsidRPr="00577766">
        <w:rPr>
          <w:rFonts w:ascii="Palatino Linotype" w:hAnsi="Palatino Linotype" w:cs="Arial"/>
          <w:sz w:val="22"/>
          <w:szCs w:val="22"/>
        </w:rPr>
        <w:t>“</w:t>
      </w:r>
      <w:r w:rsidR="00C419F9" w:rsidRPr="00C419F9">
        <w:rPr>
          <w:rFonts w:ascii="Palatino Linotype" w:hAnsi="Palatino Linotype" w:cs="Tahoma"/>
          <w:i/>
          <w:color w:val="0D0D0D"/>
          <w:sz w:val="22"/>
          <w:szCs w:val="22"/>
          <w:lang w:val="es-MX"/>
        </w:rPr>
        <w:t>NEGATIVA DE INFORMACION, NO SE CUMPLE DENTRO DEL PLAZO MARCADOPOR LA LEY</w:t>
      </w:r>
      <w:r w:rsidRPr="00577766">
        <w:rPr>
          <w:rFonts w:ascii="Palatino Linotype" w:hAnsi="Palatino Linotype" w:cs="Arial"/>
          <w:sz w:val="22"/>
          <w:szCs w:val="22"/>
        </w:rPr>
        <w:t>” (Sic)</w:t>
      </w:r>
      <w:r w:rsidR="00086DBA" w:rsidRPr="00577766">
        <w:rPr>
          <w:rFonts w:ascii="Palatino Linotype" w:hAnsi="Palatino Linotype" w:cs="Arial"/>
          <w:sz w:val="22"/>
          <w:szCs w:val="22"/>
        </w:rPr>
        <w:t>.</w:t>
      </w:r>
    </w:p>
    <w:p w14:paraId="6F6A7494" w14:textId="77777777" w:rsidR="00086DBA" w:rsidRPr="004645A9" w:rsidRDefault="00086DBA" w:rsidP="0035304E">
      <w:pPr>
        <w:spacing w:line="360" w:lineRule="auto"/>
        <w:ind w:left="708"/>
        <w:jc w:val="both"/>
        <w:rPr>
          <w:rFonts w:ascii="Palatino Linotype" w:hAnsi="Palatino Linotype" w:cs="Arial"/>
          <w:sz w:val="22"/>
          <w:szCs w:val="22"/>
        </w:rPr>
      </w:pPr>
    </w:p>
    <w:p w14:paraId="6495A11E" w14:textId="77777777" w:rsidR="0035304E" w:rsidRPr="004645A9" w:rsidRDefault="0035304E" w:rsidP="0035304E">
      <w:pPr>
        <w:spacing w:line="360" w:lineRule="auto"/>
        <w:ind w:left="708"/>
        <w:jc w:val="both"/>
        <w:rPr>
          <w:rFonts w:ascii="Palatino Linotype" w:hAnsi="Palatino Linotype" w:cs="Arial"/>
          <w:b/>
          <w:sz w:val="22"/>
          <w:szCs w:val="22"/>
        </w:rPr>
      </w:pPr>
      <w:r w:rsidRPr="004645A9">
        <w:rPr>
          <w:rFonts w:ascii="Palatino Linotype" w:hAnsi="Palatino Linotype" w:cs="Arial"/>
          <w:b/>
          <w:sz w:val="22"/>
          <w:szCs w:val="22"/>
        </w:rPr>
        <w:t>Razones o Motivos de Inconformidad:</w:t>
      </w:r>
    </w:p>
    <w:p w14:paraId="2FA797C1" w14:textId="66901471" w:rsidR="00577766" w:rsidRPr="00577766" w:rsidRDefault="00577766" w:rsidP="00C419F9">
      <w:pPr>
        <w:widowControl w:val="0"/>
        <w:autoSpaceDE w:val="0"/>
        <w:autoSpaceDN w:val="0"/>
        <w:adjustRightInd w:val="0"/>
        <w:spacing w:line="360" w:lineRule="auto"/>
        <w:ind w:left="1418" w:right="1183"/>
        <w:jc w:val="both"/>
        <w:rPr>
          <w:rFonts w:ascii="Palatino Linotype" w:hAnsi="Palatino Linotype" w:cs="Tahoma"/>
          <w:i/>
          <w:color w:val="0D0D0D"/>
          <w:sz w:val="22"/>
          <w:szCs w:val="20"/>
          <w:lang w:val="es-MX"/>
        </w:rPr>
      </w:pPr>
      <w:r w:rsidRPr="00577766">
        <w:rPr>
          <w:rFonts w:ascii="Palatino Linotype" w:hAnsi="Palatino Linotype" w:cs="Tahoma"/>
          <w:i/>
          <w:color w:val="0D0D0D"/>
          <w:sz w:val="22"/>
          <w:szCs w:val="20"/>
          <w:lang w:val="es-MX"/>
        </w:rPr>
        <w:t>“</w:t>
      </w:r>
      <w:r w:rsidR="00C419F9" w:rsidRPr="00C419F9">
        <w:rPr>
          <w:rFonts w:ascii="Palatino Linotype" w:hAnsi="Palatino Linotype" w:cs="Tahoma"/>
          <w:i/>
          <w:color w:val="0D0D0D"/>
          <w:sz w:val="22"/>
          <w:szCs w:val="20"/>
          <w:lang w:val="es-MX"/>
        </w:rPr>
        <w:t>EL AREA DE TRANSPARENCIA DEL AYUNTAMINETO DE NAUCALPAN DE JUAREZ NO ENTREGA LA INFORMACION EN EL TIEMPO MARCADO</w:t>
      </w:r>
      <w:r w:rsidRPr="00577766">
        <w:rPr>
          <w:rFonts w:ascii="Palatino Linotype" w:hAnsi="Palatino Linotype" w:cs="Tahoma"/>
          <w:i/>
          <w:color w:val="0D0D0D"/>
          <w:sz w:val="22"/>
          <w:szCs w:val="20"/>
          <w:lang w:val="es-MX"/>
        </w:rPr>
        <w:t xml:space="preserve">.” </w:t>
      </w:r>
      <w:r w:rsidRPr="00577766">
        <w:rPr>
          <w:rFonts w:ascii="Palatino Linotype" w:hAnsi="Palatino Linotype" w:cs="Tahoma"/>
          <w:color w:val="0D0D0D"/>
          <w:sz w:val="22"/>
          <w:szCs w:val="20"/>
          <w:lang w:val="es-MX"/>
        </w:rPr>
        <w:t>(Sic.)</w:t>
      </w:r>
    </w:p>
    <w:p w14:paraId="7F798EF7" w14:textId="77777777" w:rsidR="00086DBA" w:rsidRPr="004645A9" w:rsidRDefault="00086DBA" w:rsidP="00086DBA">
      <w:pPr>
        <w:spacing w:line="360" w:lineRule="auto"/>
        <w:jc w:val="both"/>
        <w:rPr>
          <w:rFonts w:ascii="Palatino Linotype" w:hAnsi="Palatino Linotype" w:cs="Arial"/>
          <w:sz w:val="22"/>
          <w:szCs w:val="22"/>
        </w:rPr>
      </w:pPr>
    </w:p>
    <w:p w14:paraId="46D55460" w14:textId="3F1834F4" w:rsidR="00EB5511" w:rsidRDefault="00086DBA" w:rsidP="00EB5511">
      <w:pPr>
        <w:spacing w:line="360" w:lineRule="auto"/>
        <w:jc w:val="both"/>
        <w:rPr>
          <w:rFonts w:ascii="Palatino Linotype" w:hAnsi="Palatino Linotype" w:cs="Arial"/>
          <w:sz w:val="22"/>
          <w:szCs w:val="22"/>
          <w:lang w:eastAsia="es-MX"/>
        </w:rPr>
      </w:pPr>
      <w:r w:rsidRPr="004645A9">
        <w:rPr>
          <w:rFonts w:ascii="Palatino Linotype" w:hAnsi="Palatino Linotype" w:cs="Arial"/>
          <w:sz w:val="22"/>
          <w:szCs w:val="22"/>
          <w:lang w:eastAsia="es-MX"/>
        </w:rPr>
        <w:t xml:space="preserve">Cabe destacar que </w:t>
      </w:r>
      <w:r w:rsidR="008D3678">
        <w:rPr>
          <w:rFonts w:ascii="Palatino Linotype" w:hAnsi="Palatino Linotype" w:cs="Arial"/>
          <w:b/>
          <w:sz w:val="22"/>
          <w:szCs w:val="22"/>
          <w:lang w:eastAsia="es-MX"/>
        </w:rPr>
        <w:t>EL SUJETO OBLIGADO</w:t>
      </w:r>
      <w:r w:rsidR="00B7002F">
        <w:rPr>
          <w:rFonts w:ascii="Palatino Linotype" w:hAnsi="Palatino Linotype" w:cs="Arial"/>
          <w:b/>
          <w:sz w:val="22"/>
          <w:szCs w:val="22"/>
          <w:lang w:eastAsia="es-MX"/>
        </w:rPr>
        <w:t xml:space="preserve"> </w:t>
      </w:r>
      <w:r w:rsidR="00176198">
        <w:rPr>
          <w:rFonts w:ascii="Palatino Linotype" w:hAnsi="Palatino Linotype" w:cs="Arial"/>
          <w:sz w:val="22"/>
          <w:szCs w:val="22"/>
          <w:lang w:eastAsia="es-MX"/>
        </w:rPr>
        <w:t>e</w:t>
      </w:r>
      <w:r w:rsidR="00C419F9">
        <w:rPr>
          <w:rFonts w:ascii="Palatino Linotype" w:hAnsi="Palatino Linotype" w:cs="Arial"/>
          <w:sz w:val="22"/>
          <w:szCs w:val="22"/>
          <w:lang w:eastAsia="es-MX"/>
        </w:rPr>
        <w:t xml:space="preserve">l dieciocho de octubre de dos mil veintidós </w:t>
      </w:r>
      <w:r w:rsidR="00176198">
        <w:rPr>
          <w:rFonts w:ascii="Palatino Linotype" w:hAnsi="Palatino Linotype" w:cs="Arial"/>
          <w:sz w:val="22"/>
          <w:szCs w:val="22"/>
          <w:lang w:eastAsia="es-MX"/>
        </w:rPr>
        <w:t>remitió</w:t>
      </w:r>
      <w:r w:rsidR="00F70D7F">
        <w:rPr>
          <w:rFonts w:ascii="Palatino Linotype" w:hAnsi="Palatino Linotype" w:cs="Arial"/>
          <w:sz w:val="22"/>
          <w:szCs w:val="22"/>
          <w:lang w:eastAsia="es-MX"/>
        </w:rPr>
        <w:t xml:space="preserve"> su </w:t>
      </w:r>
      <w:r w:rsidR="00666E51">
        <w:rPr>
          <w:rFonts w:ascii="Palatino Linotype" w:hAnsi="Palatino Linotype" w:cs="Arial"/>
          <w:sz w:val="22"/>
          <w:szCs w:val="22"/>
          <w:lang w:eastAsia="es-MX"/>
        </w:rPr>
        <w:t>respectivo</w:t>
      </w:r>
      <w:r w:rsidRPr="004645A9">
        <w:rPr>
          <w:rFonts w:ascii="Palatino Linotype" w:hAnsi="Palatino Linotype" w:cs="Arial"/>
          <w:sz w:val="22"/>
          <w:szCs w:val="22"/>
          <w:lang w:eastAsia="es-MX"/>
        </w:rPr>
        <w:t xml:space="preserve"> Informe Justificado</w:t>
      </w:r>
      <w:r w:rsidR="00176198">
        <w:rPr>
          <w:rFonts w:ascii="Palatino Linotype" w:hAnsi="Palatino Linotype" w:cs="Arial"/>
          <w:sz w:val="22"/>
          <w:szCs w:val="22"/>
          <w:lang w:eastAsia="es-MX"/>
        </w:rPr>
        <w:t xml:space="preserve">, el cual de acuerdo al análisis de las documentales presentadas, </w:t>
      </w:r>
      <w:r w:rsidR="00EB5511" w:rsidRPr="00EB5511">
        <w:rPr>
          <w:rFonts w:ascii="Palatino Linotype" w:hAnsi="Palatino Linotype" w:cs="Arial"/>
          <w:sz w:val="22"/>
          <w:szCs w:val="22"/>
          <w:lang w:eastAsia="es-MX"/>
        </w:rPr>
        <w:t>el Sujeto Obligado remitió el oficio número DGA/SRH/M/1603/2022</w:t>
      </w:r>
      <w:r w:rsidR="008C0614">
        <w:rPr>
          <w:rFonts w:ascii="Palatino Linotype" w:hAnsi="Palatino Linotype" w:cs="Arial"/>
          <w:sz w:val="22"/>
          <w:szCs w:val="22"/>
          <w:lang w:eastAsia="es-MX"/>
        </w:rPr>
        <w:t>,</w:t>
      </w:r>
      <w:r w:rsidR="00EB5511" w:rsidRPr="00EB5511">
        <w:rPr>
          <w:rFonts w:ascii="Palatino Linotype" w:hAnsi="Palatino Linotype" w:cs="Arial"/>
          <w:sz w:val="22"/>
          <w:szCs w:val="22"/>
          <w:lang w:eastAsia="es-MX"/>
        </w:rPr>
        <w:t xml:space="preserve"> de fecha catorce de octubre de dos mil veintidós, signado por el Director General de Administración, mediante el cual informa que se llevó a cabo una búsqueda exhaustiva y razonable  en los archivos que obran en la Subdirección de Recursos Humanos, ratificando todas y cada una de las partes señaladas en el folio con número 00814/NAUCALPA/IP/2022 atendida en el portal, del Sistema de Acceso a la Información Mexiquense, SAIMEX en fecha veintiocho de septiembre de 2022, en el que se detalla el personal de confianza, incluyendo Sindicaturas y Regidurías.</w:t>
      </w:r>
    </w:p>
    <w:p w14:paraId="5F24D017" w14:textId="77777777" w:rsidR="008C0614" w:rsidRPr="00EB5511" w:rsidRDefault="008C0614" w:rsidP="00EB5511">
      <w:pPr>
        <w:spacing w:line="360" w:lineRule="auto"/>
        <w:jc w:val="both"/>
        <w:rPr>
          <w:rFonts w:ascii="Palatino Linotype" w:hAnsi="Palatino Linotype" w:cs="Arial"/>
          <w:sz w:val="22"/>
          <w:szCs w:val="22"/>
          <w:lang w:eastAsia="es-MX"/>
        </w:rPr>
      </w:pPr>
    </w:p>
    <w:p w14:paraId="0112B9FA" w14:textId="224FF91E" w:rsidR="00EB5511" w:rsidRDefault="00EB5511" w:rsidP="00EB5511">
      <w:pPr>
        <w:spacing w:line="360" w:lineRule="auto"/>
        <w:jc w:val="both"/>
        <w:rPr>
          <w:rFonts w:ascii="Palatino Linotype" w:hAnsi="Palatino Linotype" w:cs="Arial"/>
          <w:sz w:val="22"/>
          <w:szCs w:val="22"/>
          <w:lang w:eastAsia="es-MX"/>
        </w:rPr>
      </w:pPr>
      <w:r w:rsidRPr="00EB5511">
        <w:rPr>
          <w:rFonts w:ascii="Palatino Linotype" w:hAnsi="Palatino Linotype" w:cs="Arial"/>
          <w:sz w:val="22"/>
          <w:szCs w:val="22"/>
          <w:lang w:eastAsia="es-MX"/>
        </w:rPr>
        <w:t xml:space="preserve">Asimismo, se anexó el escrito emitido en septiembre de dos mil veintidós, mediante el cual se informa que se llevó a cabo una búsqueda exhaustiva y razonable en los archivos que obran en la Subdirección </w:t>
      </w:r>
      <w:r w:rsidRPr="00EB5511">
        <w:rPr>
          <w:rFonts w:ascii="Palatino Linotype" w:hAnsi="Palatino Linotype" w:cs="Arial"/>
          <w:sz w:val="22"/>
          <w:szCs w:val="22"/>
          <w:lang w:eastAsia="es-MX"/>
        </w:rPr>
        <w:lastRenderedPageBreak/>
        <w:t xml:space="preserve">de Recursos Humanos, adjuntando la información solicitada, sobre el personal de confianza adscrito al Ayuntamiento de Naucalpan de Juárez, así como ediles. </w:t>
      </w:r>
    </w:p>
    <w:p w14:paraId="7114C9EA" w14:textId="77777777" w:rsidR="008C0614" w:rsidRPr="00EB5511" w:rsidRDefault="008C0614" w:rsidP="00EB5511">
      <w:pPr>
        <w:spacing w:line="360" w:lineRule="auto"/>
        <w:jc w:val="both"/>
        <w:rPr>
          <w:rFonts w:ascii="Palatino Linotype" w:hAnsi="Palatino Linotype" w:cs="Arial"/>
          <w:sz w:val="22"/>
          <w:szCs w:val="22"/>
          <w:lang w:eastAsia="es-MX"/>
        </w:rPr>
      </w:pPr>
    </w:p>
    <w:p w14:paraId="467549CB" w14:textId="459303ED" w:rsidR="00EB5511" w:rsidRDefault="00EB5511" w:rsidP="00EB5511">
      <w:pPr>
        <w:spacing w:line="360" w:lineRule="auto"/>
        <w:jc w:val="both"/>
        <w:rPr>
          <w:rFonts w:ascii="Palatino Linotype" w:hAnsi="Palatino Linotype" w:cs="Arial"/>
          <w:sz w:val="22"/>
          <w:szCs w:val="22"/>
          <w:lang w:eastAsia="es-MX"/>
        </w:rPr>
      </w:pPr>
      <w:r w:rsidRPr="00EB5511">
        <w:rPr>
          <w:rFonts w:ascii="Palatino Linotype" w:hAnsi="Palatino Linotype" w:cs="Arial"/>
          <w:sz w:val="22"/>
          <w:szCs w:val="22"/>
          <w:lang w:eastAsia="es-MX"/>
        </w:rPr>
        <w:t>De igual manera se adjuntó una relación del personal que contiene el tipo de puesto, nombre, fecha de ingreso, puesto, dirección y departamento.</w:t>
      </w:r>
    </w:p>
    <w:p w14:paraId="340A86EC" w14:textId="77777777" w:rsidR="008C0614" w:rsidRPr="00EB5511" w:rsidRDefault="008C0614" w:rsidP="00EB5511">
      <w:pPr>
        <w:spacing w:line="360" w:lineRule="auto"/>
        <w:jc w:val="both"/>
        <w:rPr>
          <w:rFonts w:ascii="Palatino Linotype" w:hAnsi="Palatino Linotype" w:cs="Arial"/>
          <w:sz w:val="22"/>
          <w:szCs w:val="22"/>
          <w:lang w:eastAsia="es-MX"/>
        </w:rPr>
      </w:pPr>
    </w:p>
    <w:p w14:paraId="4380C895" w14:textId="53B95A1A" w:rsidR="00086DBA" w:rsidRDefault="00EB5511" w:rsidP="00EB5511">
      <w:pPr>
        <w:spacing w:line="360" w:lineRule="auto"/>
        <w:jc w:val="both"/>
        <w:rPr>
          <w:rFonts w:ascii="Palatino Linotype" w:hAnsi="Palatino Linotype" w:cs="Arial"/>
          <w:sz w:val="22"/>
          <w:szCs w:val="22"/>
          <w:lang w:eastAsia="es-MX"/>
        </w:rPr>
      </w:pPr>
      <w:r w:rsidRPr="00EB5511">
        <w:rPr>
          <w:rFonts w:ascii="Palatino Linotype" w:hAnsi="Palatino Linotype" w:cs="Arial"/>
          <w:sz w:val="22"/>
          <w:szCs w:val="22"/>
          <w:lang w:eastAsia="es-MX"/>
        </w:rPr>
        <w:t>Una vez analizados los documentos, se determinó hacer del conocimiento de la parte Recurrente únicamente el oficio número DGA/SRH/M/1603/2022, en virtud de que de la revisión efectuada en la relación del personal de confianza se advirtió que la misma contenía datos susceptibles de ser clasificados como reservados</w:t>
      </w:r>
      <w:r>
        <w:rPr>
          <w:rFonts w:ascii="Palatino Linotype" w:hAnsi="Palatino Linotype" w:cs="Arial"/>
          <w:sz w:val="22"/>
          <w:szCs w:val="22"/>
          <w:lang w:eastAsia="es-MX"/>
        </w:rPr>
        <w:t>.</w:t>
      </w:r>
    </w:p>
    <w:p w14:paraId="441AD064" w14:textId="77777777" w:rsidR="00EB5511" w:rsidRPr="004645A9" w:rsidRDefault="00EB5511" w:rsidP="00EB5511">
      <w:pPr>
        <w:spacing w:line="360" w:lineRule="auto"/>
        <w:jc w:val="both"/>
        <w:rPr>
          <w:rFonts w:ascii="Palatino Linotype" w:hAnsi="Palatino Linotype"/>
          <w:sz w:val="22"/>
          <w:szCs w:val="22"/>
          <w:lang w:eastAsia="es-MX"/>
        </w:rPr>
      </w:pPr>
    </w:p>
    <w:p w14:paraId="1C6A4E90" w14:textId="6B9F0991" w:rsidR="0067362A" w:rsidRDefault="004645A9" w:rsidP="004645A9">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Es así </w:t>
      </w:r>
      <w:r w:rsidRPr="00755267">
        <w:rPr>
          <w:rFonts w:ascii="Palatino Linotype" w:hAnsi="Palatino Linotype" w:cs="Arial"/>
          <w:sz w:val="22"/>
          <w:szCs w:val="22"/>
        </w:rPr>
        <w:t xml:space="preserve">que, la Ponencia Resolutora realizó un estudio para determinar </w:t>
      </w:r>
      <w:r w:rsidR="00201337">
        <w:rPr>
          <w:rFonts w:ascii="Palatino Linotype" w:hAnsi="Palatino Linotype" w:cs="Arial"/>
          <w:sz w:val="22"/>
          <w:szCs w:val="22"/>
        </w:rPr>
        <w:t xml:space="preserve">la falta </w:t>
      </w:r>
      <w:r w:rsidR="00577766">
        <w:rPr>
          <w:rFonts w:ascii="Palatino Linotype" w:hAnsi="Palatino Linotype" w:cs="Arial"/>
          <w:sz w:val="22"/>
          <w:szCs w:val="22"/>
        </w:rPr>
        <w:t>de entrega de la informaci</w:t>
      </w:r>
      <w:r w:rsidR="00241267">
        <w:rPr>
          <w:rFonts w:ascii="Palatino Linotype" w:hAnsi="Palatino Linotype" w:cs="Arial"/>
          <w:sz w:val="22"/>
          <w:szCs w:val="22"/>
        </w:rPr>
        <w:t xml:space="preserve">ón en la que </w:t>
      </w:r>
      <w:r w:rsidR="00201337">
        <w:rPr>
          <w:rFonts w:ascii="Palatino Linotype" w:hAnsi="Palatino Linotype" w:cs="Arial"/>
          <w:sz w:val="22"/>
          <w:szCs w:val="22"/>
        </w:rPr>
        <w:t>incurrió</w:t>
      </w:r>
      <w:r w:rsidRPr="00755267">
        <w:rPr>
          <w:rFonts w:ascii="Palatino Linotype" w:hAnsi="Palatino Linotype" w:cs="Arial"/>
          <w:sz w:val="22"/>
          <w:szCs w:val="22"/>
        </w:rPr>
        <w:t xml:space="preserve"> </w:t>
      </w:r>
      <w:r w:rsidRPr="00755267">
        <w:rPr>
          <w:rFonts w:ascii="Palatino Linotype" w:hAnsi="Palatino Linotype" w:cs="Arial"/>
          <w:b/>
          <w:bCs/>
          <w:sz w:val="22"/>
          <w:szCs w:val="22"/>
        </w:rPr>
        <w:t>EL SUJETO OBLIGADO</w:t>
      </w:r>
      <w:r w:rsidRPr="00755267">
        <w:rPr>
          <w:rFonts w:ascii="Palatino Linotype" w:hAnsi="Palatino Linotype" w:cs="Arial"/>
          <w:sz w:val="22"/>
          <w:szCs w:val="22"/>
        </w:rPr>
        <w:t xml:space="preserve"> </w:t>
      </w:r>
      <w:r w:rsidR="00201337">
        <w:rPr>
          <w:rFonts w:ascii="Palatino Linotype" w:hAnsi="Palatino Linotype" w:cs="Arial"/>
          <w:sz w:val="22"/>
          <w:szCs w:val="22"/>
        </w:rPr>
        <w:t xml:space="preserve">omitiendo la atención a </w:t>
      </w:r>
      <w:r w:rsidRPr="00755267">
        <w:rPr>
          <w:rFonts w:ascii="Palatino Linotype" w:hAnsi="Palatino Linotype" w:cs="Arial"/>
          <w:sz w:val="22"/>
          <w:szCs w:val="22"/>
        </w:rPr>
        <w:t>la solicitud con apego a los principios establecidos en el artículo 11, de la Ley de Transparencia y Acceso a la Información Pública del</w:t>
      </w:r>
      <w:r w:rsidR="00201337">
        <w:rPr>
          <w:rFonts w:ascii="Palatino Linotype" w:hAnsi="Palatino Linotype" w:cs="Arial"/>
          <w:sz w:val="22"/>
          <w:szCs w:val="22"/>
        </w:rPr>
        <w:t xml:space="preserve"> Estado de México y Municipios.</w:t>
      </w:r>
    </w:p>
    <w:p w14:paraId="2D2DAEBB" w14:textId="77777777" w:rsidR="0067362A" w:rsidRPr="004645A9" w:rsidRDefault="0067362A" w:rsidP="004645A9">
      <w:pPr>
        <w:spacing w:line="360" w:lineRule="auto"/>
        <w:contextualSpacing/>
        <w:jc w:val="both"/>
        <w:rPr>
          <w:rFonts w:ascii="Palatino Linotype" w:hAnsi="Palatino Linotype" w:cs="Arial"/>
          <w:sz w:val="22"/>
          <w:szCs w:val="22"/>
        </w:rPr>
      </w:pPr>
    </w:p>
    <w:p w14:paraId="60BF5EDF" w14:textId="2560C8D0" w:rsidR="004645A9" w:rsidRPr="004645A9" w:rsidRDefault="004645A9" w:rsidP="004645A9">
      <w:pPr>
        <w:spacing w:line="360" w:lineRule="auto"/>
        <w:jc w:val="both"/>
        <w:rPr>
          <w:rFonts w:ascii="Palatino Linotype" w:hAnsi="Palatino Linotype"/>
          <w:i/>
          <w:color w:val="000000"/>
          <w:sz w:val="22"/>
          <w:szCs w:val="22"/>
        </w:rPr>
      </w:pPr>
      <w:r w:rsidRPr="004645A9">
        <w:rPr>
          <w:rFonts w:ascii="Palatino Linotype" w:hAnsi="Palatino Linotype"/>
          <w:color w:val="000000"/>
          <w:sz w:val="22"/>
          <w:szCs w:val="22"/>
        </w:rPr>
        <w:t xml:space="preserve">En esa tesitura, </w:t>
      </w:r>
      <w:r w:rsidR="00201337">
        <w:rPr>
          <w:rFonts w:ascii="Palatino Linotype" w:hAnsi="Palatino Linotype"/>
          <w:color w:val="000000"/>
          <w:sz w:val="22"/>
          <w:szCs w:val="22"/>
        </w:rPr>
        <w:t xml:space="preserve">en estudio </w:t>
      </w:r>
      <w:r w:rsidRPr="004645A9">
        <w:rPr>
          <w:rFonts w:ascii="Palatino Linotype" w:hAnsi="Palatino Linotype"/>
          <w:color w:val="000000"/>
          <w:sz w:val="22"/>
          <w:szCs w:val="22"/>
        </w:rPr>
        <w:t>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645A9">
        <w:rPr>
          <w:rFonts w:ascii="Palatino Linotype" w:hAnsi="Palatino Linotype"/>
          <w:i/>
          <w:color w:val="000000"/>
          <w:sz w:val="22"/>
          <w:szCs w:val="22"/>
        </w:rPr>
        <w:t>Nombres de servidores públicos dedicados a actividades en materia de seguridad, por excepción pueden considerarse información reservada”.</w:t>
      </w:r>
    </w:p>
    <w:p w14:paraId="28A77DCF" w14:textId="77777777" w:rsidR="004645A9" w:rsidRPr="004645A9" w:rsidRDefault="004645A9" w:rsidP="004645A9">
      <w:pPr>
        <w:spacing w:line="360" w:lineRule="auto"/>
        <w:contextualSpacing/>
        <w:jc w:val="both"/>
        <w:rPr>
          <w:rFonts w:ascii="Palatino Linotype" w:hAnsi="Palatino Linotype" w:cs="Arial"/>
          <w:sz w:val="22"/>
          <w:szCs w:val="22"/>
        </w:rPr>
      </w:pPr>
    </w:p>
    <w:p w14:paraId="3C923E26" w14:textId="0041AAB3" w:rsidR="004645A9" w:rsidRPr="004645A9" w:rsidRDefault="004645A9" w:rsidP="008D6BAD">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En ese sentido, la Ponencia Resolutora </w:t>
      </w:r>
      <w:r w:rsidR="00F70D7F">
        <w:rPr>
          <w:rFonts w:ascii="Palatino Linotype" w:hAnsi="Palatino Linotype" w:cs="Arial"/>
          <w:sz w:val="22"/>
          <w:szCs w:val="22"/>
        </w:rPr>
        <w:t xml:space="preserve">ordenó entregar </w:t>
      </w:r>
      <w:r w:rsidR="00EB5511">
        <w:rPr>
          <w:rFonts w:ascii="Palatino Linotype" w:hAnsi="Palatino Linotype" w:cs="Arial"/>
          <w:sz w:val="22"/>
          <w:szCs w:val="22"/>
        </w:rPr>
        <w:t>la relación</w:t>
      </w:r>
      <w:r w:rsidR="00EB5511" w:rsidRPr="00EB5511">
        <w:rPr>
          <w:rFonts w:ascii="Palatino Linotype" w:hAnsi="Palatino Linotype" w:cs="Arial"/>
          <w:sz w:val="22"/>
          <w:szCs w:val="22"/>
        </w:rPr>
        <w:t xml:space="preserve"> del personal de confianza adscrito a cada una de las áreas que integran su estructura orgánica, incluyendo el cuerpo edilicio, remitida</w:t>
      </w:r>
      <w:r w:rsidR="00EB5511">
        <w:rPr>
          <w:rFonts w:ascii="Palatino Linotype" w:hAnsi="Palatino Linotype" w:cs="Arial"/>
          <w:sz w:val="22"/>
          <w:szCs w:val="22"/>
        </w:rPr>
        <w:t xml:space="preserve"> en la etapa de manifestaciones</w:t>
      </w:r>
      <w:r w:rsidRPr="004645A9">
        <w:rPr>
          <w:rFonts w:ascii="Palatino Linotype" w:hAnsi="Palatino Linotype" w:cs="Arial"/>
          <w:sz w:val="22"/>
          <w:szCs w:val="22"/>
        </w:rPr>
        <w:t>.</w:t>
      </w:r>
    </w:p>
    <w:p w14:paraId="51670A60" w14:textId="77777777" w:rsidR="004645A9" w:rsidRPr="004645A9" w:rsidRDefault="004645A9" w:rsidP="004645A9">
      <w:pPr>
        <w:spacing w:line="360" w:lineRule="auto"/>
        <w:contextualSpacing/>
        <w:jc w:val="both"/>
        <w:rPr>
          <w:rFonts w:ascii="Palatino Linotype" w:hAnsi="Palatino Linotype" w:cs="Arial"/>
          <w:sz w:val="22"/>
          <w:szCs w:val="22"/>
        </w:rPr>
      </w:pPr>
    </w:p>
    <w:p w14:paraId="7905E528" w14:textId="6CC76631" w:rsidR="004645A9" w:rsidRPr="004645A9" w:rsidRDefault="004645A9" w:rsidP="004645A9">
      <w:pPr>
        <w:spacing w:line="360" w:lineRule="auto"/>
        <w:contextualSpacing/>
        <w:jc w:val="both"/>
        <w:rPr>
          <w:rFonts w:ascii="Palatino Linotype" w:hAnsi="Palatino Linotype"/>
          <w:color w:val="000000"/>
          <w:sz w:val="22"/>
          <w:szCs w:val="22"/>
        </w:rPr>
      </w:pPr>
      <w:r w:rsidRPr="004645A9">
        <w:rPr>
          <w:rFonts w:ascii="Palatino Linotype" w:hAnsi="Palatino Linotype" w:cs="Arial"/>
          <w:sz w:val="22"/>
          <w:szCs w:val="22"/>
        </w:rPr>
        <w:t xml:space="preserve">Estudio con el cual esta Ponencia no coincide, ya que </w:t>
      </w:r>
      <w:r w:rsidRPr="004645A9">
        <w:rPr>
          <w:rFonts w:ascii="Palatino Linotype" w:hAnsi="Palatino Linotype"/>
          <w:color w:val="000000"/>
          <w:sz w:val="22"/>
          <w:szCs w:val="22"/>
        </w:rPr>
        <w:t>la entrega de la información</w:t>
      </w:r>
      <w:r w:rsidR="00E60A0E">
        <w:rPr>
          <w:rFonts w:ascii="Palatino Linotype" w:hAnsi="Palatino Linotype"/>
          <w:color w:val="000000"/>
          <w:sz w:val="22"/>
          <w:szCs w:val="22"/>
        </w:rPr>
        <w:t xml:space="preserve"> solicitada por el ciudadano se advierte que </w:t>
      </w:r>
      <w:r w:rsidRPr="004645A9">
        <w:rPr>
          <w:rFonts w:ascii="Palatino Linotype" w:hAnsi="Palatino Linotype"/>
          <w:color w:val="000000"/>
          <w:sz w:val="22"/>
          <w:szCs w:val="22"/>
        </w:rPr>
        <w:t xml:space="preserve">el cargo y área de adscripción del personal de seguridad pública, en su respectiva versión pública puede hacer identificable a dichos elementos de seguridad. </w:t>
      </w:r>
    </w:p>
    <w:p w14:paraId="72351907" w14:textId="77777777" w:rsidR="004645A9" w:rsidRPr="004645A9" w:rsidRDefault="004645A9" w:rsidP="004645A9">
      <w:pPr>
        <w:spacing w:line="360" w:lineRule="auto"/>
        <w:contextualSpacing/>
        <w:jc w:val="both"/>
        <w:rPr>
          <w:rFonts w:ascii="Palatino Linotype" w:hAnsi="Palatino Linotype" w:cs="Arial"/>
          <w:sz w:val="22"/>
          <w:szCs w:val="22"/>
        </w:rPr>
      </w:pPr>
    </w:p>
    <w:p w14:paraId="7A0E1827" w14:textId="64334F08" w:rsidR="004645A9" w:rsidRPr="00634623" w:rsidRDefault="004645A9" w:rsidP="004645A9">
      <w:pPr>
        <w:spacing w:line="360" w:lineRule="auto"/>
        <w:contextualSpacing/>
        <w:jc w:val="both"/>
        <w:rPr>
          <w:rFonts w:ascii="Palatino Linotype" w:hAnsi="Palatino Linotype" w:cs="Arial"/>
          <w:sz w:val="22"/>
          <w:szCs w:val="22"/>
        </w:rPr>
      </w:pPr>
      <w:r w:rsidRPr="004645A9">
        <w:rPr>
          <w:rFonts w:ascii="Palatino Linotype" w:hAnsi="Palatino Linotype" w:cs="Arial"/>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4645A9">
        <w:rPr>
          <w:rFonts w:ascii="Palatino Linotype" w:hAnsi="Palatino Linotype" w:cs="Arial"/>
          <w:b/>
          <w:bCs/>
          <w:sz w:val="22"/>
          <w:szCs w:val="22"/>
        </w:rPr>
        <w:t xml:space="preserve">representa un riesgo real, demostrable e identificable, </w:t>
      </w:r>
      <w:r w:rsidRPr="004645A9">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09C17EB1" w14:textId="77777777" w:rsidR="004645A9" w:rsidRPr="004645A9" w:rsidRDefault="004645A9" w:rsidP="004645A9">
      <w:pPr>
        <w:spacing w:line="360" w:lineRule="auto"/>
        <w:contextualSpacing/>
        <w:jc w:val="both"/>
        <w:rPr>
          <w:rFonts w:ascii="Palatino Linotype" w:hAnsi="Palatino Linotype" w:cs="Arial"/>
          <w:sz w:val="22"/>
          <w:szCs w:val="22"/>
        </w:rPr>
      </w:pPr>
    </w:p>
    <w:p w14:paraId="48A7D313" w14:textId="56A0A9F9" w:rsidR="00FA2CB8" w:rsidRDefault="004645A9" w:rsidP="00CE3A1A">
      <w:pPr>
        <w:spacing w:line="360" w:lineRule="auto"/>
        <w:contextualSpacing/>
        <w:jc w:val="both"/>
        <w:rPr>
          <w:rFonts w:ascii="Palatino Linotype" w:hAnsi="Palatino Linotype"/>
          <w:color w:val="000000"/>
          <w:sz w:val="22"/>
          <w:szCs w:val="22"/>
        </w:rPr>
      </w:pPr>
      <w:r w:rsidRPr="004645A9">
        <w:rPr>
          <w:rFonts w:ascii="Palatino Linotype" w:hAnsi="Palatino Linotype"/>
          <w:bCs/>
          <w:color w:val="000000"/>
          <w:sz w:val="22"/>
          <w:szCs w:val="22"/>
        </w:rPr>
        <w:t>Es por ello</w:t>
      </w:r>
      <w:r w:rsidRPr="004645A9">
        <w:rPr>
          <w:rFonts w:ascii="Palatino Linotype" w:hAnsi="Palatino Linotype"/>
          <w:b/>
          <w:color w:val="000000"/>
          <w:sz w:val="22"/>
          <w:szCs w:val="22"/>
        </w:rPr>
        <w:t xml:space="preserve">, que la suscrita considera de suma importancia la reserva respecto al cargo y área de adscripción del personal de Seguridad </w:t>
      </w:r>
      <w:r w:rsidRPr="00634623">
        <w:rPr>
          <w:rFonts w:ascii="Palatino Linotype" w:hAnsi="Palatino Linotype"/>
          <w:b/>
          <w:color w:val="000000"/>
          <w:sz w:val="22"/>
          <w:szCs w:val="22"/>
        </w:rPr>
        <w:t xml:space="preserve">Pública del Ayuntamiento de </w:t>
      </w:r>
      <w:r w:rsidR="00EB5511" w:rsidRPr="00634623">
        <w:rPr>
          <w:rFonts w:ascii="Palatino Linotype" w:hAnsi="Palatino Linotype"/>
          <w:b/>
          <w:color w:val="000000"/>
          <w:sz w:val="22"/>
          <w:szCs w:val="22"/>
        </w:rPr>
        <w:t>Naucalpan de Juárez</w:t>
      </w:r>
      <w:r w:rsidRPr="004645A9">
        <w:rPr>
          <w:rFonts w:ascii="Palatino Linotype" w:hAnsi="Palatino Linotype"/>
          <w:color w:val="000000"/>
          <w:sz w:val="22"/>
          <w:szCs w:val="22"/>
        </w:rPr>
        <w:t>, pues se ordenó</w:t>
      </w:r>
      <w:r w:rsidR="002F273D">
        <w:rPr>
          <w:rFonts w:ascii="Palatino Linotype" w:hAnsi="Palatino Linotype"/>
          <w:color w:val="000000"/>
          <w:sz w:val="22"/>
          <w:szCs w:val="22"/>
        </w:rPr>
        <w:t xml:space="preserve"> </w:t>
      </w:r>
      <w:r w:rsidR="008C5647">
        <w:rPr>
          <w:rFonts w:ascii="Palatino Linotype" w:hAnsi="Palatino Linotype"/>
          <w:color w:val="000000"/>
          <w:sz w:val="22"/>
          <w:szCs w:val="22"/>
        </w:rPr>
        <w:t xml:space="preserve">la </w:t>
      </w:r>
      <w:r w:rsidR="00EB5511">
        <w:rPr>
          <w:rFonts w:ascii="Palatino Linotype" w:hAnsi="Palatino Linotype"/>
          <w:color w:val="000000"/>
          <w:sz w:val="22"/>
          <w:szCs w:val="22"/>
        </w:rPr>
        <w:t>relación del personal de confianza adscrito a cada una de las áreas que integran la estructura orgánica del Ayuntamiento, incluida la Dirección de Seguridad Pública</w:t>
      </w:r>
      <w:r w:rsidR="00DA393C">
        <w:rPr>
          <w:rFonts w:ascii="Palatino Linotype" w:hAnsi="Palatino Linotype"/>
          <w:color w:val="000000"/>
          <w:sz w:val="22"/>
          <w:szCs w:val="22"/>
        </w:rPr>
        <w:t>.</w:t>
      </w:r>
    </w:p>
    <w:p w14:paraId="73DBFE34" w14:textId="77777777" w:rsidR="00CE3A1A" w:rsidRDefault="00CE3A1A" w:rsidP="00CE3A1A">
      <w:pPr>
        <w:spacing w:line="360" w:lineRule="auto"/>
        <w:contextualSpacing/>
        <w:jc w:val="both"/>
        <w:rPr>
          <w:rFonts w:ascii="Palatino Linotype" w:hAnsi="Palatino Linotype"/>
          <w:color w:val="000000"/>
          <w:sz w:val="22"/>
          <w:szCs w:val="22"/>
        </w:rPr>
      </w:pPr>
    </w:p>
    <w:p w14:paraId="5F25FCC7" w14:textId="01E562B8" w:rsidR="004645A9" w:rsidRPr="004645A9" w:rsidRDefault="00FA2CB8" w:rsidP="00FA2CB8">
      <w:pPr>
        <w:spacing w:line="360" w:lineRule="auto"/>
        <w:contextualSpacing/>
        <w:jc w:val="both"/>
        <w:rPr>
          <w:rFonts w:ascii="Palatino Linotype" w:hAnsi="Palatino Linotype" w:cs="Arial"/>
          <w:sz w:val="22"/>
          <w:szCs w:val="22"/>
        </w:rPr>
      </w:pPr>
      <w:r>
        <w:rPr>
          <w:rFonts w:ascii="Palatino Linotype" w:hAnsi="Palatino Linotype"/>
          <w:color w:val="000000"/>
          <w:sz w:val="22"/>
          <w:szCs w:val="22"/>
        </w:rPr>
        <w:t>Así que,</w:t>
      </w:r>
      <w:r w:rsidR="0007704C">
        <w:rPr>
          <w:rFonts w:ascii="Palatino Linotype" w:hAnsi="Palatino Linotype"/>
          <w:color w:val="000000"/>
          <w:sz w:val="22"/>
          <w:szCs w:val="22"/>
        </w:rPr>
        <w:t xml:space="preserve"> con</w:t>
      </w:r>
      <w:r>
        <w:rPr>
          <w:rFonts w:ascii="Palatino Linotype" w:hAnsi="Palatino Linotype"/>
          <w:color w:val="000000"/>
          <w:sz w:val="22"/>
          <w:szCs w:val="22"/>
        </w:rPr>
        <w:t xml:space="preserve"> </w:t>
      </w:r>
      <w:r w:rsidR="008C7A37">
        <w:rPr>
          <w:rFonts w:ascii="Palatino Linotype" w:hAnsi="Palatino Linotype"/>
          <w:color w:val="000000"/>
          <w:sz w:val="22"/>
          <w:szCs w:val="22"/>
        </w:rPr>
        <w:t>tales</w:t>
      </w:r>
      <w:r w:rsidR="004645A9" w:rsidRPr="004645A9">
        <w:rPr>
          <w:rFonts w:ascii="Palatino Linotype" w:hAnsi="Palatino Linotype"/>
          <w:color w:val="000000"/>
          <w:sz w:val="22"/>
          <w:szCs w:val="22"/>
        </w:rPr>
        <w:t xml:space="preserve"> documento</w:t>
      </w:r>
      <w:r w:rsidR="008C7A37">
        <w:rPr>
          <w:rFonts w:ascii="Palatino Linotype" w:hAnsi="Palatino Linotype"/>
          <w:color w:val="000000"/>
          <w:sz w:val="22"/>
          <w:szCs w:val="22"/>
        </w:rPr>
        <w:t>s</w:t>
      </w:r>
      <w:r w:rsidR="004645A9" w:rsidRPr="004645A9">
        <w:rPr>
          <w:rFonts w:ascii="Palatino Linotype" w:hAnsi="Palatino Linotype"/>
          <w:color w:val="000000"/>
          <w:sz w:val="22"/>
          <w:szCs w:val="22"/>
        </w:rPr>
        <w:t xml:space="preserve"> </w:t>
      </w:r>
      <w:r w:rsidR="0007704C">
        <w:rPr>
          <w:rFonts w:ascii="Palatino Linotype" w:hAnsi="Palatino Linotype"/>
          <w:color w:val="000000"/>
          <w:sz w:val="22"/>
          <w:szCs w:val="22"/>
        </w:rPr>
        <w:t xml:space="preserve">se </w:t>
      </w:r>
      <w:r w:rsidR="004645A9" w:rsidRPr="004645A9">
        <w:rPr>
          <w:rFonts w:ascii="Palatino Linotype" w:hAnsi="Palatino Linotype"/>
          <w:color w:val="000000"/>
          <w:sz w:val="22"/>
          <w:szCs w:val="22"/>
        </w:rPr>
        <w:t xml:space="preserve">puede dar a conocer información de aquellos servidores públicos que realizan funciones en materia de seguridad pública, tal como es el caso de los </w:t>
      </w:r>
      <w:r w:rsidR="004645A9" w:rsidRPr="008C7A37">
        <w:rPr>
          <w:rFonts w:ascii="Palatino Linotype" w:hAnsi="Palatino Linotype"/>
          <w:b/>
          <w:color w:val="000000"/>
          <w:sz w:val="22"/>
          <w:szCs w:val="22"/>
        </w:rPr>
        <w:t>policías</w:t>
      </w:r>
      <w:r w:rsidR="004645A9" w:rsidRPr="004645A9">
        <w:rPr>
          <w:rFonts w:ascii="Palatino Linotype" w:hAnsi="Palatino Linotype"/>
          <w:color w:val="000000"/>
          <w:sz w:val="22"/>
          <w:szCs w:val="22"/>
        </w:rPr>
        <w:t>,</w:t>
      </w:r>
      <w:r w:rsidR="00143B13">
        <w:rPr>
          <w:rFonts w:ascii="Palatino Linotype" w:hAnsi="Palatino Linotype"/>
          <w:color w:val="000000"/>
          <w:sz w:val="22"/>
          <w:szCs w:val="22"/>
        </w:rPr>
        <w:t xml:space="preserve"> de manera que</w:t>
      </w:r>
      <w:r w:rsidR="004645A9" w:rsidRPr="004645A9">
        <w:rPr>
          <w:rFonts w:ascii="Palatino Linotype" w:hAnsi="Palatino Linotype"/>
          <w:color w:val="000000"/>
          <w:sz w:val="22"/>
          <w:szCs w:val="22"/>
        </w:rPr>
        <w:t xml:space="preserve"> los vuelve identificables y posiblemente reconocibles para grupos delictivos, que pudieran relacionarlos </w:t>
      </w:r>
      <w:r w:rsidR="004645A9" w:rsidRPr="004645A9">
        <w:rPr>
          <w:rFonts w:ascii="Palatino Linotype" w:hAnsi="Palatino Linotype"/>
          <w:color w:val="000000"/>
          <w:sz w:val="22"/>
          <w:szCs w:val="22"/>
        </w:rPr>
        <w:lastRenderedPageBreak/>
        <w:t>directamente con actividades u operativos, o simplemente ubicarlos por el hecho de pertenecer o haber pertenecido a una organización que lleva a cabo actividades de prevención y salvaguarda de la integridad de las personas en el combate a la delincuencia.</w:t>
      </w:r>
    </w:p>
    <w:p w14:paraId="4F5F4C23" w14:textId="77777777" w:rsidR="004645A9" w:rsidRPr="004645A9" w:rsidRDefault="004645A9" w:rsidP="004645A9">
      <w:pPr>
        <w:spacing w:line="360" w:lineRule="auto"/>
        <w:jc w:val="both"/>
        <w:rPr>
          <w:rFonts w:ascii="Palatino Linotype" w:hAnsi="Palatino Linotype"/>
          <w:color w:val="000000"/>
          <w:sz w:val="22"/>
          <w:szCs w:val="22"/>
        </w:rPr>
      </w:pPr>
    </w:p>
    <w:p w14:paraId="15F8BF7F" w14:textId="77777777" w:rsidR="004645A9" w:rsidRPr="004645A9" w:rsidRDefault="004645A9" w:rsidP="004645A9">
      <w:pPr>
        <w:spacing w:line="360" w:lineRule="auto"/>
        <w:jc w:val="both"/>
        <w:rPr>
          <w:rFonts w:ascii="Palatino Linotype" w:hAnsi="Palatino Linotype"/>
          <w:color w:val="000000"/>
          <w:sz w:val="22"/>
          <w:szCs w:val="22"/>
        </w:rPr>
      </w:pPr>
      <w:r w:rsidRPr="004645A9">
        <w:rPr>
          <w:rFonts w:ascii="Palatino Linotype" w:hAnsi="Palatino Linotype"/>
          <w:color w:val="000000"/>
          <w:sz w:val="22"/>
          <w:szCs w:val="22"/>
        </w:rPr>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02D72A61" w14:textId="77777777" w:rsidR="004645A9" w:rsidRPr="004645A9" w:rsidRDefault="004645A9" w:rsidP="004645A9">
      <w:pPr>
        <w:spacing w:line="360" w:lineRule="auto"/>
        <w:jc w:val="both"/>
        <w:rPr>
          <w:rFonts w:ascii="Palatino Linotype" w:hAnsi="Palatino Linotype"/>
          <w:color w:val="000000"/>
          <w:sz w:val="22"/>
          <w:szCs w:val="22"/>
        </w:rPr>
      </w:pPr>
    </w:p>
    <w:p w14:paraId="13818A68" w14:textId="1C706EA8" w:rsidR="004645A9" w:rsidRDefault="004645A9" w:rsidP="004645A9">
      <w:pPr>
        <w:spacing w:line="360" w:lineRule="auto"/>
        <w:contextualSpacing/>
        <w:jc w:val="both"/>
        <w:rPr>
          <w:rFonts w:ascii="Palatino Linotype" w:hAnsi="Palatino Linotype"/>
          <w:iCs/>
          <w:color w:val="000000"/>
          <w:sz w:val="22"/>
          <w:szCs w:val="22"/>
        </w:rPr>
      </w:pPr>
      <w:r w:rsidRPr="004645A9">
        <w:rPr>
          <w:rFonts w:ascii="Palatino Linotype" w:hAnsi="Palatino Linotype"/>
          <w:color w:val="000000"/>
          <w:sz w:val="22"/>
          <w:szCs w:val="22"/>
        </w:rPr>
        <w:t xml:space="preserve">Ahora bien, al reservarse solo los nombres del personal adscrito al área de Seguridad Pública del Municipio de </w:t>
      </w:r>
      <w:r w:rsidR="00EB5511">
        <w:rPr>
          <w:rFonts w:ascii="Palatino Linotype" w:hAnsi="Palatino Linotype"/>
          <w:color w:val="000000"/>
          <w:sz w:val="22"/>
          <w:szCs w:val="22"/>
        </w:rPr>
        <w:t>Naucalpan de Juárez</w:t>
      </w:r>
      <w:r w:rsidR="00F70D7F">
        <w:rPr>
          <w:rFonts w:ascii="Palatino Linotype" w:hAnsi="Palatino Linotype"/>
          <w:color w:val="000000"/>
          <w:sz w:val="22"/>
          <w:szCs w:val="22"/>
        </w:rPr>
        <w:t xml:space="preserve"> </w:t>
      </w:r>
      <w:r w:rsidR="00143B13">
        <w:rPr>
          <w:rFonts w:ascii="Palatino Linotype" w:hAnsi="Palatino Linotype"/>
          <w:color w:val="000000"/>
          <w:sz w:val="22"/>
          <w:szCs w:val="22"/>
        </w:rPr>
        <w:t xml:space="preserve">se estaría revelando </w:t>
      </w:r>
      <w:r w:rsidRPr="004645A9">
        <w:rPr>
          <w:rFonts w:ascii="Palatino Linotype" w:hAnsi="Palatino Linotype"/>
          <w:iCs/>
          <w:color w:val="000000"/>
          <w:sz w:val="22"/>
          <w:szCs w:val="22"/>
        </w:rPr>
        <w:t xml:space="preserve">información relativa al estado de fuerza, poniendo en riesgo la operatividad de la misma, ya que, suponiendo sin conceder, la delincuencia podría tomar ventaja con la divulgación de dicha información. </w:t>
      </w:r>
    </w:p>
    <w:p w14:paraId="346127CC" w14:textId="77777777" w:rsidR="00440539" w:rsidRPr="004645A9" w:rsidRDefault="00440539" w:rsidP="004645A9">
      <w:pPr>
        <w:spacing w:line="360" w:lineRule="auto"/>
        <w:contextualSpacing/>
        <w:jc w:val="both"/>
        <w:rPr>
          <w:rFonts w:ascii="Palatino Linotype" w:hAnsi="Palatino Linotype"/>
          <w:iCs/>
          <w:color w:val="000000"/>
          <w:sz w:val="22"/>
          <w:szCs w:val="22"/>
        </w:rPr>
      </w:pPr>
    </w:p>
    <w:p w14:paraId="117FC382" w14:textId="55E473D6" w:rsidR="004645A9" w:rsidRPr="004645A9" w:rsidRDefault="004645A9" w:rsidP="004645A9">
      <w:pPr>
        <w:spacing w:line="360" w:lineRule="auto"/>
        <w:contextualSpacing/>
        <w:jc w:val="both"/>
        <w:rPr>
          <w:rFonts w:ascii="Palatino Linotype" w:hAnsi="Palatino Linotype"/>
          <w:iCs/>
          <w:color w:val="000000"/>
          <w:sz w:val="22"/>
          <w:szCs w:val="22"/>
        </w:rPr>
      </w:pPr>
      <w:r w:rsidRPr="004645A9">
        <w:rPr>
          <w:rFonts w:ascii="Palatino Linotype" w:hAnsi="Palatino Linotype"/>
          <w:iCs/>
          <w:color w:val="000000"/>
          <w:sz w:val="22"/>
          <w:szCs w:val="22"/>
        </w:rPr>
        <w:t xml:space="preserve">Es importante, hacer alusión, además, al artículo 110, de la Ley General </w:t>
      </w:r>
      <w:r w:rsidR="00143B13">
        <w:rPr>
          <w:rFonts w:ascii="Palatino Linotype" w:hAnsi="Palatino Linotype"/>
          <w:iCs/>
          <w:color w:val="000000"/>
          <w:sz w:val="22"/>
          <w:szCs w:val="22"/>
        </w:rPr>
        <w:t xml:space="preserve">del </w:t>
      </w:r>
      <w:r w:rsidRPr="004645A9">
        <w:rPr>
          <w:rFonts w:ascii="Palatino Linotype" w:hAnsi="Palatino Linotype"/>
          <w:iCs/>
          <w:color w:val="000000"/>
          <w:sz w:val="22"/>
          <w:szCs w:val="22"/>
        </w:rPr>
        <w:t xml:space="preserve">Sistema Nacional de Seguridad Pública, el cual establece que se deberá </w:t>
      </w:r>
      <w:r w:rsidRPr="004645A9">
        <w:rPr>
          <w:rFonts w:ascii="Palatino Linotype" w:hAnsi="Palatino Linotype"/>
          <w:b/>
          <w:iCs/>
          <w:color w:val="000000"/>
          <w:sz w:val="22"/>
          <w:szCs w:val="22"/>
          <w:u w:val="single"/>
        </w:rPr>
        <w:t>clasificar como reservada</w:t>
      </w:r>
      <w:r w:rsidRPr="004645A9">
        <w:rPr>
          <w:rFonts w:ascii="Palatino Linotype" w:hAnsi="Palatino Linotype"/>
          <w:iCs/>
          <w:color w:val="000000"/>
          <w:sz w:val="22"/>
          <w:szCs w:val="22"/>
        </w:rPr>
        <w:t xml:space="preserve"> la información que se contenga en la base de datos concerniente, entre otros, al personal de seguridad, el cual se transcribe para mayor referencia: </w:t>
      </w:r>
    </w:p>
    <w:p w14:paraId="6D7C051A" w14:textId="77777777" w:rsidR="004645A9" w:rsidRPr="004645A9" w:rsidRDefault="004645A9" w:rsidP="004645A9">
      <w:pPr>
        <w:ind w:left="1134" w:right="1467"/>
        <w:jc w:val="both"/>
        <w:rPr>
          <w:rFonts w:ascii="Palatino Linotype" w:hAnsi="Palatino Linotype"/>
          <w:b/>
          <w:i/>
          <w:iCs/>
          <w:color w:val="000000"/>
          <w:sz w:val="22"/>
          <w:szCs w:val="22"/>
        </w:rPr>
      </w:pPr>
    </w:p>
    <w:p w14:paraId="49DC9D19" w14:textId="77777777" w:rsidR="004645A9" w:rsidRPr="004645A9" w:rsidRDefault="004645A9" w:rsidP="004645A9">
      <w:pPr>
        <w:ind w:left="1417" w:right="1468"/>
        <w:jc w:val="both"/>
        <w:rPr>
          <w:rFonts w:ascii="Palatino Linotype" w:hAnsi="Palatino Linotype"/>
          <w:i/>
          <w:iCs/>
          <w:color w:val="000000"/>
          <w:sz w:val="22"/>
          <w:szCs w:val="22"/>
        </w:rPr>
      </w:pPr>
      <w:r w:rsidRPr="004645A9">
        <w:rPr>
          <w:rFonts w:ascii="Palatino Linotype" w:hAnsi="Palatino Linotype"/>
          <w:b/>
          <w:i/>
          <w:iCs/>
          <w:color w:val="000000"/>
          <w:sz w:val="22"/>
          <w:szCs w:val="22"/>
        </w:rPr>
        <w:t>Artículo 110.</w:t>
      </w:r>
      <w:r w:rsidRPr="004645A9">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2F839C3A" w14:textId="77777777" w:rsidR="004645A9" w:rsidRPr="004645A9" w:rsidRDefault="004645A9" w:rsidP="004645A9">
      <w:pPr>
        <w:ind w:left="1417" w:right="1468"/>
        <w:jc w:val="both"/>
        <w:rPr>
          <w:rFonts w:ascii="Palatino Linotype" w:hAnsi="Palatino Linotype"/>
          <w:i/>
          <w:iCs/>
          <w:color w:val="000000"/>
          <w:sz w:val="22"/>
          <w:szCs w:val="22"/>
        </w:rPr>
      </w:pPr>
    </w:p>
    <w:p w14:paraId="670D363C" w14:textId="77777777" w:rsidR="004645A9" w:rsidRPr="004645A9" w:rsidRDefault="004645A9" w:rsidP="004645A9">
      <w:pPr>
        <w:ind w:left="1417" w:right="1468"/>
        <w:jc w:val="both"/>
        <w:rPr>
          <w:rFonts w:ascii="Palatino Linotype" w:hAnsi="Palatino Linotype"/>
          <w:b/>
          <w:i/>
          <w:iCs/>
          <w:color w:val="000000"/>
          <w:sz w:val="22"/>
          <w:szCs w:val="22"/>
        </w:rPr>
      </w:pPr>
      <w:r w:rsidRPr="004645A9">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w:t>
      </w:r>
      <w:r w:rsidRPr="004645A9">
        <w:rPr>
          <w:rFonts w:ascii="Palatino Linotype" w:hAnsi="Palatino Linotype"/>
          <w:i/>
          <w:iCs/>
          <w:color w:val="000000"/>
          <w:sz w:val="22"/>
          <w:szCs w:val="22"/>
        </w:rPr>
        <w:lastRenderedPageBreak/>
        <w:t xml:space="preserve">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645A9">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00E67B7C" w14:textId="77777777" w:rsidR="004645A9" w:rsidRPr="004645A9" w:rsidRDefault="004645A9" w:rsidP="004645A9">
      <w:pPr>
        <w:ind w:left="1134" w:right="1467"/>
        <w:jc w:val="both"/>
        <w:rPr>
          <w:rFonts w:ascii="Palatino Linotype" w:hAnsi="Palatino Linotype"/>
          <w:b/>
          <w:i/>
          <w:iCs/>
          <w:color w:val="000000"/>
          <w:sz w:val="22"/>
          <w:szCs w:val="22"/>
        </w:rPr>
      </w:pPr>
    </w:p>
    <w:p w14:paraId="251BF5CD" w14:textId="77777777" w:rsidR="004645A9" w:rsidRPr="004645A9" w:rsidRDefault="004645A9" w:rsidP="004645A9">
      <w:pPr>
        <w:spacing w:line="360" w:lineRule="auto"/>
        <w:jc w:val="both"/>
        <w:rPr>
          <w:rFonts w:ascii="Palatino Linotype" w:hAnsi="Palatino Linotype"/>
          <w:color w:val="000000"/>
          <w:sz w:val="22"/>
          <w:szCs w:val="22"/>
        </w:rPr>
      </w:pPr>
      <w:r w:rsidRPr="004645A9">
        <w:rPr>
          <w:rFonts w:ascii="Palatino Linotype" w:hAnsi="Palatino Linotype"/>
          <w:color w:val="000000"/>
          <w:sz w:val="22"/>
          <w:szCs w:val="22"/>
        </w:rPr>
        <w:t>Criterio que armoniza con el numeral 113 de la Ley General de Transparencia en sus fracciones I y V, las cuales señalan:</w:t>
      </w:r>
    </w:p>
    <w:p w14:paraId="3CB18454" w14:textId="77777777" w:rsidR="004645A9" w:rsidRPr="004645A9" w:rsidRDefault="004645A9" w:rsidP="004645A9">
      <w:pPr>
        <w:spacing w:line="360" w:lineRule="auto"/>
        <w:jc w:val="both"/>
        <w:rPr>
          <w:rFonts w:ascii="Palatino Linotype" w:hAnsi="Palatino Linotype"/>
          <w:color w:val="000000"/>
          <w:sz w:val="22"/>
          <w:szCs w:val="22"/>
        </w:rPr>
      </w:pPr>
    </w:p>
    <w:p w14:paraId="012E5B1B" w14:textId="77777777" w:rsidR="004645A9" w:rsidRPr="004645A9" w:rsidRDefault="004645A9" w:rsidP="004645A9">
      <w:pPr>
        <w:ind w:left="1417" w:right="1468"/>
        <w:jc w:val="both"/>
        <w:rPr>
          <w:rFonts w:ascii="Palatino Linotype" w:hAnsi="Palatino Linotype" w:cs="Arial"/>
          <w:i/>
          <w:color w:val="000000"/>
          <w:sz w:val="22"/>
          <w:szCs w:val="22"/>
          <w:lang w:val="es-MX" w:eastAsia="es-MX"/>
        </w:rPr>
      </w:pPr>
      <w:r w:rsidRPr="004645A9">
        <w:rPr>
          <w:rFonts w:ascii="Palatino Linotype" w:hAnsi="Palatino Linotype" w:cs="Arial"/>
          <w:i/>
          <w:color w:val="000000"/>
          <w:sz w:val="22"/>
          <w:szCs w:val="22"/>
          <w:lang w:val="es-MX" w:eastAsia="es-MX"/>
        </w:rPr>
        <w:t>“La información reservada podrá clasificarse aquella cuya publicación: </w:t>
      </w:r>
    </w:p>
    <w:p w14:paraId="6A69C8AA" w14:textId="77777777" w:rsidR="004645A9" w:rsidRPr="004645A9" w:rsidRDefault="004645A9" w:rsidP="004645A9">
      <w:pPr>
        <w:ind w:left="1417" w:right="1468"/>
        <w:jc w:val="both"/>
        <w:rPr>
          <w:rFonts w:ascii="Palatino Linotype" w:hAnsi="Palatino Linotype" w:cs="Arial"/>
          <w:i/>
          <w:color w:val="000000"/>
          <w:sz w:val="22"/>
          <w:szCs w:val="22"/>
          <w:lang w:val="es-MX" w:eastAsia="es-MX"/>
        </w:rPr>
      </w:pPr>
      <w:r w:rsidRPr="004645A9">
        <w:rPr>
          <w:rFonts w:ascii="Palatino Linotype" w:hAnsi="Palatino Linotype"/>
          <w:i/>
          <w:sz w:val="22"/>
          <w:szCs w:val="22"/>
          <w:lang w:val="es-MX" w:eastAsia="es-MX"/>
        </w:rPr>
        <w:br/>
      </w:r>
      <w:r w:rsidRPr="004645A9">
        <w:rPr>
          <w:rFonts w:ascii="Palatino Linotype" w:hAnsi="Palatino Linotype" w:cs="Arial"/>
          <w:b/>
          <w:i/>
          <w:color w:val="000000"/>
          <w:sz w:val="22"/>
          <w:szCs w:val="22"/>
          <w:lang w:val="es-MX" w:eastAsia="es-MX"/>
        </w:rPr>
        <w:t>I.</w:t>
      </w:r>
      <w:r w:rsidRPr="004645A9">
        <w:rPr>
          <w:rFonts w:ascii="Palatino Linotype" w:hAnsi="Palatino Linotype" w:cs="Arial"/>
          <w:i/>
          <w:color w:val="000000"/>
          <w:sz w:val="22"/>
          <w:szCs w:val="22"/>
          <w:lang w:val="es-MX" w:eastAsia="es-MX"/>
        </w:rPr>
        <w:t xml:space="preserve"> Comprometa la </w:t>
      </w:r>
      <w:r w:rsidRPr="004645A9">
        <w:rPr>
          <w:rFonts w:ascii="Palatino Linotype" w:hAnsi="Palatino Linotype" w:cs="Arial"/>
          <w:b/>
          <w:bCs/>
          <w:i/>
          <w:color w:val="000000"/>
          <w:sz w:val="22"/>
          <w:szCs w:val="22"/>
          <w:u w:val="single"/>
          <w:lang w:val="es-MX" w:eastAsia="es-MX"/>
        </w:rPr>
        <w:t>Seguridad Nacional, la Seguridad Pública</w:t>
      </w:r>
      <w:r w:rsidRPr="004645A9">
        <w:rPr>
          <w:rFonts w:ascii="Palatino Linotype" w:hAnsi="Palatino Linotype" w:cs="Arial"/>
          <w:i/>
          <w:color w:val="000000"/>
          <w:sz w:val="22"/>
          <w:szCs w:val="22"/>
          <w:lang w:val="es-MX" w:eastAsia="es-MX"/>
        </w:rPr>
        <w:t xml:space="preserve"> con la defensa Nacional…</w:t>
      </w:r>
    </w:p>
    <w:p w14:paraId="774401E4" w14:textId="77777777" w:rsidR="004645A9" w:rsidRPr="004645A9" w:rsidRDefault="004645A9" w:rsidP="004645A9">
      <w:pPr>
        <w:ind w:left="1417" w:right="1468"/>
        <w:jc w:val="both"/>
        <w:textAlignment w:val="baseline"/>
        <w:rPr>
          <w:rFonts w:ascii="Palatino Linotype" w:hAnsi="Palatino Linotype" w:cs="Arial"/>
          <w:b/>
          <w:i/>
          <w:color w:val="000000"/>
          <w:sz w:val="22"/>
          <w:szCs w:val="22"/>
          <w:lang w:val="es-MX" w:eastAsia="es-MX"/>
        </w:rPr>
      </w:pPr>
      <w:r w:rsidRPr="004645A9">
        <w:rPr>
          <w:rFonts w:ascii="Palatino Linotype" w:hAnsi="Palatino Linotype" w:cs="Arial"/>
          <w:b/>
          <w:i/>
          <w:color w:val="000000"/>
          <w:sz w:val="22"/>
          <w:szCs w:val="22"/>
          <w:lang w:val="es-MX" w:eastAsia="es-MX"/>
        </w:rPr>
        <w:t xml:space="preserve">V. Pueda poner en riesgo la vida, seguridad o salud de una persona física.” </w:t>
      </w:r>
    </w:p>
    <w:p w14:paraId="07096EDC" w14:textId="77777777" w:rsidR="004645A9" w:rsidRPr="004645A9" w:rsidRDefault="004645A9" w:rsidP="004645A9">
      <w:pPr>
        <w:ind w:left="1417" w:right="1468"/>
        <w:jc w:val="both"/>
        <w:textAlignment w:val="baseline"/>
        <w:rPr>
          <w:rFonts w:ascii="Palatino Linotype" w:hAnsi="Palatino Linotype" w:cs="Arial"/>
          <w:b/>
          <w:i/>
          <w:color w:val="000000"/>
          <w:sz w:val="22"/>
          <w:szCs w:val="22"/>
          <w:lang w:val="es-MX" w:eastAsia="es-MX"/>
        </w:rPr>
      </w:pPr>
    </w:p>
    <w:p w14:paraId="0FEE981C" w14:textId="77777777" w:rsidR="004645A9" w:rsidRPr="004645A9" w:rsidRDefault="004645A9" w:rsidP="004645A9">
      <w:pPr>
        <w:ind w:left="708" w:right="1752"/>
        <w:jc w:val="both"/>
        <w:textAlignment w:val="baseline"/>
        <w:rPr>
          <w:rFonts w:ascii="Palatino Linotype" w:hAnsi="Palatino Linotype" w:cs="Arial"/>
          <w:b/>
          <w:i/>
          <w:color w:val="000000"/>
          <w:sz w:val="22"/>
          <w:szCs w:val="22"/>
          <w:lang w:val="es-MX" w:eastAsia="es-MX"/>
        </w:rPr>
      </w:pPr>
    </w:p>
    <w:p w14:paraId="4F4E27C3"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En ese tenor, la suscrita considera que, para proteger cabalmente a los elementos sustantivos/operativos de dicha área, no solo deben resguardarse los datos relativos a sus nombres, sino también los relativos a sus </w:t>
      </w:r>
      <w:r w:rsidRPr="004645A9">
        <w:rPr>
          <w:rFonts w:ascii="Palatino Linotype" w:hAnsi="Palatino Linotype"/>
          <w:b/>
          <w:color w:val="000000"/>
          <w:sz w:val="22"/>
          <w:szCs w:val="22"/>
          <w:u w:val="single"/>
        </w:rPr>
        <w:t>cargos y adscripciones</w:t>
      </w:r>
      <w:r w:rsidRPr="004645A9">
        <w:rPr>
          <w:rFonts w:ascii="Palatino Linotype" w:hAnsi="Palatino Linotype"/>
          <w:color w:val="000000"/>
          <w:sz w:val="22"/>
          <w:szCs w:val="22"/>
        </w:rPr>
        <w:t>, toda vez que se trata de personal sustantivo/operativo cuyas funciones van encaminadas a resguardar la Seguridad Pública.</w:t>
      </w:r>
    </w:p>
    <w:p w14:paraId="04584986"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4A093973" w14:textId="02FB837E"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Es por ello, que como lo he señalado en anteriores votos </w:t>
      </w:r>
      <w:r w:rsidR="00143B13">
        <w:rPr>
          <w:rFonts w:ascii="Palatino Linotype" w:hAnsi="Palatino Linotype"/>
          <w:color w:val="000000"/>
          <w:sz w:val="22"/>
          <w:szCs w:val="22"/>
        </w:rPr>
        <w:t>disidentes</w:t>
      </w:r>
      <w:r w:rsidRPr="004645A9">
        <w:rPr>
          <w:rFonts w:ascii="Palatino Linotype" w:hAnsi="Palatino Linotype"/>
          <w:color w:val="000000"/>
          <w:sz w:val="22"/>
          <w:szCs w:val="22"/>
        </w:rPr>
        <w:t xml:space="preserve"> y que la misma Ley de Transparencia y Acceso a la Información Pública del Estado de México y Municipios, contempla la excepción particular en el caso de </w:t>
      </w:r>
      <w:r w:rsidRPr="004645A9">
        <w:rPr>
          <w:rFonts w:ascii="Palatino Linotype" w:hAnsi="Palatino Linotype"/>
          <w:b/>
          <w:i/>
          <w:color w:val="000000"/>
          <w:sz w:val="22"/>
          <w:szCs w:val="22"/>
        </w:rPr>
        <w:t>Seguridad Pública</w:t>
      </w:r>
      <w:r w:rsidRPr="004645A9">
        <w:rPr>
          <w:rFonts w:ascii="Palatino Linotype" w:hAnsi="Palatino Linotype"/>
          <w:color w:val="000000"/>
          <w:sz w:val="22"/>
          <w:szCs w:val="22"/>
        </w:rPr>
        <w:t xml:space="preserve"> y dado que estos elementos pertenecen a es</w:t>
      </w:r>
      <w:r w:rsidR="009F2F3A">
        <w:rPr>
          <w:rFonts w:ascii="Palatino Linotype" w:hAnsi="Palatino Linotype"/>
          <w:color w:val="000000"/>
          <w:sz w:val="22"/>
          <w:szCs w:val="22"/>
        </w:rPr>
        <w:t>a área</w:t>
      </w:r>
      <w:r w:rsidRPr="004645A9">
        <w:rPr>
          <w:rFonts w:ascii="Palatino Linotype" w:hAnsi="Palatino Linotype"/>
          <w:color w:val="000000"/>
          <w:sz w:val="22"/>
          <w:szCs w:val="22"/>
        </w:rPr>
        <w:t>, y son parte fundamental para el debido ejercicio de las obligaciones del Estado en cualquiera de sus tres niveles de gobierno, es importante reservar dicha información.</w:t>
      </w:r>
    </w:p>
    <w:p w14:paraId="5EEDCB37"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6399E009"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4645A9">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645A9">
        <w:rPr>
          <w:rFonts w:ascii="Palatino Linotype" w:hAnsi="Palatino Linotype"/>
          <w:color w:val="000000"/>
          <w:sz w:val="22"/>
          <w:szCs w:val="22"/>
        </w:rPr>
        <w:t xml:space="preserve">, la cual señala: </w:t>
      </w:r>
    </w:p>
    <w:p w14:paraId="2134980E"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79BA224E" w14:textId="77777777" w:rsidR="004645A9" w:rsidRPr="004645A9" w:rsidRDefault="004645A9" w:rsidP="004645A9">
      <w:pPr>
        <w:autoSpaceDE w:val="0"/>
        <w:autoSpaceDN w:val="0"/>
        <w:adjustRightInd w:val="0"/>
        <w:ind w:left="1417" w:right="1468"/>
        <w:contextualSpacing/>
        <w:jc w:val="both"/>
        <w:rPr>
          <w:rFonts w:ascii="Palatino Linotype" w:hAnsi="Palatino Linotype"/>
          <w:color w:val="000000"/>
          <w:sz w:val="22"/>
          <w:szCs w:val="22"/>
        </w:rPr>
      </w:pPr>
      <w:r w:rsidRPr="004645A9">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645A9">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645A9">
        <w:rPr>
          <w:rFonts w:ascii="Palatino Linotype" w:hAnsi="Palatino Linotype"/>
          <w:b/>
          <w:i/>
          <w:color w:val="000000"/>
          <w:sz w:val="22"/>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645A9">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645A9">
        <w:rPr>
          <w:rFonts w:ascii="Palatino Linotype" w:hAnsi="Palatino Linotype"/>
          <w:color w:val="000000"/>
          <w:sz w:val="22"/>
          <w:szCs w:val="22"/>
        </w:rPr>
        <w:t>.”</w:t>
      </w:r>
    </w:p>
    <w:p w14:paraId="74C306A4" w14:textId="77777777" w:rsidR="004645A9" w:rsidRPr="004645A9" w:rsidRDefault="004645A9" w:rsidP="004645A9">
      <w:pPr>
        <w:autoSpaceDE w:val="0"/>
        <w:autoSpaceDN w:val="0"/>
        <w:adjustRightInd w:val="0"/>
        <w:ind w:left="1417" w:right="1467"/>
        <w:contextualSpacing/>
        <w:jc w:val="both"/>
        <w:rPr>
          <w:rFonts w:ascii="Palatino Linotype" w:hAnsi="Palatino Linotype"/>
          <w:color w:val="000000"/>
          <w:sz w:val="22"/>
          <w:szCs w:val="22"/>
        </w:rPr>
      </w:pPr>
      <w:r w:rsidRPr="004645A9">
        <w:rPr>
          <w:rFonts w:ascii="Palatino Linotype" w:hAnsi="Palatino Linotype"/>
          <w:i/>
          <w:color w:val="000000"/>
          <w:sz w:val="22"/>
          <w:szCs w:val="22"/>
        </w:rPr>
        <w:t>(Énfasis añadido)</w:t>
      </w:r>
    </w:p>
    <w:p w14:paraId="78E2A89A"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2A6B12DC" w14:textId="405FDD3F"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r w:rsidRPr="004645A9">
        <w:rPr>
          <w:rFonts w:ascii="Palatino Linotype" w:hAnsi="Palatino Linotype"/>
          <w:color w:val="000000"/>
          <w:sz w:val="22"/>
          <w:szCs w:val="22"/>
        </w:rPr>
        <w:lastRenderedPageBreak/>
        <w:t>En atención a</w:t>
      </w:r>
      <w:r w:rsidR="00C63049">
        <w:rPr>
          <w:rFonts w:ascii="Palatino Linotype" w:hAnsi="Palatino Linotype"/>
          <w:color w:val="000000"/>
          <w:sz w:val="22"/>
          <w:szCs w:val="22"/>
        </w:rPr>
        <w:t xml:space="preserve"> </w:t>
      </w:r>
      <w:r w:rsidRPr="004645A9">
        <w:rPr>
          <w:rFonts w:ascii="Palatino Linotype" w:hAnsi="Palatino Linotype"/>
          <w:color w:val="000000"/>
          <w:sz w:val="22"/>
          <w:szCs w:val="22"/>
        </w:rPr>
        <w:t>l</w:t>
      </w:r>
      <w:r w:rsidR="00C63049">
        <w:rPr>
          <w:rFonts w:ascii="Palatino Linotype" w:hAnsi="Palatino Linotype"/>
          <w:color w:val="000000"/>
          <w:sz w:val="22"/>
          <w:szCs w:val="22"/>
        </w:rPr>
        <w:t xml:space="preserve">o antes </w:t>
      </w:r>
      <w:r w:rsidRPr="004645A9">
        <w:rPr>
          <w:rFonts w:ascii="Palatino Linotype" w:hAnsi="Palatino Linotype"/>
          <w:color w:val="000000"/>
          <w:sz w:val="22"/>
          <w:szCs w:val="22"/>
        </w:rPr>
        <w:t>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68BF3F96" w14:textId="77777777" w:rsidR="004645A9" w:rsidRPr="004645A9" w:rsidRDefault="004645A9" w:rsidP="004645A9">
      <w:pPr>
        <w:autoSpaceDE w:val="0"/>
        <w:autoSpaceDN w:val="0"/>
        <w:adjustRightInd w:val="0"/>
        <w:spacing w:line="360" w:lineRule="auto"/>
        <w:ind w:right="49"/>
        <w:contextualSpacing/>
        <w:jc w:val="both"/>
        <w:rPr>
          <w:rFonts w:ascii="Palatino Linotype" w:hAnsi="Palatino Linotype"/>
          <w:color w:val="000000"/>
          <w:sz w:val="22"/>
          <w:szCs w:val="22"/>
        </w:rPr>
      </w:pPr>
    </w:p>
    <w:p w14:paraId="0BF74A24" w14:textId="77777777" w:rsidR="004645A9" w:rsidRDefault="004645A9" w:rsidP="004645A9">
      <w:pPr>
        <w:autoSpaceDE w:val="0"/>
        <w:autoSpaceDN w:val="0"/>
        <w:adjustRightInd w:val="0"/>
        <w:spacing w:line="360" w:lineRule="auto"/>
        <w:ind w:right="49"/>
        <w:contextualSpacing/>
        <w:jc w:val="both"/>
        <w:rPr>
          <w:rFonts w:ascii="Palatino Linotype" w:hAnsi="Palatino Linotype" w:cs="Arial"/>
          <w:sz w:val="22"/>
          <w:szCs w:val="22"/>
        </w:rPr>
      </w:pPr>
      <w:r w:rsidRPr="004645A9">
        <w:rPr>
          <w:rFonts w:ascii="Palatino Linotype" w:hAnsi="Palatino Linotype"/>
          <w:color w:val="000000"/>
          <w:sz w:val="22"/>
          <w:szCs w:val="22"/>
        </w:rPr>
        <w:t xml:space="preserve">Criterio que el Máximo Tribunal de Justicia de este país reiteró el doce de mayo del presente año, dentro de la </w:t>
      </w:r>
      <w:r w:rsidRPr="004645A9">
        <w:rPr>
          <w:rFonts w:ascii="Palatino Linotype" w:hAnsi="Palatino Linotype" w:cs="Arial"/>
          <w:sz w:val="22"/>
          <w:szCs w:val="22"/>
        </w:rPr>
        <w:t xml:space="preserve">Controversia Constitucional 325/2019. </w:t>
      </w:r>
    </w:p>
    <w:p w14:paraId="257E6879" w14:textId="77777777" w:rsidR="004414F1" w:rsidRPr="004645A9" w:rsidRDefault="004414F1" w:rsidP="004645A9">
      <w:pPr>
        <w:autoSpaceDE w:val="0"/>
        <w:autoSpaceDN w:val="0"/>
        <w:adjustRightInd w:val="0"/>
        <w:spacing w:line="360" w:lineRule="auto"/>
        <w:ind w:right="49"/>
        <w:contextualSpacing/>
        <w:jc w:val="both"/>
        <w:rPr>
          <w:rFonts w:ascii="Palatino Linotype" w:hAnsi="Palatino Linotype" w:cs="Arial"/>
          <w:sz w:val="22"/>
          <w:szCs w:val="22"/>
        </w:rPr>
      </w:pPr>
    </w:p>
    <w:p w14:paraId="4F3D922B" w14:textId="7F2344F2"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r w:rsidRPr="004645A9">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Ayuntamiento de </w:t>
      </w:r>
      <w:r w:rsidR="00EB5511">
        <w:rPr>
          <w:rFonts w:ascii="Palatino Linotype" w:hAnsi="Palatino Linotype"/>
          <w:color w:val="000000"/>
          <w:sz w:val="22"/>
          <w:szCs w:val="22"/>
        </w:rPr>
        <w:t>Naucalpan de Juárez</w:t>
      </w:r>
      <w:r w:rsidRPr="004645A9">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81D5B29"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p>
    <w:p w14:paraId="693ED7B5"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r w:rsidRPr="004645A9">
        <w:rPr>
          <w:rFonts w:ascii="Palatino Linotype" w:hAnsi="Palatino Linotype"/>
          <w:color w:val="000000"/>
          <w:sz w:val="22"/>
          <w:szCs w:val="22"/>
        </w:rPr>
        <w:t>En ese sentido, si bien, el cargo y las áreas de adscripción de mandos medios en adelante, deben ser de conocimiento público, también lo es, que existen salvedades previstas en la norma, como el caso del personal de seguridad pública.</w:t>
      </w:r>
    </w:p>
    <w:p w14:paraId="2AE63437" w14:textId="77777777" w:rsidR="004645A9" w:rsidRPr="004645A9" w:rsidRDefault="004645A9" w:rsidP="004645A9">
      <w:pPr>
        <w:autoSpaceDE w:val="0"/>
        <w:autoSpaceDN w:val="0"/>
        <w:adjustRightInd w:val="0"/>
        <w:spacing w:line="360" w:lineRule="auto"/>
        <w:ind w:right="49"/>
        <w:jc w:val="both"/>
        <w:rPr>
          <w:rFonts w:ascii="Palatino Linotype" w:hAnsi="Palatino Linotype"/>
          <w:color w:val="000000"/>
          <w:sz w:val="22"/>
          <w:szCs w:val="22"/>
        </w:rPr>
      </w:pPr>
    </w:p>
    <w:p w14:paraId="5C6DE650" w14:textId="6438658A" w:rsidR="004645A9" w:rsidRPr="004645A9" w:rsidRDefault="004645A9" w:rsidP="004645A9">
      <w:pPr>
        <w:spacing w:line="360" w:lineRule="auto"/>
        <w:jc w:val="both"/>
        <w:rPr>
          <w:rFonts w:ascii="Palatino Linotype" w:hAnsi="Palatino Linotype" w:cs="Arial"/>
          <w:sz w:val="22"/>
          <w:szCs w:val="22"/>
        </w:rPr>
      </w:pPr>
      <w:r w:rsidRPr="004645A9">
        <w:rPr>
          <w:rFonts w:ascii="Palatino Linotype" w:hAnsi="Palatino Linotype" w:cs="Arial"/>
          <w:sz w:val="22"/>
          <w:szCs w:val="22"/>
          <w:lang w:val="es-MX"/>
        </w:rPr>
        <w:t xml:space="preserve">De lo anteriormente expuesto emito </w:t>
      </w:r>
      <w:r w:rsidRPr="004645A9">
        <w:rPr>
          <w:rFonts w:ascii="Palatino Linotype" w:hAnsi="Palatino Linotype" w:cs="Arial"/>
          <w:b/>
          <w:sz w:val="22"/>
          <w:szCs w:val="22"/>
        </w:rPr>
        <w:t xml:space="preserve">VOTO DISIDENTE, </w:t>
      </w:r>
      <w:r w:rsidRPr="004645A9">
        <w:rPr>
          <w:rFonts w:ascii="Palatino Linotype" w:hAnsi="Palatino Linotype" w:cs="Arial"/>
          <w:sz w:val="22"/>
          <w:szCs w:val="22"/>
        </w:rPr>
        <w:t xml:space="preserve">pues se debió privilegiar la </w:t>
      </w:r>
      <w:r w:rsidRPr="004645A9">
        <w:rPr>
          <w:rFonts w:ascii="Palatino Linotype" w:hAnsi="Palatino Linotype" w:cs="Arial"/>
          <w:b/>
          <w:sz w:val="22"/>
          <w:szCs w:val="22"/>
          <w:u w:val="single"/>
        </w:rPr>
        <w:t xml:space="preserve">reserva de los datos relativos al </w:t>
      </w:r>
      <w:r w:rsidRPr="004645A9">
        <w:rPr>
          <w:rFonts w:ascii="Palatino Linotype" w:hAnsi="Palatino Linotype"/>
          <w:b/>
          <w:color w:val="000000"/>
          <w:sz w:val="22"/>
          <w:szCs w:val="22"/>
          <w:u w:val="single"/>
        </w:rPr>
        <w:t>cargo y área de adscripción del personal de Seguridad Pública</w:t>
      </w:r>
      <w:r w:rsidRPr="004645A9">
        <w:rPr>
          <w:rFonts w:ascii="Palatino Linotype" w:hAnsi="Palatino Linotype"/>
          <w:color w:val="000000"/>
          <w:sz w:val="22"/>
          <w:szCs w:val="22"/>
        </w:rPr>
        <w:t xml:space="preserve"> </w:t>
      </w:r>
      <w:r w:rsidRPr="00634623">
        <w:rPr>
          <w:rFonts w:ascii="Palatino Linotype" w:hAnsi="Palatino Linotype"/>
          <w:b/>
          <w:color w:val="000000"/>
          <w:sz w:val="22"/>
          <w:szCs w:val="22"/>
          <w:u w:val="single"/>
        </w:rPr>
        <w:t xml:space="preserve">del Municipio de </w:t>
      </w:r>
      <w:r w:rsidR="00EB5511" w:rsidRPr="00634623">
        <w:rPr>
          <w:rFonts w:ascii="Palatino Linotype" w:hAnsi="Palatino Linotype"/>
          <w:b/>
          <w:color w:val="000000"/>
          <w:sz w:val="22"/>
          <w:szCs w:val="22"/>
          <w:u w:val="single"/>
        </w:rPr>
        <w:t>Naucalpan de Juárez</w:t>
      </w:r>
      <w:r w:rsidRPr="00634623">
        <w:rPr>
          <w:rFonts w:ascii="Palatino Linotype" w:hAnsi="Palatino Linotype"/>
          <w:b/>
          <w:color w:val="000000"/>
          <w:sz w:val="22"/>
          <w:szCs w:val="22"/>
          <w:u w:val="single"/>
        </w:rPr>
        <w:t>,</w:t>
      </w:r>
      <w:r w:rsidRPr="004645A9">
        <w:rPr>
          <w:rFonts w:ascii="Palatino Linotype" w:hAnsi="Palatino Linotype"/>
          <w:color w:val="000000"/>
          <w:sz w:val="22"/>
          <w:szCs w:val="22"/>
        </w:rPr>
        <w:t xml:space="preserve"> </w:t>
      </w:r>
      <w:r w:rsidRPr="004645A9">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el riesgo de divulgar su información supera </w:t>
      </w:r>
      <w:r w:rsidRPr="004645A9">
        <w:rPr>
          <w:rFonts w:ascii="Palatino Linotype" w:hAnsi="Palatino Linotype" w:cs="Arial"/>
          <w:sz w:val="22"/>
          <w:szCs w:val="22"/>
        </w:rPr>
        <w:lastRenderedPageBreak/>
        <w:t>el interés público general ya que el bien jurídico tutelado es superior al derecho de acceso a la información al tratarse de la seguridad, integridad y la vida de una persona.</w:t>
      </w:r>
    </w:p>
    <w:p w14:paraId="2D5F9DD0" w14:textId="77777777" w:rsidR="008D2E26" w:rsidRPr="00E80F3A" w:rsidRDefault="008D2E26" w:rsidP="008D2E26">
      <w:pPr>
        <w:spacing w:line="360" w:lineRule="auto"/>
        <w:jc w:val="both"/>
        <w:rPr>
          <w:rFonts w:ascii="Palatino Linotype" w:hAnsi="Palatino Linotype" w:cs="Arial"/>
          <w:sz w:val="16"/>
          <w:szCs w:val="22"/>
        </w:rPr>
      </w:pPr>
    </w:p>
    <w:p w14:paraId="635B3FB2" w14:textId="77777777" w:rsidR="00C433DD" w:rsidRDefault="00C433DD" w:rsidP="008D2E26">
      <w:pPr>
        <w:spacing w:line="360" w:lineRule="auto"/>
        <w:jc w:val="both"/>
        <w:rPr>
          <w:rFonts w:ascii="Palatino Linotype" w:hAnsi="Palatino Linotype" w:cs="Arial"/>
          <w:sz w:val="20"/>
          <w:szCs w:val="20"/>
        </w:rPr>
      </w:pPr>
    </w:p>
    <w:p w14:paraId="498D255E" w14:textId="77777777" w:rsidR="008C7A37" w:rsidRDefault="008C7A37" w:rsidP="008D2E26">
      <w:pPr>
        <w:spacing w:line="360" w:lineRule="auto"/>
        <w:jc w:val="both"/>
        <w:rPr>
          <w:rFonts w:ascii="Palatino Linotype" w:hAnsi="Palatino Linotype" w:cs="Arial"/>
          <w:sz w:val="20"/>
          <w:szCs w:val="20"/>
        </w:rPr>
      </w:pPr>
    </w:p>
    <w:p w14:paraId="46DF5C6B" w14:textId="77777777" w:rsidR="008C7A37" w:rsidRDefault="008C7A37" w:rsidP="008D2E26">
      <w:pPr>
        <w:spacing w:line="360" w:lineRule="auto"/>
        <w:jc w:val="both"/>
        <w:rPr>
          <w:rFonts w:ascii="Palatino Linotype" w:hAnsi="Palatino Linotype" w:cs="Arial"/>
          <w:sz w:val="20"/>
          <w:szCs w:val="20"/>
        </w:rPr>
      </w:pPr>
    </w:p>
    <w:tbl>
      <w:tblPr>
        <w:tblW w:w="5529" w:type="dxa"/>
        <w:jc w:val="center"/>
        <w:tblLayout w:type="fixed"/>
        <w:tblLook w:val="04A0" w:firstRow="1" w:lastRow="0" w:firstColumn="1" w:lastColumn="0" w:noHBand="0" w:noVBand="1"/>
      </w:tblPr>
      <w:tblGrid>
        <w:gridCol w:w="5529"/>
      </w:tblGrid>
      <w:tr w:rsidR="008D2E26" w:rsidRPr="007B0C01" w14:paraId="5A77C145" w14:textId="77777777" w:rsidTr="00E80F3A">
        <w:trPr>
          <w:trHeight w:val="1352"/>
          <w:jc w:val="center"/>
        </w:trPr>
        <w:tc>
          <w:tcPr>
            <w:tcW w:w="5529" w:type="dxa"/>
          </w:tcPr>
          <w:tbl>
            <w:tblPr>
              <w:tblW w:w="5529" w:type="dxa"/>
              <w:jc w:val="center"/>
              <w:tblLayout w:type="fixed"/>
              <w:tblLook w:val="04A0" w:firstRow="1" w:lastRow="0" w:firstColumn="1" w:lastColumn="0" w:noHBand="0" w:noVBand="1"/>
            </w:tblPr>
            <w:tblGrid>
              <w:gridCol w:w="5529"/>
            </w:tblGrid>
            <w:tr w:rsidR="004645A9" w:rsidRPr="007B0C01" w14:paraId="079DF1D4" w14:textId="77777777" w:rsidTr="00DE4F14">
              <w:trPr>
                <w:jc w:val="center"/>
              </w:trPr>
              <w:tc>
                <w:tcPr>
                  <w:tcW w:w="5529" w:type="dxa"/>
                </w:tcPr>
                <w:p w14:paraId="30BF8DF3" w14:textId="77777777" w:rsidR="004645A9" w:rsidRPr="004E2338" w:rsidRDefault="004645A9" w:rsidP="004645A9">
                  <w:pPr>
                    <w:jc w:val="center"/>
                    <w:rPr>
                      <w:rFonts w:ascii="Palatino Linotype" w:hAnsi="Palatino Linotype"/>
                      <w:b/>
                      <w:i/>
                      <w:sz w:val="22"/>
                      <w:szCs w:val="22"/>
                    </w:rPr>
                  </w:pPr>
                  <w:r w:rsidRPr="004E2338">
                    <w:rPr>
                      <w:rFonts w:ascii="Palatino Linotype" w:hAnsi="Palatino Linotype"/>
                      <w:b/>
                      <w:sz w:val="22"/>
                      <w:szCs w:val="22"/>
                    </w:rPr>
                    <w:t xml:space="preserve">SHARON CRISTINA MORALES MARTÍNEZ </w:t>
                  </w:r>
                </w:p>
                <w:p w14:paraId="3FB56849" w14:textId="77777777" w:rsidR="004645A9" w:rsidRPr="007B0C01" w:rsidRDefault="004645A9" w:rsidP="004645A9">
                  <w:pPr>
                    <w:jc w:val="center"/>
                    <w:rPr>
                      <w:rFonts w:ascii="Palatino Linotype" w:hAnsi="Palatino Linotype"/>
                      <w:b/>
                      <w:sz w:val="20"/>
                      <w:szCs w:val="20"/>
                    </w:rPr>
                  </w:pPr>
                  <w:r w:rsidRPr="004E2338">
                    <w:rPr>
                      <w:rFonts w:ascii="Palatino Linotype" w:hAnsi="Palatino Linotype"/>
                      <w:b/>
                      <w:sz w:val="22"/>
                      <w:szCs w:val="22"/>
                    </w:rPr>
                    <w:t>COMISIONADA</w:t>
                  </w:r>
                </w:p>
                <w:p w14:paraId="2D6E9D86" w14:textId="77777777" w:rsidR="004645A9" w:rsidRPr="007B0C01" w:rsidRDefault="004645A9" w:rsidP="004645A9">
                  <w:pPr>
                    <w:spacing w:line="360" w:lineRule="auto"/>
                    <w:jc w:val="center"/>
                    <w:rPr>
                      <w:rFonts w:ascii="Palatino Linotype" w:hAnsi="Palatino Linotype"/>
                      <w:b/>
                      <w:sz w:val="20"/>
                      <w:szCs w:val="20"/>
                    </w:rPr>
                  </w:pPr>
                </w:p>
              </w:tc>
            </w:tr>
          </w:tbl>
          <w:p w14:paraId="787B09C2" w14:textId="4DDBF5DD" w:rsidR="008D2E26" w:rsidRDefault="008D2E26" w:rsidP="00DE4F14">
            <w:pPr>
              <w:jc w:val="center"/>
              <w:rPr>
                <w:rFonts w:ascii="Palatino Linotype" w:hAnsi="Palatino Linotype"/>
                <w:b/>
                <w:sz w:val="20"/>
                <w:szCs w:val="20"/>
              </w:rPr>
            </w:pPr>
          </w:p>
          <w:p w14:paraId="0683E0D2" w14:textId="77777777" w:rsidR="008C7A37" w:rsidRDefault="008C7A37" w:rsidP="00DE4F14">
            <w:pPr>
              <w:jc w:val="center"/>
              <w:rPr>
                <w:rFonts w:ascii="Palatino Linotype" w:hAnsi="Palatino Linotype"/>
                <w:b/>
                <w:sz w:val="20"/>
                <w:szCs w:val="20"/>
              </w:rPr>
            </w:pPr>
          </w:p>
          <w:p w14:paraId="0C549A28" w14:textId="77777777" w:rsidR="008C7A37" w:rsidRDefault="008C7A37" w:rsidP="00DE4F14">
            <w:pPr>
              <w:jc w:val="center"/>
              <w:rPr>
                <w:rFonts w:ascii="Palatino Linotype" w:hAnsi="Palatino Linotype"/>
                <w:b/>
                <w:sz w:val="20"/>
                <w:szCs w:val="20"/>
              </w:rPr>
            </w:pPr>
          </w:p>
          <w:p w14:paraId="24AA970C" w14:textId="77777777" w:rsidR="008C7A37" w:rsidRDefault="008C7A37" w:rsidP="00DE4F14">
            <w:pPr>
              <w:jc w:val="center"/>
              <w:rPr>
                <w:rFonts w:ascii="Palatino Linotype" w:hAnsi="Palatino Linotype"/>
                <w:b/>
                <w:sz w:val="20"/>
                <w:szCs w:val="20"/>
              </w:rPr>
            </w:pPr>
          </w:p>
          <w:p w14:paraId="3F7168C6" w14:textId="77777777" w:rsidR="008C7A37" w:rsidRDefault="008C7A37" w:rsidP="00DE4F14">
            <w:pPr>
              <w:jc w:val="center"/>
              <w:rPr>
                <w:rFonts w:ascii="Palatino Linotype" w:hAnsi="Palatino Linotype"/>
                <w:b/>
                <w:sz w:val="20"/>
                <w:szCs w:val="20"/>
              </w:rPr>
            </w:pPr>
          </w:p>
          <w:p w14:paraId="7CCD3D5B" w14:textId="77777777" w:rsidR="008C7A37" w:rsidRDefault="008C7A37" w:rsidP="00DE4F14">
            <w:pPr>
              <w:jc w:val="center"/>
              <w:rPr>
                <w:rFonts w:ascii="Palatino Linotype" w:hAnsi="Palatino Linotype"/>
                <w:b/>
                <w:sz w:val="20"/>
                <w:szCs w:val="20"/>
              </w:rPr>
            </w:pPr>
          </w:p>
          <w:p w14:paraId="2332446D" w14:textId="77777777" w:rsidR="008D2E26" w:rsidRPr="007B0C01" w:rsidRDefault="008D2E26" w:rsidP="00DA393C">
            <w:pPr>
              <w:spacing w:line="360" w:lineRule="auto"/>
              <w:rPr>
                <w:rFonts w:ascii="Palatino Linotype" w:hAnsi="Palatino Linotype"/>
                <w:b/>
                <w:sz w:val="20"/>
                <w:szCs w:val="20"/>
              </w:rPr>
            </w:pPr>
          </w:p>
        </w:tc>
      </w:tr>
    </w:tbl>
    <w:p w14:paraId="125E13DF" w14:textId="77777777" w:rsidR="00241267" w:rsidRDefault="00241267" w:rsidP="00EF53AF">
      <w:pPr>
        <w:spacing w:line="360" w:lineRule="auto"/>
        <w:jc w:val="both"/>
        <w:rPr>
          <w:rFonts w:ascii="Palatino Linotype" w:eastAsia="Calibri" w:hAnsi="Palatino Linotype" w:cs="Arial"/>
          <w:color w:val="000000" w:themeColor="text1"/>
          <w:sz w:val="20"/>
          <w:szCs w:val="22"/>
        </w:rPr>
      </w:pPr>
    </w:p>
    <w:p w14:paraId="3E2D0ACF" w14:textId="77777777" w:rsidR="00241267" w:rsidRDefault="00241267" w:rsidP="00EF53AF">
      <w:pPr>
        <w:spacing w:line="360" w:lineRule="auto"/>
        <w:jc w:val="both"/>
        <w:rPr>
          <w:rFonts w:ascii="Palatino Linotype" w:eastAsia="Calibri" w:hAnsi="Palatino Linotype" w:cs="Arial"/>
          <w:color w:val="000000" w:themeColor="text1"/>
          <w:sz w:val="20"/>
          <w:szCs w:val="22"/>
        </w:rPr>
      </w:pPr>
    </w:p>
    <w:p w14:paraId="1DD90431" w14:textId="77777777" w:rsidR="00241267" w:rsidRDefault="00241267" w:rsidP="00EF53AF">
      <w:pPr>
        <w:spacing w:line="360" w:lineRule="auto"/>
        <w:jc w:val="both"/>
        <w:rPr>
          <w:rFonts w:ascii="Palatino Linotype" w:eastAsia="Calibri" w:hAnsi="Palatino Linotype" w:cs="Arial"/>
          <w:color w:val="000000" w:themeColor="text1"/>
          <w:sz w:val="20"/>
          <w:szCs w:val="22"/>
        </w:rPr>
      </w:pPr>
    </w:p>
    <w:p w14:paraId="6CA58FA1"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268417AA"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348C981F"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10B49C0E"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7BD380CD"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7C012FC1"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549205E9"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00F98CCC"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009B16BA"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58C37BEB"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5E75BB00"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6593CB4F"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71EB8D82"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74A09F12"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510376A4" w14:textId="77777777" w:rsidR="00EB5511" w:rsidRDefault="00EB5511" w:rsidP="00EF53AF">
      <w:pPr>
        <w:spacing w:line="360" w:lineRule="auto"/>
        <w:jc w:val="both"/>
        <w:rPr>
          <w:rFonts w:ascii="Palatino Linotype" w:eastAsia="Calibri" w:hAnsi="Palatino Linotype" w:cs="Arial"/>
          <w:color w:val="000000" w:themeColor="text1"/>
          <w:sz w:val="20"/>
          <w:szCs w:val="22"/>
        </w:rPr>
      </w:pPr>
    </w:p>
    <w:p w14:paraId="675EC6AD" w14:textId="77777777" w:rsidR="00EF53AF" w:rsidRPr="004645A9" w:rsidRDefault="00EF53AF" w:rsidP="00EF53AF">
      <w:pPr>
        <w:spacing w:line="360" w:lineRule="auto"/>
        <w:jc w:val="both"/>
        <w:rPr>
          <w:rFonts w:ascii="Palatino Linotype" w:eastAsia="Calibri" w:hAnsi="Palatino Linotype" w:cs="Arial"/>
          <w:color w:val="000000" w:themeColor="text1"/>
          <w:sz w:val="20"/>
          <w:szCs w:val="22"/>
        </w:rPr>
      </w:pPr>
      <w:r w:rsidRPr="004645A9">
        <w:rPr>
          <w:rFonts w:ascii="Palatino Linotype" w:eastAsia="Calibri" w:hAnsi="Palatino Linotype" w:cs="Arial"/>
          <w:color w:val="000000" w:themeColor="text1"/>
          <w:sz w:val="20"/>
          <w:szCs w:val="22"/>
        </w:rPr>
        <w:t>BLA/DEMF/</w:t>
      </w:r>
      <w:r>
        <w:rPr>
          <w:rFonts w:ascii="Palatino Linotype" w:eastAsia="Calibri" w:hAnsi="Palatino Linotype" w:cs="Arial"/>
          <w:color w:val="000000" w:themeColor="text1"/>
          <w:sz w:val="20"/>
          <w:szCs w:val="22"/>
        </w:rPr>
        <w:t>CCA</w:t>
      </w: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DE4F14" w:rsidRDefault="00DE4F14" w:rsidP="008D2E26">
      <w:pPr>
        <w:spacing w:line="360" w:lineRule="auto"/>
        <w:contextualSpacing/>
        <w:jc w:val="both"/>
        <w:rPr>
          <w:rFonts w:ascii="Palatino Linotype" w:eastAsia="Calibri" w:hAnsi="Palatino Linotype" w:cs="Arial"/>
          <w:color w:val="000000" w:themeColor="text1"/>
          <w:sz w:val="20"/>
          <w:szCs w:val="20"/>
        </w:rPr>
      </w:pPr>
    </w:p>
    <w:p w14:paraId="7BBDFEDA"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42E6E4A9"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2EDEFDCA"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3BBAF26B"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0DF2CA04"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363CB872"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527CC1B5"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172023DC"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470C6000"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40CBB8DD"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627FE075"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5ED2D11A" w14:textId="77777777" w:rsidR="00126A01" w:rsidRDefault="00126A01" w:rsidP="008D2E26">
      <w:pPr>
        <w:spacing w:line="360" w:lineRule="auto"/>
        <w:contextualSpacing/>
        <w:jc w:val="both"/>
        <w:rPr>
          <w:rFonts w:ascii="Palatino Linotype" w:eastAsia="Calibri" w:hAnsi="Palatino Linotype" w:cs="Arial"/>
          <w:color w:val="000000" w:themeColor="text1"/>
          <w:sz w:val="20"/>
          <w:szCs w:val="20"/>
        </w:rPr>
      </w:pPr>
    </w:p>
    <w:p w14:paraId="58ACC22A" w14:textId="77777777" w:rsidR="00126A01" w:rsidRPr="00A90BE0" w:rsidRDefault="00126A01" w:rsidP="008D2E26">
      <w:pPr>
        <w:spacing w:line="360" w:lineRule="auto"/>
        <w:contextualSpacing/>
        <w:jc w:val="both"/>
        <w:rPr>
          <w:rFonts w:ascii="Palatino Linotype" w:eastAsia="Calibri" w:hAnsi="Palatino Linotype" w:cs="Arial"/>
          <w:color w:val="000000" w:themeColor="text1"/>
          <w:sz w:val="20"/>
          <w:szCs w:val="20"/>
        </w:rPr>
      </w:pPr>
    </w:p>
    <w:sectPr w:rsidR="00126A01" w:rsidRPr="00A90BE0" w:rsidSect="00DE4F14">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AB62" w14:textId="77777777" w:rsidR="00FF1F93" w:rsidRDefault="00FF1F93" w:rsidP="00E81438">
      <w:r>
        <w:separator/>
      </w:r>
    </w:p>
  </w:endnote>
  <w:endnote w:type="continuationSeparator" w:id="0">
    <w:p w14:paraId="1CD8F562" w14:textId="77777777" w:rsidR="00FF1F93" w:rsidRDefault="00FF1F93"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FF1F93" w:rsidRDefault="00FF1F93" w:rsidP="00DE4F14">
    <w:pPr>
      <w:pStyle w:val="Piedepgina"/>
      <w:tabs>
        <w:tab w:val="clear" w:pos="4252"/>
        <w:tab w:val="left" w:pos="4228"/>
      </w:tabs>
      <w:rPr>
        <w:rFonts w:ascii="Palatino Linotype" w:hAnsi="Palatino Linotype" w:cs="Arial"/>
        <w:b/>
        <w:bCs/>
        <w:sz w:val="20"/>
        <w:szCs w:val="20"/>
      </w:rPr>
    </w:pPr>
  </w:p>
  <w:p w14:paraId="0B69507D" w14:textId="77777777" w:rsidR="00FF1F93" w:rsidRDefault="00FF1F93" w:rsidP="00DE4F14">
    <w:pPr>
      <w:pStyle w:val="Piedepgina"/>
      <w:tabs>
        <w:tab w:val="clear" w:pos="4252"/>
        <w:tab w:val="left" w:pos="4228"/>
      </w:tabs>
      <w:rPr>
        <w:rFonts w:ascii="Palatino Linotype" w:hAnsi="Palatino Linotype" w:cs="Arial"/>
        <w:b/>
        <w:bCs/>
        <w:sz w:val="20"/>
        <w:szCs w:val="20"/>
      </w:rPr>
    </w:pPr>
  </w:p>
  <w:p w14:paraId="624174B2" w14:textId="77777777" w:rsidR="00FF1F93" w:rsidRDefault="00FF1F93" w:rsidP="00DE4F14">
    <w:pPr>
      <w:pStyle w:val="Piedepgina"/>
      <w:tabs>
        <w:tab w:val="clear" w:pos="4252"/>
        <w:tab w:val="left" w:pos="4228"/>
      </w:tabs>
      <w:rPr>
        <w:rFonts w:ascii="Palatino Linotype" w:hAnsi="Palatino Linotype" w:cs="Arial"/>
        <w:b/>
        <w:bCs/>
        <w:sz w:val="20"/>
        <w:szCs w:val="20"/>
      </w:rPr>
    </w:pPr>
  </w:p>
  <w:p w14:paraId="0426ADBB" w14:textId="77777777" w:rsidR="00FF1F93" w:rsidRDefault="00FF1F93" w:rsidP="00DE4F14">
    <w:pPr>
      <w:pStyle w:val="Piedepgina"/>
      <w:rPr>
        <w:rFonts w:ascii="Palatino Linotype" w:hAnsi="Palatino Linotype" w:cs="Arial"/>
        <w:b/>
        <w:bCs/>
        <w:sz w:val="20"/>
        <w:szCs w:val="20"/>
      </w:rPr>
    </w:pPr>
  </w:p>
  <w:p w14:paraId="5AE382F9" w14:textId="77777777" w:rsidR="00FF1F93" w:rsidRPr="00F12350" w:rsidRDefault="00FF1F93" w:rsidP="00DE4F1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C3464">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C346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65247275" w14:textId="78407B92" w:rsidR="00FF1F93" w:rsidRDefault="00FF1F93" w:rsidP="009506F0">
    <w:pPr>
      <w:pStyle w:val="Piedepgina"/>
      <w:tabs>
        <w:tab w:val="clear" w:pos="8504"/>
        <w:tab w:val="left" w:pos="4252"/>
      </w:tabs>
      <w:ind w:firstLine="708"/>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EE1C9" w14:textId="77777777" w:rsidR="00FF1F93" w:rsidRDefault="00FF1F93" w:rsidP="00E81438">
      <w:r>
        <w:separator/>
      </w:r>
    </w:p>
  </w:footnote>
  <w:footnote w:type="continuationSeparator" w:id="0">
    <w:p w14:paraId="04E14A65" w14:textId="77777777" w:rsidR="00FF1F93" w:rsidRDefault="00FF1F93"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FF1F93" w:rsidRDefault="002C3464">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FF1F93" w:rsidRDefault="00FF1F93"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2C3464">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FF1F93" w:rsidRPr="00333436" w:rsidRDefault="00FF1F93" w:rsidP="00DE4F14">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FF1F93" w:rsidRPr="00333436" w:rsidRDefault="00FF1F93" w:rsidP="00DE4F14">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VOTO DISIDENTE</w:t>
    </w:r>
  </w:p>
  <w:p w14:paraId="21A7A5A0" w14:textId="0EE536CF" w:rsidR="00FF1F93" w:rsidRPr="00333436" w:rsidRDefault="00FF1F93" w:rsidP="00B24078">
    <w:pPr>
      <w:pStyle w:val="Encabezado"/>
      <w:tabs>
        <w:tab w:val="clear" w:pos="4252"/>
        <w:tab w:val="clear" w:pos="8504"/>
        <w:tab w:val="left" w:pos="2326"/>
      </w:tabs>
      <w:contextualSpacing/>
      <w:jc w:val="right"/>
      <w:rPr>
        <w:rFonts w:ascii="Palatino Linotype" w:hAnsi="Palatino Linotype" w:cs="Arial"/>
        <w:b/>
        <w:bCs/>
        <w:sz w:val="20"/>
        <w:szCs w:val="20"/>
      </w:rPr>
    </w:pPr>
    <w:r w:rsidRPr="00333436">
      <w:rPr>
        <w:rFonts w:ascii="Palatino Linotype" w:hAnsi="Palatino Linotype" w:cs="Arial"/>
        <w:b/>
        <w:bCs/>
        <w:sz w:val="20"/>
        <w:szCs w:val="20"/>
      </w:rPr>
      <w:t xml:space="preserve">                RECURSO DE REVISIÓN </w:t>
    </w:r>
    <w:r>
      <w:rPr>
        <w:rFonts w:ascii="Palatino Linotype" w:hAnsi="Palatino Linotype"/>
        <w:b/>
        <w:bCs/>
        <w:color w:val="000000" w:themeColor="text1"/>
        <w:sz w:val="22"/>
        <w:szCs w:val="22"/>
      </w:rPr>
      <w:t>15404</w:t>
    </w:r>
    <w:r w:rsidRPr="000E5A1B">
      <w:rPr>
        <w:rFonts w:ascii="Palatino Linotype" w:hAnsi="Palatino Linotype"/>
        <w:b/>
        <w:bCs/>
        <w:color w:val="000000" w:themeColor="text1"/>
        <w:sz w:val="22"/>
        <w:szCs w:val="22"/>
      </w:rPr>
      <w:t>/INFOEM/IP/RR/2022</w:t>
    </w:r>
  </w:p>
  <w:p w14:paraId="3789C1BE" w14:textId="77777777" w:rsidR="00FF1F93" w:rsidRPr="00333436" w:rsidRDefault="00FF1F93" w:rsidP="00DE4F14">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FF1F93" w:rsidRDefault="00FF1F93" w:rsidP="00DE4F14">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FF1F93" w:rsidRDefault="002C3464">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15:restartNumberingAfterBreak="0">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15:restartNumberingAfterBreak="0">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594F7B"/>
    <w:multiLevelType w:val="hybridMultilevel"/>
    <w:tmpl w:val="47449086"/>
    <w:lvl w:ilvl="0" w:tplc="7B3AE58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5" w15:restartNumberingAfterBreak="0">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456370"/>
    <w:multiLevelType w:val="hybridMultilevel"/>
    <w:tmpl w:val="1EDC4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ED262D"/>
    <w:multiLevelType w:val="hybridMultilevel"/>
    <w:tmpl w:val="4746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lvl w:ilvl="0">
        <w:numFmt w:val="upperRoman"/>
        <w:lvlText w:val="%1."/>
        <w:lvlJc w:val="right"/>
      </w:lvl>
    </w:lvlOverride>
  </w:num>
  <w:num w:numId="3">
    <w:abstractNumId w:val="8"/>
  </w:num>
  <w:num w:numId="4">
    <w:abstractNumId w:val="1"/>
  </w:num>
  <w:num w:numId="5">
    <w:abstractNumId w:val="0"/>
  </w:num>
  <w:num w:numId="6">
    <w:abstractNumId w:val="2"/>
  </w:num>
  <w:num w:numId="7">
    <w:abstractNumId w:val="9"/>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mailingLabels"/>
    <w:dataType w:val="textFile"/>
    <w:activeRecord w:val="-1"/>
    <w:odso/>
  </w:mailMerg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15243"/>
    <w:rsid w:val="00015CDC"/>
    <w:rsid w:val="00041F71"/>
    <w:rsid w:val="0004301C"/>
    <w:rsid w:val="00043028"/>
    <w:rsid w:val="00046BFE"/>
    <w:rsid w:val="0006272A"/>
    <w:rsid w:val="0006759B"/>
    <w:rsid w:val="0007704C"/>
    <w:rsid w:val="00080CA3"/>
    <w:rsid w:val="00086DBA"/>
    <w:rsid w:val="000975A6"/>
    <w:rsid w:val="000A3500"/>
    <w:rsid w:val="000A5C62"/>
    <w:rsid w:val="000B0A63"/>
    <w:rsid w:val="000C3339"/>
    <w:rsid w:val="000C4A06"/>
    <w:rsid w:val="000E3E05"/>
    <w:rsid w:val="000E5A1B"/>
    <w:rsid w:val="000F4390"/>
    <w:rsid w:val="000F672C"/>
    <w:rsid w:val="00100875"/>
    <w:rsid w:val="00107D23"/>
    <w:rsid w:val="001247BF"/>
    <w:rsid w:val="00126A01"/>
    <w:rsid w:val="00132B0F"/>
    <w:rsid w:val="00142268"/>
    <w:rsid w:val="00143B13"/>
    <w:rsid w:val="0016335C"/>
    <w:rsid w:val="001643C9"/>
    <w:rsid w:val="00167974"/>
    <w:rsid w:val="00176198"/>
    <w:rsid w:val="00183B60"/>
    <w:rsid w:val="00187D42"/>
    <w:rsid w:val="0019475D"/>
    <w:rsid w:val="001A75DE"/>
    <w:rsid w:val="001B2EA0"/>
    <w:rsid w:val="001B6EB9"/>
    <w:rsid w:val="001C25BC"/>
    <w:rsid w:val="001C27DF"/>
    <w:rsid w:val="001D3F19"/>
    <w:rsid w:val="001D61DA"/>
    <w:rsid w:val="001D7807"/>
    <w:rsid w:val="001E2C7A"/>
    <w:rsid w:val="001E4BD7"/>
    <w:rsid w:val="00201337"/>
    <w:rsid w:val="0020438F"/>
    <w:rsid w:val="00213273"/>
    <w:rsid w:val="00216380"/>
    <w:rsid w:val="00217F04"/>
    <w:rsid w:val="0022110A"/>
    <w:rsid w:val="002317E4"/>
    <w:rsid w:val="002323B7"/>
    <w:rsid w:val="002351D3"/>
    <w:rsid w:val="00241267"/>
    <w:rsid w:val="00242826"/>
    <w:rsid w:val="0027361F"/>
    <w:rsid w:val="00277ACD"/>
    <w:rsid w:val="0028660C"/>
    <w:rsid w:val="00292365"/>
    <w:rsid w:val="00296257"/>
    <w:rsid w:val="00296C85"/>
    <w:rsid w:val="002A1FC2"/>
    <w:rsid w:val="002A7765"/>
    <w:rsid w:val="002A7E7E"/>
    <w:rsid w:val="002B021F"/>
    <w:rsid w:val="002B3354"/>
    <w:rsid w:val="002B456C"/>
    <w:rsid w:val="002C3464"/>
    <w:rsid w:val="002C62EC"/>
    <w:rsid w:val="002D17E3"/>
    <w:rsid w:val="002D4453"/>
    <w:rsid w:val="002D46DF"/>
    <w:rsid w:val="002F273D"/>
    <w:rsid w:val="002F3711"/>
    <w:rsid w:val="0030143A"/>
    <w:rsid w:val="0030468A"/>
    <w:rsid w:val="00313375"/>
    <w:rsid w:val="00315049"/>
    <w:rsid w:val="00321981"/>
    <w:rsid w:val="00324EBE"/>
    <w:rsid w:val="00333436"/>
    <w:rsid w:val="00336322"/>
    <w:rsid w:val="003432EF"/>
    <w:rsid w:val="0035304E"/>
    <w:rsid w:val="00353453"/>
    <w:rsid w:val="003617FA"/>
    <w:rsid w:val="00361D66"/>
    <w:rsid w:val="003713D0"/>
    <w:rsid w:val="00371F8F"/>
    <w:rsid w:val="00372746"/>
    <w:rsid w:val="00385CC1"/>
    <w:rsid w:val="003868B5"/>
    <w:rsid w:val="0038700C"/>
    <w:rsid w:val="003964BA"/>
    <w:rsid w:val="003B190C"/>
    <w:rsid w:val="003C2F6A"/>
    <w:rsid w:val="003C2F73"/>
    <w:rsid w:val="003E66B1"/>
    <w:rsid w:val="003F6468"/>
    <w:rsid w:val="00403757"/>
    <w:rsid w:val="00404BA3"/>
    <w:rsid w:val="00406D8C"/>
    <w:rsid w:val="004138B5"/>
    <w:rsid w:val="00414F91"/>
    <w:rsid w:val="00426A0D"/>
    <w:rsid w:val="00434978"/>
    <w:rsid w:val="004365C0"/>
    <w:rsid w:val="00437359"/>
    <w:rsid w:val="00440539"/>
    <w:rsid w:val="004414F1"/>
    <w:rsid w:val="00445972"/>
    <w:rsid w:val="00457C33"/>
    <w:rsid w:val="00463C78"/>
    <w:rsid w:val="004645A9"/>
    <w:rsid w:val="0048734D"/>
    <w:rsid w:val="00492D79"/>
    <w:rsid w:val="00495A2D"/>
    <w:rsid w:val="00496FDB"/>
    <w:rsid w:val="004A6BFC"/>
    <w:rsid w:val="004C18C5"/>
    <w:rsid w:val="004C2D42"/>
    <w:rsid w:val="004C6981"/>
    <w:rsid w:val="004E0B19"/>
    <w:rsid w:val="004E0CF7"/>
    <w:rsid w:val="004E1716"/>
    <w:rsid w:val="004E2200"/>
    <w:rsid w:val="004E2338"/>
    <w:rsid w:val="004E559E"/>
    <w:rsid w:val="004E7AC0"/>
    <w:rsid w:val="004F4481"/>
    <w:rsid w:val="005029EC"/>
    <w:rsid w:val="00510BFF"/>
    <w:rsid w:val="00523AF5"/>
    <w:rsid w:val="005247EA"/>
    <w:rsid w:val="005300E6"/>
    <w:rsid w:val="0053148C"/>
    <w:rsid w:val="005432D8"/>
    <w:rsid w:val="00551E7F"/>
    <w:rsid w:val="005526C9"/>
    <w:rsid w:val="00560C1E"/>
    <w:rsid w:val="0056567F"/>
    <w:rsid w:val="00577766"/>
    <w:rsid w:val="005820EB"/>
    <w:rsid w:val="00595D69"/>
    <w:rsid w:val="005A3BF5"/>
    <w:rsid w:val="005A4D7F"/>
    <w:rsid w:val="005B07C2"/>
    <w:rsid w:val="005B4759"/>
    <w:rsid w:val="005C0E5C"/>
    <w:rsid w:val="005C66C0"/>
    <w:rsid w:val="005D0626"/>
    <w:rsid w:val="005D3C8D"/>
    <w:rsid w:val="005F542A"/>
    <w:rsid w:val="005F563A"/>
    <w:rsid w:val="0060046A"/>
    <w:rsid w:val="00603369"/>
    <w:rsid w:val="006201FC"/>
    <w:rsid w:val="00626823"/>
    <w:rsid w:val="00630A16"/>
    <w:rsid w:val="00634623"/>
    <w:rsid w:val="006444D8"/>
    <w:rsid w:val="00654FE9"/>
    <w:rsid w:val="00656AE6"/>
    <w:rsid w:val="0066419F"/>
    <w:rsid w:val="0066482B"/>
    <w:rsid w:val="00666E51"/>
    <w:rsid w:val="0067362A"/>
    <w:rsid w:val="006801D4"/>
    <w:rsid w:val="00683DFA"/>
    <w:rsid w:val="00694D4B"/>
    <w:rsid w:val="00694D63"/>
    <w:rsid w:val="0069772F"/>
    <w:rsid w:val="006A0CA6"/>
    <w:rsid w:val="006B2694"/>
    <w:rsid w:val="006B30CD"/>
    <w:rsid w:val="006B3DB4"/>
    <w:rsid w:val="006C371A"/>
    <w:rsid w:val="006C3B9C"/>
    <w:rsid w:val="006C644C"/>
    <w:rsid w:val="006D07BF"/>
    <w:rsid w:val="006D150E"/>
    <w:rsid w:val="006D5765"/>
    <w:rsid w:val="006E001E"/>
    <w:rsid w:val="006E77E6"/>
    <w:rsid w:val="007056B6"/>
    <w:rsid w:val="00725E1F"/>
    <w:rsid w:val="00726203"/>
    <w:rsid w:val="007400C6"/>
    <w:rsid w:val="007431C8"/>
    <w:rsid w:val="00755267"/>
    <w:rsid w:val="00757AA9"/>
    <w:rsid w:val="0076693E"/>
    <w:rsid w:val="00786D28"/>
    <w:rsid w:val="00791445"/>
    <w:rsid w:val="00791C9C"/>
    <w:rsid w:val="007A56CE"/>
    <w:rsid w:val="007B0C01"/>
    <w:rsid w:val="007B2D3C"/>
    <w:rsid w:val="007B6513"/>
    <w:rsid w:val="007C28C6"/>
    <w:rsid w:val="007C7A0C"/>
    <w:rsid w:val="007D187B"/>
    <w:rsid w:val="007D2399"/>
    <w:rsid w:val="007E538A"/>
    <w:rsid w:val="00805A08"/>
    <w:rsid w:val="00811B0B"/>
    <w:rsid w:val="0082275B"/>
    <w:rsid w:val="00827BB1"/>
    <w:rsid w:val="00861ACD"/>
    <w:rsid w:val="008628F8"/>
    <w:rsid w:val="00873F22"/>
    <w:rsid w:val="00876FB5"/>
    <w:rsid w:val="00877221"/>
    <w:rsid w:val="00884D62"/>
    <w:rsid w:val="00891560"/>
    <w:rsid w:val="00893D02"/>
    <w:rsid w:val="008A35FA"/>
    <w:rsid w:val="008B0732"/>
    <w:rsid w:val="008B4B59"/>
    <w:rsid w:val="008C0614"/>
    <w:rsid w:val="008C5647"/>
    <w:rsid w:val="008C7A37"/>
    <w:rsid w:val="008D2E26"/>
    <w:rsid w:val="008D3678"/>
    <w:rsid w:val="008D49C0"/>
    <w:rsid w:val="008D6BAD"/>
    <w:rsid w:val="008D7E7C"/>
    <w:rsid w:val="008E75B6"/>
    <w:rsid w:val="009020E9"/>
    <w:rsid w:val="0090453D"/>
    <w:rsid w:val="009213B4"/>
    <w:rsid w:val="00927E8E"/>
    <w:rsid w:val="00934C57"/>
    <w:rsid w:val="009405EE"/>
    <w:rsid w:val="00940CFC"/>
    <w:rsid w:val="00947263"/>
    <w:rsid w:val="009506F0"/>
    <w:rsid w:val="00956094"/>
    <w:rsid w:val="00967947"/>
    <w:rsid w:val="009702FC"/>
    <w:rsid w:val="00971C6B"/>
    <w:rsid w:val="009772C1"/>
    <w:rsid w:val="00990B93"/>
    <w:rsid w:val="00991FDE"/>
    <w:rsid w:val="009969E5"/>
    <w:rsid w:val="00997C16"/>
    <w:rsid w:val="009B486D"/>
    <w:rsid w:val="009B728D"/>
    <w:rsid w:val="009C51E9"/>
    <w:rsid w:val="009D50D6"/>
    <w:rsid w:val="009F2F3A"/>
    <w:rsid w:val="009F5590"/>
    <w:rsid w:val="009F717B"/>
    <w:rsid w:val="00A0223E"/>
    <w:rsid w:val="00A05D7C"/>
    <w:rsid w:val="00A07096"/>
    <w:rsid w:val="00A079E2"/>
    <w:rsid w:val="00A116F2"/>
    <w:rsid w:val="00A13F79"/>
    <w:rsid w:val="00A26952"/>
    <w:rsid w:val="00A33597"/>
    <w:rsid w:val="00A33B17"/>
    <w:rsid w:val="00A35167"/>
    <w:rsid w:val="00A7349A"/>
    <w:rsid w:val="00A7782A"/>
    <w:rsid w:val="00A8407C"/>
    <w:rsid w:val="00A84394"/>
    <w:rsid w:val="00A85828"/>
    <w:rsid w:val="00A86692"/>
    <w:rsid w:val="00A86A4F"/>
    <w:rsid w:val="00A90BE0"/>
    <w:rsid w:val="00A96975"/>
    <w:rsid w:val="00A97177"/>
    <w:rsid w:val="00AA249E"/>
    <w:rsid w:val="00AA4454"/>
    <w:rsid w:val="00AA707A"/>
    <w:rsid w:val="00AB2511"/>
    <w:rsid w:val="00AC6449"/>
    <w:rsid w:val="00AD5C25"/>
    <w:rsid w:val="00AE47F4"/>
    <w:rsid w:val="00AE62D4"/>
    <w:rsid w:val="00B16B7A"/>
    <w:rsid w:val="00B17283"/>
    <w:rsid w:val="00B2189F"/>
    <w:rsid w:val="00B24078"/>
    <w:rsid w:val="00B26745"/>
    <w:rsid w:val="00B302ED"/>
    <w:rsid w:val="00B7002F"/>
    <w:rsid w:val="00B737A0"/>
    <w:rsid w:val="00B85A28"/>
    <w:rsid w:val="00B92937"/>
    <w:rsid w:val="00BB14F6"/>
    <w:rsid w:val="00BB4E0F"/>
    <w:rsid w:val="00BB58DF"/>
    <w:rsid w:val="00BC15BA"/>
    <w:rsid w:val="00BC27E6"/>
    <w:rsid w:val="00BC51D9"/>
    <w:rsid w:val="00BD10D3"/>
    <w:rsid w:val="00BD695C"/>
    <w:rsid w:val="00BE7409"/>
    <w:rsid w:val="00C11A55"/>
    <w:rsid w:val="00C12B90"/>
    <w:rsid w:val="00C25C81"/>
    <w:rsid w:val="00C30F43"/>
    <w:rsid w:val="00C36922"/>
    <w:rsid w:val="00C37A03"/>
    <w:rsid w:val="00C419F9"/>
    <w:rsid w:val="00C433DD"/>
    <w:rsid w:val="00C536CC"/>
    <w:rsid w:val="00C55798"/>
    <w:rsid w:val="00C63049"/>
    <w:rsid w:val="00C6311E"/>
    <w:rsid w:val="00C656DC"/>
    <w:rsid w:val="00C977B7"/>
    <w:rsid w:val="00CA0752"/>
    <w:rsid w:val="00CA1964"/>
    <w:rsid w:val="00CA4E5A"/>
    <w:rsid w:val="00CA6D26"/>
    <w:rsid w:val="00CA6E36"/>
    <w:rsid w:val="00CB12C1"/>
    <w:rsid w:val="00CB7F8C"/>
    <w:rsid w:val="00CC1361"/>
    <w:rsid w:val="00CC6685"/>
    <w:rsid w:val="00CD5D70"/>
    <w:rsid w:val="00CE0D21"/>
    <w:rsid w:val="00CE3A1A"/>
    <w:rsid w:val="00CF4446"/>
    <w:rsid w:val="00D27FB7"/>
    <w:rsid w:val="00D35908"/>
    <w:rsid w:val="00D35DE3"/>
    <w:rsid w:val="00D409E9"/>
    <w:rsid w:val="00D70C20"/>
    <w:rsid w:val="00D724F4"/>
    <w:rsid w:val="00D734D9"/>
    <w:rsid w:val="00DA393C"/>
    <w:rsid w:val="00DB0A3F"/>
    <w:rsid w:val="00DB349A"/>
    <w:rsid w:val="00DC3433"/>
    <w:rsid w:val="00DC3A6A"/>
    <w:rsid w:val="00DE4F14"/>
    <w:rsid w:val="00DE56C0"/>
    <w:rsid w:val="00DF5B6C"/>
    <w:rsid w:val="00DF6822"/>
    <w:rsid w:val="00E029EF"/>
    <w:rsid w:val="00E02F0C"/>
    <w:rsid w:val="00E1408B"/>
    <w:rsid w:val="00E152F3"/>
    <w:rsid w:val="00E22565"/>
    <w:rsid w:val="00E25F3A"/>
    <w:rsid w:val="00E336C1"/>
    <w:rsid w:val="00E40318"/>
    <w:rsid w:val="00E40B16"/>
    <w:rsid w:val="00E464B2"/>
    <w:rsid w:val="00E51FE3"/>
    <w:rsid w:val="00E60128"/>
    <w:rsid w:val="00E601D1"/>
    <w:rsid w:val="00E60A0E"/>
    <w:rsid w:val="00E80F3A"/>
    <w:rsid w:val="00E81438"/>
    <w:rsid w:val="00E9040E"/>
    <w:rsid w:val="00E96CD9"/>
    <w:rsid w:val="00EA0616"/>
    <w:rsid w:val="00EA0BD3"/>
    <w:rsid w:val="00EA319F"/>
    <w:rsid w:val="00EA36A9"/>
    <w:rsid w:val="00EA6641"/>
    <w:rsid w:val="00EA7BE3"/>
    <w:rsid w:val="00EB1919"/>
    <w:rsid w:val="00EB1A19"/>
    <w:rsid w:val="00EB5511"/>
    <w:rsid w:val="00EC2541"/>
    <w:rsid w:val="00ED15DF"/>
    <w:rsid w:val="00ED4073"/>
    <w:rsid w:val="00ED5C10"/>
    <w:rsid w:val="00EF53AF"/>
    <w:rsid w:val="00F04B1F"/>
    <w:rsid w:val="00F04CF8"/>
    <w:rsid w:val="00F202EA"/>
    <w:rsid w:val="00F22A66"/>
    <w:rsid w:val="00F50C0B"/>
    <w:rsid w:val="00F51F44"/>
    <w:rsid w:val="00F65201"/>
    <w:rsid w:val="00F67502"/>
    <w:rsid w:val="00F70D7F"/>
    <w:rsid w:val="00F751F4"/>
    <w:rsid w:val="00F90F04"/>
    <w:rsid w:val="00F94B35"/>
    <w:rsid w:val="00FA0BF5"/>
    <w:rsid w:val="00FA2CB8"/>
    <w:rsid w:val="00FC2000"/>
    <w:rsid w:val="00FC4426"/>
    <w:rsid w:val="00FC5D78"/>
    <w:rsid w:val="00FD6B67"/>
    <w:rsid w:val="00FE56C0"/>
    <w:rsid w:val="00FF1F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12F39D22-DABA-4666-8C8D-CB7D68D7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35BAA-A519-40D0-8E9E-98E98D0D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10</Pages>
  <Words>2254</Words>
  <Characters>12401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liccolin</cp:lastModifiedBy>
  <cp:revision>3</cp:revision>
  <cp:lastPrinted>2023-02-27T19:03:00Z</cp:lastPrinted>
  <dcterms:created xsi:type="dcterms:W3CDTF">2022-09-19T02:17:00Z</dcterms:created>
  <dcterms:modified xsi:type="dcterms:W3CDTF">2023-02-27T19:03:00Z</dcterms:modified>
</cp:coreProperties>
</file>