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947" w:rsidRDefault="006E2533">
      <w:pPr>
        <w:spacing w:before="240" w:after="240" w:line="360" w:lineRule="auto"/>
        <w:ind w:right="139"/>
        <w:jc w:val="both"/>
        <w:rPr>
          <w:rFonts w:ascii="Palatino Linotype" w:eastAsia="Palatino Linotype" w:hAnsi="Palatino Linotype" w:cs="Palatino Linotype"/>
          <w:b/>
        </w:rPr>
      </w:pPr>
      <w:bookmarkStart w:id="0" w:name="_heading=h.30j0zll" w:colFirst="0" w:colLast="0"/>
      <w:bookmarkStart w:id="1" w:name="_GoBack"/>
      <w:bookmarkEnd w:id="0"/>
      <w:bookmarkEnd w:id="1"/>
      <w:r>
        <w:rPr>
          <w:rFonts w:ascii="Palatino Linotype" w:eastAsia="Palatino Linotype" w:hAnsi="Palatino Linotype" w:cs="Palatino Linotype"/>
          <w:b/>
        </w:rPr>
        <w:t>VOTO DISIDENTE QUE FORMULA LA COMISIONADA GUADALUPE RAMÍREZ PEÑA, EN RELACIÓN CON LA RESOLUCIÓN DICTADA POR EL PLENO DEL INSTITUTO DE TRANSPARENCIA, ACCESO A LA INFORMACIÓN PÚBLICA Y PROTECCIÓN DE DATOS PERSONALES DEL ESTADO DE MÉXICO Y MUNICIPIOS, EN LA DÉCIMA SEXTA SESIÓN</w:t>
      </w:r>
      <w:r>
        <w:rPr>
          <w:rFonts w:ascii="Palatino Linotype" w:eastAsia="Palatino Linotype" w:hAnsi="Palatino Linotype" w:cs="Palatino Linotype"/>
          <w:b/>
          <w:color w:val="FF0000"/>
        </w:rPr>
        <w:t xml:space="preserve"> </w:t>
      </w:r>
      <w:r>
        <w:rPr>
          <w:rFonts w:ascii="Palatino Linotype" w:eastAsia="Palatino Linotype" w:hAnsi="Palatino Linotype" w:cs="Palatino Linotype"/>
          <w:b/>
        </w:rPr>
        <w:t>ORDINARIA CELEBRADA EL CUATRO DE MAYO DE DOS MIL VEINTITRÉS, EN EL RECURSO DE REVISIÓN 01180/INFOEM/IP/RR/2023.</w:t>
      </w:r>
    </w:p>
    <w:p w:rsidR="00163947" w:rsidRDefault="006E2533">
      <w:pPr>
        <w:spacing w:before="240" w:after="240" w:line="360" w:lineRule="auto"/>
        <w:ind w:right="139"/>
        <w:jc w:val="both"/>
        <w:rPr>
          <w:rFonts w:ascii="Palatino Linotype" w:eastAsia="Palatino Linotype" w:hAnsi="Palatino Linotype" w:cs="Palatino Linotype"/>
          <w:b/>
        </w:rPr>
      </w:pPr>
      <w:r>
        <w:rPr>
          <w:rFonts w:ascii="Palatino Linotype" w:eastAsia="Palatino Linotype" w:hAnsi="Palatino Linotype" w:cs="Palatino Linotype"/>
        </w:rPr>
        <w:t xml:space="preserve">Con fundamento en lo dispuesto por el artículo 14, fracciones X y XI, del Reglamento del Instituto de Transparencia, Acceso a la Información Pública y Protección de Datos Personales del Estado de México y Municipios, la que suscribe, Guadalupe Ramírez Peña, emite </w:t>
      </w:r>
      <w:r>
        <w:rPr>
          <w:rFonts w:ascii="Palatino Linotype" w:eastAsia="Palatino Linotype" w:hAnsi="Palatino Linotype" w:cs="Palatino Linotype"/>
          <w:b/>
        </w:rPr>
        <w:t>VOTO DISIDENTE</w:t>
      </w:r>
      <w:r>
        <w:rPr>
          <w:rFonts w:ascii="Palatino Linotype" w:eastAsia="Palatino Linotype" w:hAnsi="Palatino Linotype" w:cs="Palatino Linotype"/>
        </w:rPr>
        <w:t xml:space="preserve"> respecto a la resolución dictada en el recurso de revisión número </w:t>
      </w:r>
      <w:r>
        <w:rPr>
          <w:rFonts w:ascii="Palatino Linotype" w:eastAsia="Palatino Linotype" w:hAnsi="Palatino Linotype" w:cs="Palatino Linotype"/>
          <w:b/>
        </w:rPr>
        <w:t>01180/INFOEM/IP/RR/2023</w:t>
      </w:r>
      <w:r>
        <w:rPr>
          <w:rFonts w:ascii="Palatino Linotype" w:eastAsia="Palatino Linotype" w:hAnsi="Palatino Linotype" w:cs="Palatino Linotype"/>
        </w:rPr>
        <w:t xml:space="preserve">, pronunciada por el Pleno de este Instituto, ante el proyecto presentado por el Comisionado José Martínez Vilchis, al tenor siguiente: </w:t>
      </w:r>
    </w:p>
    <w:p w:rsidR="00163947" w:rsidRDefault="006E2533">
      <w:pPr>
        <w:spacing w:before="240" w:after="24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b/>
        </w:rPr>
        <w:t>I. Antecedentes.</w:t>
      </w:r>
    </w:p>
    <w:p w:rsidR="00163947" w:rsidRDefault="006E2533">
      <w:pPr>
        <w:spacing w:before="240" w:after="24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 xml:space="preserve">Como quedó debidamente asentado en la resolución, materia del presente voto disidente, la persona solicitante requirió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conocer la siguiente información:</w:t>
      </w:r>
    </w:p>
    <w:p w:rsidR="00163947" w:rsidRDefault="006E2533">
      <w:pPr>
        <w:spacing w:after="0" w:line="240" w:lineRule="auto"/>
        <w:ind w:left="570" w:right="48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“…en versión publica los recibos de la segunda quincena de enero 2023 y primer quincena de febrero 2023 del Servidor Público NANCY IVETTE ESTRADA MARTINEZ, solicito nombre del área a la que pertenece, función que desempeña, categoría que tiene y fecha de ingreso al SAPASE, de NANCY IVETTE ESTRADA MARTINEZ. </w:t>
      </w:r>
      <w:proofErr w:type="gramStart"/>
      <w:r>
        <w:rPr>
          <w:rFonts w:ascii="Palatino Linotype" w:eastAsia="Palatino Linotype" w:hAnsi="Palatino Linotype" w:cs="Palatino Linotype"/>
          <w:i/>
          <w:sz w:val="20"/>
          <w:szCs w:val="20"/>
        </w:rPr>
        <w:t>esta</w:t>
      </w:r>
      <w:proofErr w:type="gramEnd"/>
      <w:r>
        <w:rPr>
          <w:rFonts w:ascii="Palatino Linotype" w:eastAsia="Palatino Linotype" w:hAnsi="Palatino Linotype" w:cs="Palatino Linotype"/>
          <w:i/>
          <w:sz w:val="20"/>
          <w:szCs w:val="20"/>
        </w:rPr>
        <w:t xml:space="preserve"> información ya fue solicitada al SAPASE, quiero se me informe si en el AYUNTAMIENTO tienen registro de este Servidor Público y que me informen si tienen conocimiento en el AYUNTAMIENTO de que este Servidor Público labora en el s SAPASE” (Sic).</w:t>
      </w:r>
    </w:p>
    <w:p w:rsidR="00163947" w:rsidRDefault="00163947">
      <w:pPr>
        <w:spacing w:after="0" w:line="240" w:lineRule="auto"/>
        <w:ind w:left="567" w:right="476"/>
        <w:jc w:val="both"/>
        <w:rPr>
          <w:rFonts w:ascii="Palatino Linotype" w:eastAsia="Palatino Linotype" w:hAnsi="Palatino Linotype" w:cs="Palatino Linotype"/>
          <w:i/>
          <w:sz w:val="20"/>
          <w:szCs w:val="20"/>
        </w:rPr>
      </w:pPr>
    </w:p>
    <w:p w:rsidR="00163947" w:rsidRDefault="006E2533">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a través de su Subdirección de Recursos Humanos, informó que después de realizar una búsqueda exhaustiva en el Sistema de nómina del Ayuntamiento, no se encontró registro alguno con el nombre de la persona referida en la solicitud de información.</w:t>
      </w:r>
    </w:p>
    <w:p w:rsidR="00163947" w:rsidRDefault="00163947">
      <w:pPr>
        <w:spacing w:after="0" w:line="360" w:lineRule="auto"/>
        <w:jc w:val="both"/>
        <w:rPr>
          <w:rFonts w:ascii="Palatino Linotype" w:eastAsia="Palatino Linotype" w:hAnsi="Palatino Linotype" w:cs="Palatino Linotype"/>
          <w:color w:val="000000"/>
        </w:rPr>
      </w:pPr>
    </w:p>
    <w:p w:rsidR="00163947" w:rsidRDefault="006E2533">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Adicionalmente, comunicó que la base de datos con la que cuenta la Subdirección, contiene información a part</w:t>
      </w:r>
      <w:r w:rsidR="00791976">
        <w:rPr>
          <w:rFonts w:ascii="Palatino Linotype" w:eastAsia="Palatino Linotype" w:hAnsi="Palatino Linotype" w:cs="Palatino Linotype"/>
          <w:color w:val="000000"/>
        </w:rPr>
        <w:t>ir del año dos mil a la fecha, sin</w:t>
      </w:r>
      <w:r w:rsidRPr="00791976">
        <w:rPr>
          <w:rFonts w:ascii="Palatino Linotype" w:eastAsia="Palatino Linotype" w:hAnsi="Palatino Linotype" w:cs="Palatino Linotype"/>
          <w:color w:val="000000"/>
        </w:rPr>
        <w:t xml:space="preserve"> qu</w:t>
      </w:r>
      <w:r>
        <w:rPr>
          <w:rFonts w:ascii="Palatino Linotype" w:eastAsia="Palatino Linotype" w:hAnsi="Palatino Linotype" w:cs="Palatino Linotype"/>
          <w:color w:val="000000"/>
        </w:rPr>
        <w:t>e dicha base contenga datos de servidores públicos que presten sus servicios en los Órganos Descentralizados DIF, SAPASE e IMCUFIDEEM, ya que estos cuentan con sus propias bases de datos.</w:t>
      </w:r>
    </w:p>
    <w:p w:rsidR="00163947" w:rsidRDefault="006E2533">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 </w:t>
      </w:r>
    </w:p>
    <w:p w:rsidR="00163947" w:rsidRDefault="006E2533">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Ante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 inconformó porque:</w:t>
      </w:r>
    </w:p>
    <w:p w:rsidR="00163947" w:rsidRDefault="00163947">
      <w:pPr>
        <w:spacing w:after="0" w:line="360" w:lineRule="auto"/>
        <w:ind w:right="49"/>
        <w:jc w:val="both"/>
        <w:rPr>
          <w:rFonts w:ascii="Palatino Linotype" w:eastAsia="Palatino Linotype" w:hAnsi="Palatino Linotype" w:cs="Palatino Linotype"/>
        </w:rPr>
      </w:pPr>
    </w:p>
    <w:p w:rsidR="00163947" w:rsidRDefault="006E2533">
      <w:pPr>
        <w:spacing w:after="0" w:line="240" w:lineRule="auto"/>
        <w:ind w:left="567" w:right="476"/>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“El H. Ayuntamiento me responde que no cuentan con la base de datos del S.A.P.A.S.E. y esa no fue la pregunta. </w:t>
      </w:r>
      <w:proofErr w:type="gramStart"/>
      <w:r>
        <w:rPr>
          <w:rFonts w:ascii="Palatino Linotype" w:eastAsia="Palatino Linotype" w:hAnsi="Palatino Linotype" w:cs="Palatino Linotype"/>
          <w:i/>
          <w:sz w:val="20"/>
          <w:szCs w:val="20"/>
        </w:rPr>
        <w:t>la</w:t>
      </w:r>
      <w:proofErr w:type="gramEnd"/>
      <w:r>
        <w:rPr>
          <w:rFonts w:ascii="Palatino Linotype" w:eastAsia="Palatino Linotype" w:hAnsi="Palatino Linotype" w:cs="Palatino Linotype"/>
          <w:i/>
          <w:sz w:val="20"/>
          <w:szCs w:val="20"/>
        </w:rPr>
        <w:t xml:space="preserve"> pregunta fue, el Ayuntamiento tiene conocimiento de que en S.A.P.A.S.E. </w:t>
      </w:r>
      <w:proofErr w:type="spellStart"/>
      <w:r>
        <w:rPr>
          <w:rFonts w:ascii="Palatino Linotype" w:eastAsia="Palatino Linotype" w:hAnsi="Palatino Linotype" w:cs="Palatino Linotype"/>
          <w:i/>
          <w:sz w:val="20"/>
          <w:szCs w:val="20"/>
        </w:rPr>
        <w:t>esta</w:t>
      </w:r>
      <w:proofErr w:type="spellEnd"/>
      <w:r>
        <w:rPr>
          <w:rFonts w:ascii="Palatino Linotype" w:eastAsia="Palatino Linotype" w:hAnsi="Palatino Linotype" w:cs="Palatino Linotype"/>
          <w:i/>
          <w:sz w:val="20"/>
          <w:szCs w:val="20"/>
        </w:rPr>
        <w:t xml:space="preserve"> laborando el servidor público NANCY IVETTE ESTRADA MARTINEZ.. </w:t>
      </w:r>
      <w:proofErr w:type="gramStart"/>
      <w:r>
        <w:rPr>
          <w:rFonts w:ascii="Palatino Linotype" w:eastAsia="Palatino Linotype" w:hAnsi="Palatino Linotype" w:cs="Palatino Linotype"/>
          <w:i/>
          <w:sz w:val="20"/>
          <w:szCs w:val="20"/>
        </w:rPr>
        <w:t>en</w:t>
      </w:r>
      <w:proofErr w:type="gramEnd"/>
      <w:r>
        <w:rPr>
          <w:rFonts w:ascii="Palatino Linotype" w:eastAsia="Palatino Linotype" w:hAnsi="Palatino Linotype" w:cs="Palatino Linotype"/>
          <w:i/>
          <w:sz w:val="20"/>
          <w:szCs w:val="20"/>
        </w:rPr>
        <w:t xml:space="preserve"> ningún momento solicite que buscaran en la base de datos de S.A.P.A.S.E” (Sic)</w:t>
      </w:r>
    </w:p>
    <w:p w:rsidR="00163947" w:rsidRDefault="006E2533">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rsidR="00163947" w:rsidRDefault="006E2533">
      <w:pPr>
        <w:pBdr>
          <w:top w:val="nil"/>
          <w:left w:val="nil"/>
          <w:bottom w:val="nil"/>
          <w:right w:val="nil"/>
          <w:between w:val="nil"/>
        </w:pBdr>
        <w:spacing w:before="80" w:after="24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Admitido el recurso de revisión, en términos del artículo 185 fracción II</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por lo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fue omiso en rendir su informe justificado.</w:t>
      </w:r>
    </w:p>
    <w:p w:rsidR="00163947" w:rsidRDefault="006E2533">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tal sentido, derivado del análisis efectuado, la ponencia consideró que los motivos de inconformidad aducidos por la persona solicitante resultaban infundados, y determinó </w:t>
      </w:r>
      <w:r>
        <w:rPr>
          <w:rFonts w:ascii="Palatino Linotype" w:eastAsia="Palatino Linotype" w:hAnsi="Palatino Linotype" w:cs="Palatino Linotype"/>
          <w:b/>
        </w:rPr>
        <w:t>MODIFCIAR</w:t>
      </w:r>
      <w:r>
        <w:rPr>
          <w:rFonts w:ascii="Palatino Linotype" w:eastAsia="Palatino Linotype" w:hAnsi="Palatino Linotype" w:cs="Palatino Linotype"/>
        </w:rPr>
        <w:t xml:space="preserve">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ordenar:</w:t>
      </w:r>
    </w:p>
    <w:p w:rsidR="00163947" w:rsidRDefault="006E2533">
      <w:pPr>
        <w:spacing w:after="0" w:line="240" w:lineRule="auto"/>
        <w:ind w:left="567" w:right="476"/>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“El Acuerdo que emita el Comité de Transparencia mediante el cual, confirme la Declaratoria de Incompetencia del Sujeto Obligado, respecto de la información solicitada con el número de Folio 00238/ECATEPEC/IP/2023.” (Sic)</w:t>
      </w:r>
    </w:p>
    <w:p w:rsidR="00163947" w:rsidRDefault="006E2533">
      <w:pPr>
        <w:spacing w:before="240" w:after="240" w:line="360" w:lineRule="auto"/>
        <w:ind w:right="139"/>
        <w:jc w:val="both"/>
        <w:rPr>
          <w:rFonts w:ascii="Palatino Linotype" w:eastAsia="Palatino Linotype" w:hAnsi="Palatino Linotype" w:cs="Palatino Linotype"/>
          <w:b/>
          <w:highlight w:val="red"/>
        </w:rPr>
      </w:pPr>
      <w:r>
        <w:rPr>
          <w:rFonts w:ascii="Palatino Linotype" w:eastAsia="Palatino Linotype" w:hAnsi="Palatino Linotype" w:cs="Palatino Linotype"/>
          <w:b/>
        </w:rPr>
        <w:t>II. Razones del Voto Disidente.</w:t>
      </w:r>
      <w:r>
        <w:rPr>
          <w:rFonts w:ascii="Palatino Linotype" w:eastAsia="Palatino Linotype" w:hAnsi="Palatino Linotype" w:cs="Palatino Linotype"/>
          <w:b/>
          <w:highlight w:val="red"/>
        </w:rPr>
        <w:t xml:space="preserve"> </w:t>
      </w:r>
    </w:p>
    <w:p w:rsidR="00163947" w:rsidRDefault="006E2533">
      <w:pPr>
        <w:spacing w:before="240" w:after="24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No se comparte el sentido de la resolución al ordenar el acuerdo de incompetencia, por los argumentos que se exponen a continuación:</w:t>
      </w:r>
    </w:p>
    <w:p w:rsidR="00791976" w:rsidRDefault="00791976">
      <w:pPr>
        <w:spacing w:before="240" w:after="24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 xml:space="preserve">En el presente asunto, se destaca que de la solicitud de información se requirió de la servidora pública descrita en la solicitud, los recibos de nómina de la segunda quincena de enero 2023 y primera quincena de febrero de 2023, nombre del área a la que pertenece, función que desempeña, categoría que tiene y fecha de ingreso al </w:t>
      </w:r>
      <w:r w:rsidRPr="00791976">
        <w:rPr>
          <w:rFonts w:ascii="Palatino Linotype" w:eastAsia="Palatino Linotype" w:hAnsi="Palatino Linotype" w:cs="Palatino Linotype"/>
        </w:rPr>
        <w:t>O.P.D. para la Prestación de los Servicios de Agua Potable, Alcantarillado y Saneamiento de Ecatepec (SAPASE)</w:t>
      </w:r>
      <w:r>
        <w:rPr>
          <w:rFonts w:ascii="Palatino Linotype" w:eastAsia="Palatino Linotype" w:hAnsi="Palatino Linotype" w:cs="Palatino Linotype"/>
        </w:rPr>
        <w:t>.</w:t>
      </w:r>
    </w:p>
    <w:p w:rsidR="00791976" w:rsidRDefault="00791976" w:rsidP="00791976">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respuesta el </w:t>
      </w:r>
      <w:r w:rsidRPr="00791976">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 su Subdirección</w:t>
      </w:r>
      <w:r>
        <w:rPr>
          <w:rFonts w:ascii="Palatino Linotype" w:eastAsia="Palatino Linotype" w:hAnsi="Palatino Linotype" w:cs="Palatino Linotype"/>
          <w:color w:val="000000"/>
        </w:rPr>
        <w:t xml:space="preserve"> de Recursos Humanos, informó que después de realizar una búsqueda exhaustiva en el Sistema de nómina del Ayuntamiento, no se encontró registro alguno con el nombre de la persona referida en la solicitud de información.</w:t>
      </w:r>
    </w:p>
    <w:p w:rsidR="00F95918" w:rsidRDefault="00F95918" w:rsidP="00791976">
      <w:pPr>
        <w:spacing w:after="0" w:line="360" w:lineRule="auto"/>
        <w:jc w:val="both"/>
        <w:rPr>
          <w:rFonts w:ascii="Palatino Linotype" w:eastAsia="Palatino Linotype" w:hAnsi="Palatino Linotype" w:cs="Palatino Linotype"/>
          <w:color w:val="000000"/>
        </w:rPr>
      </w:pPr>
    </w:p>
    <w:p w:rsidR="00791976" w:rsidRDefault="00791976" w:rsidP="00791976">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Adicionalmente, comunicó que la base de datos con la que cuenta la Subdirección, contiene información a partir del año dos mil a la fecha, sin</w:t>
      </w:r>
      <w:r w:rsidRPr="00791976">
        <w:rPr>
          <w:rFonts w:ascii="Palatino Linotype" w:eastAsia="Palatino Linotype" w:hAnsi="Palatino Linotype" w:cs="Palatino Linotype"/>
          <w:color w:val="000000"/>
        </w:rPr>
        <w:t xml:space="preserve"> qu</w:t>
      </w:r>
      <w:r>
        <w:rPr>
          <w:rFonts w:ascii="Palatino Linotype" w:eastAsia="Palatino Linotype" w:hAnsi="Palatino Linotype" w:cs="Palatino Linotype"/>
          <w:color w:val="000000"/>
        </w:rPr>
        <w:t xml:space="preserve">e dicha base contenga datos de </w:t>
      </w:r>
      <w:r>
        <w:rPr>
          <w:rFonts w:ascii="Palatino Linotype" w:eastAsia="Palatino Linotype" w:hAnsi="Palatino Linotype" w:cs="Palatino Linotype"/>
          <w:color w:val="000000"/>
        </w:rPr>
        <w:lastRenderedPageBreak/>
        <w:t>servidores públicos que presten sus servicios en los Órganos Descentralizados DIF, SAPASE e IMCUFIDEEM, ya que estos cuentan con sus propias bases de datos.</w:t>
      </w:r>
    </w:p>
    <w:p w:rsidR="00791976" w:rsidRDefault="00791976">
      <w:pPr>
        <w:spacing w:before="240" w:after="24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Sujeto Obligado turnó la solicitud al área competente para conocer de la información solicitada, en términos </w:t>
      </w:r>
      <w:r w:rsidR="00240495">
        <w:rPr>
          <w:rFonts w:ascii="Palatino Linotype" w:eastAsia="Palatino Linotype" w:hAnsi="Palatino Linotype" w:cs="Palatino Linotype"/>
        </w:rPr>
        <w:t>de lo señalado por el punto 1.1 del Reglamento de la Tesorería Municipal de Ecatepec de Morelos, que señala:</w:t>
      </w:r>
    </w:p>
    <w:p w:rsidR="00240495" w:rsidRDefault="00240495" w:rsidP="00240495">
      <w:pPr>
        <w:spacing w:after="0" w:line="240" w:lineRule="auto"/>
        <w:ind w:left="567" w:right="476"/>
        <w:jc w:val="both"/>
        <w:rPr>
          <w:rFonts w:ascii="Palatino Linotype" w:eastAsia="Palatino Linotype" w:hAnsi="Palatino Linotype" w:cs="Palatino Linotype"/>
          <w:i/>
          <w:sz w:val="20"/>
          <w:szCs w:val="20"/>
        </w:rPr>
      </w:pPr>
      <w:r w:rsidRPr="00240495">
        <w:rPr>
          <w:rFonts w:ascii="Palatino Linotype" w:eastAsia="Palatino Linotype" w:hAnsi="Palatino Linotype" w:cs="Palatino Linotype"/>
          <w:i/>
          <w:sz w:val="20"/>
          <w:szCs w:val="20"/>
        </w:rPr>
        <w:t xml:space="preserve">1.1. COORDINACIÓN ADMINISTRATIVA  OBJETIVO:  Ser el vínculo que permita planear, organizar, coordinar, tramitar y controlar las acciones en el suministro, administración y aplicación de los recursos, humanos, materiales y servicios generales o técnicos necesarios para el eficiente y eficaz funcionamiento de las unidades administrativas de la Tesorería Municipal, con base en la normatividad vigente.  </w:t>
      </w:r>
    </w:p>
    <w:p w:rsidR="00240495" w:rsidRDefault="00240495" w:rsidP="00240495">
      <w:pPr>
        <w:spacing w:after="0" w:line="240" w:lineRule="auto"/>
        <w:ind w:left="567" w:right="476"/>
        <w:jc w:val="both"/>
        <w:rPr>
          <w:rFonts w:ascii="Palatino Linotype" w:eastAsia="Palatino Linotype" w:hAnsi="Palatino Linotype" w:cs="Palatino Linotype"/>
          <w:i/>
          <w:sz w:val="20"/>
          <w:szCs w:val="20"/>
        </w:rPr>
      </w:pPr>
      <w:r w:rsidRPr="00240495">
        <w:rPr>
          <w:rFonts w:ascii="Palatino Linotype" w:eastAsia="Palatino Linotype" w:hAnsi="Palatino Linotype" w:cs="Palatino Linotype"/>
          <w:i/>
          <w:sz w:val="20"/>
          <w:szCs w:val="20"/>
        </w:rPr>
        <w:t>FUNCIONES:</w:t>
      </w:r>
    </w:p>
    <w:p w:rsidR="00240495" w:rsidRDefault="00240495" w:rsidP="00240495">
      <w:pPr>
        <w:spacing w:after="0" w:line="240" w:lineRule="auto"/>
        <w:ind w:left="567" w:right="476"/>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rsidR="00240495" w:rsidRDefault="00240495" w:rsidP="00240495">
      <w:pPr>
        <w:spacing w:after="0" w:line="240" w:lineRule="auto"/>
        <w:ind w:left="567" w:right="476"/>
        <w:jc w:val="both"/>
        <w:rPr>
          <w:rFonts w:ascii="Palatino Linotype" w:eastAsia="Palatino Linotype" w:hAnsi="Palatino Linotype" w:cs="Palatino Linotype"/>
          <w:i/>
          <w:sz w:val="20"/>
          <w:szCs w:val="20"/>
        </w:rPr>
      </w:pPr>
      <w:r w:rsidRPr="00240495">
        <w:rPr>
          <w:rFonts w:ascii="Palatino Linotype" w:eastAsia="Palatino Linotype" w:hAnsi="Palatino Linotype" w:cs="Palatino Linotype"/>
          <w:i/>
          <w:sz w:val="20"/>
          <w:szCs w:val="20"/>
        </w:rPr>
        <w:t>13. Gestionar ante la Subdirección de Recursos Humanos los trámites necesarios para el control de personal.</w:t>
      </w:r>
    </w:p>
    <w:p w:rsidR="00240495" w:rsidRDefault="00240495" w:rsidP="00240495">
      <w:pPr>
        <w:spacing w:after="0" w:line="240" w:lineRule="auto"/>
        <w:ind w:left="567" w:right="476"/>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rsidR="00240495" w:rsidRDefault="00240495" w:rsidP="00240495">
      <w:pPr>
        <w:spacing w:after="0" w:line="240" w:lineRule="auto"/>
        <w:ind w:left="567" w:right="476"/>
        <w:jc w:val="both"/>
        <w:rPr>
          <w:rFonts w:ascii="Palatino Linotype" w:eastAsia="Palatino Linotype" w:hAnsi="Palatino Linotype" w:cs="Palatino Linotype"/>
          <w:i/>
          <w:sz w:val="20"/>
          <w:szCs w:val="20"/>
        </w:rPr>
      </w:pPr>
      <w:r w:rsidRPr="00240495">
        <w:rPr>
          <w:rFonts w:ascii="Palatino Linotype" w:eastAsia="Palatino Linotype" w:hAnsi="Palatino Linotype" w:cs="Palatino Linotype"/>
          <w:i/>
          <w:sz w:val="20"/>
          <w:szCs w:val="20"/>
        </w:rPr>
        <w:t>15. Tramitar y verificar la contratación del personal requerido para las actividades de la Tesorería Municipal, en conjunto de la Subdirección de Recursos Humanos</w:t>
      </w:r>
      <w:r>
        <w:rPr>
          <w:rFonts w:ascii="Palatino Linotype" w:eastAsia="Palatino Linotype" w:hAnsi="Palatino Linotype" w:cs="Palatino Linotype"/>
          <w:i/>
          <w:sz w:val="20"/>
          <w:szCs w:val="20"/>
        </w:rPr>
        <w:t>…” (Sic)</w:t>
      </w:r>
    </w:p>
    <w:p w:rsidR="00240495" w:rsidRPr="00240495" w:rsidRDefault="00240495" w:rsidP="00240495">
      <w:pPr>
        <w:spacing w:after="0" w:line="240" w:lineRule="auto"/>
        <w:ind w:left="567" w:right="476"/>
        <w:jc w:val="both"/>
        <w:rPr>
          <w:rFonts w:ascii="Palatino Linotype" w:eastAsia="Palatino Linotype" w:hAnsi="Palatino Linotype" w:cs="Palatino Linotype"/>
          <w:i/>
          <w:sz w:val="20"/>
          <w:szCs w:val="20"/>
        </w:rPr>
      </w:pPr>
    </w:p>
    <w:p w:rsidR="00240495" w:rsidRDefault="00240495" w:rsidP="00F95918">
      <w:pPr>
        <w:spacing w:after="120" w:line="360" w:lineRule="auto"/>
        <w:jc w:val="both"/>
        <w:rPr>
          <w:rFonts w:ascii="Palatino Linotype" w:eastAsia="Palatino Linotype" w:hAnsi="Palatino Linotype" w:cs="Palatino Linotype"/>
        </w:rPr>
      </w:pPr>
      <w:r>
        <w:rPr>
          <w:rFonts w:ascii="Palatino Linotype" w:eastAsia="Palatino Linotype" w:hAnsi="Palatino Linotype" w:cs="Palatino Linotype"/>
        </w:rPr>
        <w:t>En donde se advierte que la Subdirección de Recursos Humanos del Sujeto Obligado, conocerá todo lo relacionado con el personal, siendo el área competente quien otorg</w:t>
      </w:r>
      <w:r w:rsidR="00F95918">
        <w:rPr>
          <w:rFonts w:ascii="Palatino Linotype" w:eastAsia="Palatino Linotype" w:hAnsi="Palatino Linotype" w:cs="Palatino Linotype"/>
        </w:rPr>
        <w:t>ó</w:t>
      </w:r>
      <w:r w:rsidR="007F0C0F">
        <w:rPr>
          <w:rFonts w:ascii="Palatino Linotype" w:eastAsia="Palatino Linotype" w:hAnsi="Palatino Linotype" w:cs="Palatino Linotype"/>
        </w:rPr>
        <w:t xml:space="preserve"> la respuesta, p</w:t>
      </w:r>
      <w:r>
        <w:rPr>
          <w:rFonts w:ascii="Palatino Linotype" w:eastAsia="Palatino Linotype" w:hAnsi="Palatino Linotype" w:cs="Palatino Linotype"/>
        </w:rPr>
        <w:t>or consiguiente, considero que se debió confirmar la respuesta del Sujeto Obligado.</w:t>
      </w:r>
    </w:p>
    <w:p w:rsidR="00240495" w:rsidRPr="00240495" w:rsidRDefault="00240495" w:rsidP="00240495">
      <w:pPr>
        <w:spacing w:before="240" w:after="24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Máxime, que resulta excesivo que se ordenara el acuerdo de declaratoria de inexistencia, por que el Sujeto O</w:t>
      </w:r>
      <w:r w:rsidRPr="00240495">
        <w:rPr>
          <w:rFonts w:ascii="Palatino Linotype" w:eastAsia="Palatino Linotype" w:hAnsi="Palatino Linotype" w:cs="Palatino Linotype"/>
        </w:rPr>
        <w:t>bligado no está obligad</w:t>
      </w:r>
      <w:r>
        <w:rPr>
          <w:rFonts w:ascii="Palatino Linotype" w:eastAsia="Palatino Linotype" w:hAnsi="Palatino Linotype" w:cs="Palatino Linotype"/>
        </w:rPr>
        <w:t>o</w:t>
      </w:r>
      <w:r w:rsidRPr="00240495">
        <w:rPr>
          <w:rFonts w:ascii="Palatino Linotype" w:eastAsia="Palatino Linotype" w:hAnsi="Palatino Linotype" w:cs="Palatino Linotype"/>
        </w:rPr>
        <w:t xml:space="preserve"> en su caso a conocer en que dependencias pu</w:t>
      </w:r>
      <w:r>
        <w:rPr>
          <w:rFonts w:ascii="Palatino Linotype" w:eastAsia="Palatino Linotype" w:hAnsi="Palatino Linotype" w:cs="Palatino Linotype"/>
        </w:rPr>
        <w:t>e</w:t>
      </w:r>
      <w:r w:rsidR="007F0C0F">
        <w:rPr>
          <w:rFonts w:ascii="Palatino Linotype" w:eastAsia="Palatino Linotype" w:hAnsi="Palatino Linotype" w:cs="Palatino Linotype"/>
        </w:rPr>
        <w:t xml:space="preserve">de laborar un servidor público, siendo que además </w:t>
      </w:r>
      <w:r w:rsidRPr="00240495">
        <w:rPr>
          <w:rFonts w:ascii="Palatino Linotype" w:eastAsia="Palatino Linotype" w:hAnsi="Palatino Linotype" w:cs="Palatino Linotype"/>
        </w:rPr>
        <w:t xml:space="preserve">en el caso particular resultaba notoria la incompetencia </w:t>
      </w:r>
      <w:r w:rsidR="007F0C0F">
        <w:rPr>
          <w:rFonts w:ascii="Palatino Linotype" w:eastAsia="Palatino Linotype" w:hAnsi="Palatino Linotype" w:cs="Palatino Linotype"/>
        </w:rPr>
        <w:t>pues el</w:t>
      </w:r>
      <w:r w:rsidRPr="00240495">
        <w:rPr>
          <w:rFonts w:ascii="Palatino Linotype" w:eastAsia="Palatino Linotype" w:hAnsi="Palatino Linotype" w:cs="Palatino Linotype"/>
        </w:rPr>
        <w:t xml:space="preserve"> propio particular señala que</w:t>
      </w:r>
      <w:r w:rsidR="007F0C0F">
        <w:rPr>
          <w:rFonts w:ascii="Palatino Linotype" w:eastAsia="Palatino Linotype" w:hAnsi="Palatino Linotype" w:cs="Palatino Linotype"/>
        </w:rPr>
        <w:t xml:space="preserve"> la persona de la que solicita información</w:t>
      </w:r>
      <w:r w:rsidRPr="00240495">
        <w:rPr>
          <w:rFonts w:ascii="Palatino Linotype" w:eastAsia="Palatino Linotype" w:hAnsi="Palatino Linotype" w:cs="Palatino Linotype"/>
        </w:rPr>
        <w:t xml:space="preserve"> labora en el ODAPAS. </w:t>
      </w:r>
    </w:p>
    <w:p w:rsidR="00163947" w:rsidRDefault="006E2533">
      <w:pPr>
        <w:spacing w:before="240" w:after="24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Respecto a la Declaración de Incompetencia la Ley de Transparencia y Acceso a la Información Pública del Estado de México, establece, en los artículos 49, fracción II y 167, lo siguiente: </w:t>
      </w:r>
    </w:p>
    <w:p w:rsidR="00163947" w:rsidRDefault="006E2533">
      <w:pPr>
        <w:tabs>
          <w:tab w:val="left" w:pos="851"/>
        </w:tabs>
        <w:spacing w:before="120" w:after="120" w:line="240" w:lineRule="auto"/>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r>
        <w:rPr>
          <w:rFonts w:ascii="Palatino Linotype" w:eastAsia="Palatino Linotype" w:hAnsi="Palatino Linotype" w:cs="Palatino Linotype"/>
          <w:b/>
          <w:i/>
          <w:sz w:val="20"/>
          <w:szCs w:val="20"/>
        </w:rPr>
        <w:t>Artículo 49.</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b/>
          <w:i/>
          <w:sz w:val="20"/>
          <w:szCs w:val="20"/>
        </w:rPr>
        <w:t>Los Comités de Transparencia</w:t>
      </w:r>
      <w:r>
        <w:rPr>
          <w:rFonts w:ascii="Palatino Linotype" w:eastAsia="Palatino Linotype" w:hAnsi="Palatino Linotype" w:cs="Palatino Linotype"/>
          <w:i/>
          <w:sz w:val="20"/>
          <w:szCs w:val="20"/>
        </w:rPr>
        <w:t xml:space="preserve"> tendrán las siguientes atribuciones:</w:t>
      </w:r>
    </w:p>
    <w:p w:rsidR="00163947" w:rsidRDefault="006E2533">
      <w:pPr>
        <w:tabs>
          <w:tab w:val="left" w:pos="851"/>
        </w:tabs>
        <w:spacing w:before="120" w:after="120" w:line="240" w:lineRule="auto"/>
        <w:ind w:left="851" w:right="902"/>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w:t>
      </w:r>
    </w:p>
    <w:p w:rsidR="00163947" w:rsidRDefault="006E2533">
      <w:pPr>
        <w:tabs>
          <w:tab w:val="left" w:pos="851"/>
        </w:tabs>
        <w:spacing w:before="120" w:after="120" w:line="240" w:lineRule="auto"/>
        <w:ind w:left="851" w:right="902"/>
        <w:jc w:val="both"/>
        <w:rPr>
          <w:rFonts w:ascii="Palatino Linotype" w:eastAsia="Palatino Linotype" w:hAnsi="Palatino Linotype" w:cs="Palatino Linotype"/>
          <w:b/>
          <w:i/>
          <w:sz w:val="20"/>
          <w:szCs w:val="20"/>
          <w:u w:val="single"/>
        </w:rPr>
      </w:pPr>
      <w:r>
        <w:rPr>
          <w:rFonts w:ascii="Palatino Linotype" w:eastAsia="Palatino Linotype" w:hAnsi="Palatino Linotype" w:cs="Palatino Linotype"/>
          <w:b/>
          <w:i/>
          <w:sz w:val="20"/>
          <w:szCs w:val="20"/>
        </w:rPr>
        <w:t>II.</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i/>
          <w:sz w:val="20"/>
          <w:szCs w:val="20"/>
        </w:rPr>
        <w:t>Confirmar, modificar o revocar</w:t>
      </w:r>
      <w:r>
        <w:rPr>
          <w:rFonts w:ascii="Palatino Linotype" w:eastAsia="Palatino Linotype" w:hAnsi="Palatino Linotype" w:cs="Palatino Linotype"/>
          <w:i/>
          <w:sz w:val="20"/>
          <w:szCs w:val="20"/>
        </w:rPr>
        <w:t xml:space="preserve"> las determinaciones que en materia de ampliación del plazo de respuesta, clasificación de la información </w:t>
      </w:r>
      <w:r>
        <w:rPr>
          <w:rFonts w:ascii="Palatino Linotype" w:eastAsia="Palatino Linotype" w:hAnsi="Palatino Linotype" w:cs="Palatino Linotype"/>
          <w:b/>
          <w:i/>
          <w:sz w:val="20"/>
          <w:szCs w:val="20"/>
        </w:rPr>
        <w:t>y declaración</w:t>
      </w:r>
      <w:r>
        <w:rPr>
          <w:rFonts w:ascii="Palatino Linotype" w:eastAsia="Palatino Linotype" w:hAnsi="Palatino Linotype" w:cs="Palatino Linotype"/>
          <w:i/>
          <w:sz w:val="20"/>
          <w:szCs w:val="20"/>
        </w:rPr>
        <w:t xml:space="preserve"> de inexistencia o </w:t>
      </w:r>
      <w:r>
        <w:rPr>
          <w:rFonts w:ascii="Palatino Linotype" w:eastAsia="Palatino Linotype" w:hAnsi="Palatino Linotype" w:cs="Palatino Linotype"/>
          <w:b/>
          <w:i/>
          <w:sz w:val="20"/>
          <w:szCs w:val="20"/>
        </w:rPr>
        <w:t>de incompetencia realicen los titulares de las áreas de los sujetos obligados;</w:t>
      </w:r>
    </w:p>
    <w:p w:rsidR="00163947" w:rsidRDefault="006E2533">
      <w:pPr>
        <w:tabs>
          <w:tab w:val="left" w:pos="851"/>
        </w:tabs>
        <w:spacing w:before="120" w:after="120" w:line="240" w:lineRule="auto"/>
        <w:ind w:left="851" w:right="902"/>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w:t>
      </w:r>
    </w:p>
    <w:p w:rsidR="00163947" w:rsidRDefault="006E2533">
      <w:pPr>
        <w:tabs>
          <w:tab w:val="left" w:pos="851"/>
        </w:tabs>
        <w:spacing w:before="120" w:after="120" w:line="240" w:lineRule="auto"/>
        <w:ind w:left="851" w:right="902"/>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Artículo 167</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b/>
          <w:i/>
          <w:sz w:val="20"/>
          <w:szCs w:val="20"/>
        </w:rPr>
        <w:t>Cuando las unidades de transparencia determinen la notoria incompetencia</w:t>
      </w:r>
      <w:r>
        <w:rPr>
          <w:rFonts w:ascii="Palatino Linotype" w:eastAsia="Palatino Linotype" w:hAnsi="Palatino Linotype" w:cs="Palatino Linotype"/>
          <w:i/>
          <w:sz w:val="20"/>
          <w:szCs w:val="20"/>
        </w:rPr>
        <w:t xml:space="preserve"> por parte de los sujetos obligados, dentro del ámbito de aplicación, para atender la solicitud de acceso a la información, </w:t>
      </w:r>
      <w:r>
        <w:rPr>
          <w:rFonts w:ascii="Palatino Linotype" w:eastAsia="Palatino Linotype" w:hAnsi="Palatino Linotype" w:cs="Palatino Linotype"/>
          <w:b/>
          <w:i/>
          <w:sz w:val="20"/>
          <w:szCs w:val="20"/>
        </w:rPr>
        <w:t>deberán comunicarlo al solicitante, dentro de los tres días hábiles posteriores a la recepción de la solicitud</w:t>
      </w:r>
      <w:r>
        <w:rPr>
          <w:rFonts w:ascii="Palatino Linotype" w:eastAsia="Palatino Linotype" w:hAnsi="Palatino Linotype" w:cs="Palatino Linotype"/>
          <w:i/>
          <w:sz w:val="20"/>
          <w:szCs w:val="20"/>
        </w:rPr>
        <w:t xml:space="preserve"> y, </w:t>
      </w:r>
      <w:r>
        <w:rPr>
          <w:rFonts w:ascii="Palatino Linotype" w:eastAsia="Palatino Linotype" w:hAnsi="Palatino Linotype" w:cs="Palatino Linotype"/>
          <w:b/>
          <w:i/>
          <w:sz w:val="20"/>
          <w:szCs w:val="20"/>
        </w:rPr>
        <w:t>en su caso orientar al solicitante, el o los sujetos obligados competentes.” (Sic)</w:t>
      </w:r>
    </w:p>
    <w:p w:rsidR="00163947" w:rsidRDefault="00163947">
      <w:pPr>
        <w:spacing w:before="120" w:after="120" w:line="240" w:lineRule="auto"/>
        <w:ind w:left="851" w:right="902"/>
        <w:jc w:val="both"/>
        <w:rPr>
          <w:rFonts w:ascii="Palatino Linotype" w:eastAsia="Palatino Linotype" w:hAnsi="Palatino Linotype" w:cs="Palatino Linotype"/>
        </w:rPr>
      </w:pPr>
    </w:p>
    <w:p w:rsidR="00163947" w:rsidRDefault="006E2533">
      <w:pPr>
        <w:tabs>
          <w:tab w:val="left" w:pos="142"/>
          <w:tab w:val="left" w:pos="284"/>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De los preceptos citados se desprende que es atribución del Comité de Transparencia confirmar, modificar o revocar, en su caso, la declaración de incompetencia,</w:t>
      </w:r>
      <w:r>
        <w:rPr>
          <w:rFonts w:ascii="Palatino Linotype" w:eastAsia="Palatino Linotype" w:hAnsi="Palatino Linotype" w:cs="Palatino Linotype"/>
          <w:b/>
        </w:rPr>
        <w:t xml:space="preserve"> en aquellos casos en los que no se trate de una notoria incompetencia. </w:t>
      </w:r>
    </w:p>
    <w:p w:rsidR="00163947" w:rsidRDefault="006E2533">
      <w:pPr>
        <w:tabs>
          <w:tab w:val="left" w:pos="142"/>
          <w:tab w:val="left" w:pos="284"/>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Puesto que la Ley también prevé que dicho acuerdo no es necesario cuando la Unidad de Transparencia determine que la incompetencia es notoria dando un plazo de tres días hábiles para hacerlo del conocimiento del particular, por lo que si bien, en el caso particular, no fue respetado dicho plazo, ello no cambia la circunstancia de que la incompetencia de sujeto obligado para dar atención a la solicitud de información siga siendo notoria. </w:t>
      </w:r>
    </w:p>
    <w:p w:rsidR="00163947" w:rsidRDefault="006E2533">
      <w:pPr>
        <w:tabs>
          <w:tab w:val="left" w:pos="142"/>
          <w:tab w:val="left" w:pos="284"/>
        </w:tabs>
        <w:spacing w:line="360" w:lineRule="auto"/>
        <w:jc w:val="both"/>
        <w:rPr>
          <w:rFonts w:ascii="Palatino Linotype" w:eastAsia="Palatino Linotype" w:hAnsi="Palatino Linotype" w:cs="Palatino Linotype"/>
          <w:u w:val="single"/>
        </w:rPr>
      </w:pPr>
      <w:r>
        <w:rPr>
          <w:rFonts w:ascii="Palatino Linotype" w:eastAsia="Palatino Linotype" w:hAnsi="Palatino Linotype" w:cs="Palatino Linotype"/>
        </w:rPr>
        <w:t xml:space="preserve">En otras palabras, la Ley de la Materia confiere a las Unidades de Transparencia la posibilidad de notificar la incompetencia cuando esta sea notoria, siendo innecesario que </w:t>
      </w:r>
      <w:r>
        <w:rPr>
          <w:rFonts w:ascii="Palatino Linotype" w:eastAsia="Palatino Linotype" w:hAnsi="Palatino Linotype" w:cs="Palatino Linotype"/>
        </w:rPr>
        <w:lastRenderedPageBreak/>
        <w:t xml:space="preserve">dicha circunstancia sea sometida a consideración de los integrantes del Comité de Transparencia </w:t>
      </w:r>
      <w:r>
        <w:rPr>
          <w:rFonts w:ascii="Palatino Linotype" w:eastAsia="Palatino Linotype" w:hAnsi="Palatino Linotype" w:cs="Palatino Linotype"/>
          <w:u w:val="single"/>
        </w:rPr>
        <w:t xml:space="preserve">para su aprobación. </w:t>
      </w:r>
    </w:p>
    <w:p w:rsidR="00163947" w:rsidRDefault="006E2533">
      <w:pPr>
        <w:spacing w:before="240" w:after="360" w:line="360" w:lineRule="auto"/>
        <w:ind w:right="18"/>
        <w:jc w:val="both"/>
        <w:rPr>
          <w:rFonts w:ascii="Palatino Linotype" w:eastAsia="Palatino Linotype" w:hAnsi="Palatino Linotype" w:cs="Palatino Linotype"/>
        </w:rPr>
      </w:pPr>
      <w:r>
        <w:rPr>
          <w:rFonts w:ascii="Palatino Linotype" w:eastAsia="Palatino Linotype" w:hAnsi="Palatino Linotype" w:cs="Palatino Linotype"/>
        </w:rPr>
        <w:t xml:space="preserve">Como sustento de lo anterior, resulta aplicable el Criterio 20/20, emitido por el Instituto Nacional de Transparencia, Acceso a la Información, y Protección de Datos Personales, INAI, que lleva por rubro y texto los siguientes:  </w:t>
      </w:r>
    </w:p>
    <w:p w:rsidR="00163947" w:rsidRDefault="006E2533">
      <w:pPr>
        <w:pBdr>
          <w:top w:val="nil"/>
          <w:left w:val="nil"/>
          <w:bottom w:val="nil"/>
          <w:right w:val="nil"/>
          <w:between w:val="nil"/>
        </w:pBdr>
        <w:spacing w:before="240" w:after="240" w:line="240" w:lineRule="auto"/>
        <w:ind w:left="851" w:right="900"/>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i/>
          <w:color w:val="000000"/>
          <w:sz w:val="20"/>
          <w:szCs w:val="20"/>
        </w:rPr>
        <w:t>“Declaración de incompetencia por parte del Comité, cuando no sea notoria o manifiesta.</w:t>
      </w:r>
      <w:r>
        <w:rPr>
          <w:rFonts w:ascii="Palatino Linotype" w:eastAsia="Palatino Linotype" w:hAnsi="Palatino Linotype" w:cs="Palatino Linotype"/>
          <w:i/>
          <w:color w:val="000000"/>
          <w:sz w:val="20"/>
          <w:szCs w:val="20"/>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Transparencia.”(Sic)</w:t>
      </w:r>
    </w:p>
    <w:p w:rsidR="00163947" w:rsidRDefault="006E2533">
      <w:pPr>
        <w:tabs>
          <w:tab w:val="left" w:pos="142"/>
          <w:tab w:val="left" w:pos="284"/>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manera, el Pleno de este Instituto, a través del Criterio 02/04 emitido en la Segunda Época, precisa los alcances del artículo 167 de la Ley de Transparencia, al señalar que corresponde al Comité de Transparencia confirmar la declaratoria de incompetencia y notificarle dicha determinación al particular, refiriéndose a aquellos casos en los que exista</w:t>
      </w:r>
      <w:r>
        <w:rPr>
          <w:rFonts w:ascii="Palatino Linotype" w:eastAsia="Palatino Linotype" w:hAnsi="Palatino Linotype" w:cs="Palatino Linotype"/>
          <w:b/>
        </w:rPr>
        <w:t xml:space="preserve"> </w:t>
      </w:r>
      <w:r>
        <w:rPr>
          <w:rFonts w:ascii="Palatino Linotype" w:eastAsia="Palatino Linotype" w:hAnsi="Palatino Linotype" w:cs="Palatino Linotype"/>
          <w:b/>
          <w:u w:val="single"/>
        </w:rPr>
        <w:t>duda razonable sobre la administración del documento materia de la solicitud de información</w:t>
      </w:r>
      <w:r>
        <w:rPr>
          <w:rFonts w:ascii="Palatino Linotype" w:eastAsia="Palatino Linotype" w:hAnsi="Palatino Linotype" w:cs="Palatino Linotype"/>
        </w:rPr>
        <w:t>, como se lee enseguida:</w:t>
      </w:r>
    </w:p>
    <w:p w:rsidR="00163947" w:rsidRDefault="006E2533">
      <w:pPr>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“DECLARATORIA DE INCOMPETENCIA DEL SUJETO OBLIGADO. SUPUESTO PARA CONFIRMARLA POR ACUERDO DEL COMITÉ DE TRANSPARENCIA. </w:t>
      </w:r>
      <w:r>
        <w:rPr>
          <w:rFonts w:ascii="Palatino Linotype" w:eastAsia="Palatino Linotype" w:hAnsi="Palatino Linotype" w:cs="Palatino Linotype"/>
          <w:i/>
          <w:sz w:val="20"/>
          <w:szCs w:val="20"/>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w:t>
      </w:r>
      <w:r>
        <w:rPr>
          <w:rFonts w:ascii="Palatino Linotype" w:eastAsia="Palatino Linotype" w:hAnsi="Palatino Linotype" w:cs="Palatino Linotype"/>
          <w:b/>
          <w:i/>
          <w:sz w:val="20"/>
          <w:szCs w:val="20"/>
        </w:rPr>
        <w:t xml:space="preserve">al ejercer el derecho de acceso a la información pública cabe la posibilidad de que existan atribuciones concurrentes entre dos o más Sujetos Obligados que </w:t>
      </w:r>
      <w:r>
        <w:rPr>
          <w:rFonts w:ascii="Palatino Linotype" w:eastAsia="Palatino Linotype" w:hAnsi="Palatino Linotype" w:cs="Palatino Linotype"/>
          <w:b/>
          <w:i/>
          <w:sz w:val="20"/>
          <w:szCs w:val="20"/>
          <w:u w:val="single"/>
        </w:rPr>
        <w:t>impiden determinar dentro del término legal de tres días hábiles</w:t>
      </w:r>
      <w:r>
        <w:rPr>
          <w:rFonts w:ascii="Palatino Linotype" w:eastAsia="Palatino Linotype" w:hAnsi="Palatino Linotype" w:cs="Palatino Linotype"/>
          <w:b/>
          <w:i/>
          <w:sz w:val="20"/>
          <w:szCs w:val="20"/>
        </w:rPr>
        <w:t xml:space="preserve">, si se posee o no la </w:t>
      </w:r>
      <w:r>
        <w:rPr>
          <w:rFonts w:ascii="Palatino Linotype" w:eastAsia="Palatino Linotype" w:hAnsi="Palatino Linotype" w:cs="Palatino Linotype"/>
          <w:b/>
          <w:i/>
          <w:sz w:val="20"/>
          <w:szCs w:val="20"/>
        </w:rPr>
        <w:lastRenderedPageBreak/>
        <w:t>información por el Sujeto Obligado requerid</w:t>
      </w:r>
      <w:r>
        <w:rPr>
          <w:rFonts w:ascii="Palatino Linotype" w:eastAsia="Palatino Linotype" w:hAnsi="Palatino Linotype" w:cs="Palatino Linotype"/>
          <w:i/>
          <w:sz w:val="20"/>
          <w:szCs w:val="20"/>
        </w:rPr>
        <w:t>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solicitud.”(Sic)</w:t>
      </w:r>
    </w:p>
    <w:p w:rsidR="00163947" w:rsidRDefault="006E2533">
      <w:pPr>
        <w:tabs>
          <w:tab w:val="left" w:pos="142"/>
          <w:tab w:val="left" w:pos="284"/>
        </w:tabs>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el caso particular en la resolución de mérito se señaló de manera textual lo siguiente:</w:t>
      </w:r>
    </w:p>
    <w:p w:rsidR="00163947" w:rsidRPr="00142958" w:rsidRDefault="006E2533" w:rsidP="00142958">
      <w:pPr>
        <w:spacing w:line="240" w:lineRule="auto"/>
        <w:ind w:left="851" w:right="900"/>
        <w:jc w:val="both"/>
        <w:rPr>
          <w:rFonts w:ascii="Palatino Linotype" w:eastAsia="Palatino Linotype" w:hAnsi="Palatino Linotype" w:cs="Palatino Linotype"/>
          <w:i/>
          <w:sz w:val="20"/>
          <w:szCs w:val="20"/>
        </w:rPr>
      </w:pPr>
      <w:r w:rsidRPr="00142958">
        <w:rPr>
          <w:rFonts w:ascii="Palatino Linotype" w:eastAsia="Palatino Linotype" w:hAnsi="Palatino Linotype" w:cs="Palatino Linotype"/>
          <w:color w:val="000000"/>
          <w:sz w:val="20"/>
          <w:szCs w:val="20"/>
        </w:rPr>
        <w:t>“</w:t>
      </w:r>
      <w:r w:rsidRPr="00142958">
        <w:rPr>
          <w:rFonts w:ascii="Palatino Linotype" w:eastAsia="Palatino Linotype" w:hAnsi="Palatino Linotype" w:cs="Palatino Linotype"/>
          <w:i/>
          <w:sz w:val="20"/>
          <w:szCs w:val="20"/>
        </w:rPr>
        <w:t xml:space="preserve">No obstante, </w:t>
      </w:r>
      <w:r w:rsidRPr="00142958">
        <w:rPr>
          <w:rFonts w:ascii="Palatino Linotype" w:eastAsia="Palatino Linotype" w:hAnsi="Palatino Linotype" w:cs="Palatino Linotype"/>
          <w:b/>
          <w:i/>
          <w:sz w:val="20"/>
          <w:szCs w:val="20"/>
        </w:rPr>
        <w:t>para efectos de la materia de transparencia y acceso a la información pública</w:t>
      </w:r>
      <w:r w:rsidRPr="00142958">
        <w:rPr>
          <w:rFonts w:ascii="Palatino Linotype" w:eastAsia="Palatino Linotype" w:hAnsi="Palatino Linotype" w:cs="Palatino Linotype"/>
          <w:i/>
          <w:sz w:val="20"/>
          <w:szCs w:val="20"/>
        </w:rPr>
        <w:t xml:space="preserve">, no debe dejar de observarse que, en fecha 14 de octubre de 2020, se publicó en el Periódico Oficial “Gaceta del Gobierno”, el Acuerdo mediante el cual el Pleno del Instituto de Transparencia, Acceso a la Información Pública y Protección de Datos Personales del Estado de México y Municipios, aprueba el </w:t>
      </w:r>
      <w:r w:rsidRPr="00142958">
        <w:rPr>
          <w:rFonts w:ascii="Palatino Linotype" w:eastAsia="Palatino Linotype" w:hAnsi="Palatino Linotype" w:cs="Palatino Linotype"/>
          <w:b/>
          <w:i/>
          <w:sz w:val="20"/>
          <w:szCs w:val="20"/>
        </w:rPr>
        <w:t>Padrón de Sujetos Obligados en Materia de Transparencia y Acceso a la Información Pública del Estado de México y Municipios</w:t>
      </w:r>
      <w:r w:rsidRPr="00142958">
        <w:rPr>
          <w:rFonts w:ascii="Palatino Linotype" w:eastAsia="Palatino Linotype" w:hAnsi="Palatino Linotype" w:cs="Palatino Linotype"/>
          <w:i/>
          <w:sz w:val="20"/>
          <w:szCs w:val="20"/>
        </w:rPr>
        <w:t>, el cual entró en vigor al día siguiente de su publicación; esto es, el 15 de octubre de 2020.</w:t>
      </w:r>
      <w:r w:rsidRPr="00142958">
        <w:rPr>
          <w:rFonts w:ascii="Palatino Linotype" w:eastAsia="Palatino Linotype" w:hAnsi="Palatino Linotype" w:cs="Palatino Linotype"/>
          <w:i/>
          <w:sz w:val="20"/>
          <w:szCs w:val="20"/>
          <w:vertAlign w:val="superscript"/>
        </w:rPr>
        <w:footnoteReference w:id="2"/>
      </w:r>
    </w:p>
    <w:p w:rsidR="00163947" w:rsidRPr="00142958" w:rsidRDefault="006E2533" w:rsidP="00142958">
      <w:pPr>
        <w:spacing w:line="240" w:lineRule="auto"/>
        <w:ind w:left="851" w:right="900"/>
        <w:jc w:val="both"/>
        <w:rPr>
          <w:rFonts w:ascii="Palatino Linotype" w:eastAsia="Palatino Linotype" w:hAnsi="Palatino Linotype" w:cs="Palatino Linotype"/>
          <w:i/>
          <w:sz w:val="20"/>
          <w:szCs w:val="20"/>
        </w:rPr>
      </w:pPr>
      <w:r w:rsidRPr="00142958">
        <w:rPr>
          <w:rFonts w:ascii="Palatino Linotype" w:eastAsia="Palatino Linotype" w:hAnsi="Palatino Linotype" w:cs="Palatino Linotype"/>
          <w:i/>
          <w:sz w:val="20"/>
          <w:szCs w:val="20"/>
        </w:rPr>
        <w:t xml:space="preserve">Dicho Padrón permite identificar plenamente a los Sujetos Obligados que deben cumplir con las obligaciones, procesos, procedimientos, y responsabilidades establecidas tanto en la Ley General de Transparencia como en la Ley de Transparencia y Acceso a la Información Pública de nuestra entidad y por este Organismo Garante, en los términos que las mismas determinen. </w:t>
      </w:r>
    </w:p>
    <w:p w:rsidR="00163947" w:rsidRPr="00142958" w:rsidRDefault="006E2533" w:rsidP="00142958">
      <w:pPr>
        <w:spacing w:line="240" w:lineRule="auto"/>
        <w:ind w:left="851" w:right="900"/>
        <w:jc w:val="both"/>
        <w:rPr>
          <w:rFonts w:ascii="Palatino Linotype" w:eastAsia="Palatino Linotype" w:hAnsi="Palatino Linotype" w:cs="Palatino Linotype"/>
          <w:i/>
          <w:sz w:val="20"/>
          <w:szCs w:val="20"/>
        </w:rPr>
      </w:pPr>
      <w:r w:rsidRPr="00142958">
        <w:rPr>
          <w:rFonts w:ascii="Palatino Linotype" w:eastAsia="Palatino Linotype" w:hAnsi="Palatino Linotype" w:cs="Palatino Linotype"/>
          <w:i/>
          <w:sz w:val="20"/>
          <w:szCs w:val="20"/>
        </w:rPr>
        <w:t xml:space="preserve">Así, de dicho ordenamiento normativo, se advierte como </w:t>
      </w:r>
      <w:r w:rsidRPr="00142958">
        <w:rPr>
          <w:rFonts w:ascii="Palatino Linotype" w:eastAsia="Palatino Linotype" w:hAnsi="Palatino Linotype" w:cs="Palatino Linotype"/>
          <w:b/>
          <w:i/>
          <w:sz w:val="20"/>
          <w:szCs w:val="20"/>
        </w:rPr>
        <w:t xml:space="preserve">Sujetos Obligados </w:t>
      </w:r>
      <w:r w:rsidRPr="00142958">
        <w:rPr>
          <w:rFonts w:ascii="Palatino Linotype" w:eastAsia="Palatino Linotype" w:hAnsi="Palatino Linotype" w:cs="Palatino Linotype"/>
          <w:i/>
          <w:sz w:val="20"/>
          <w:szCs w:val="20"/>
        </w:rPr>
        <w:t xml:space="preserve">distintos al </w:t>
      </w:r>
      <w:r w:rsidRPr="00142958">
        <w:rPr>
          <w:rFonts w:ascii="Palatino Linotype" w:eastAsia="Palatino Linotype" w:hAnsi="Palatino Linotype" w:cs="Palatino Linotype"/>
          <w:b/>
          <w:i/>
          <w:sz w:val="20"/>
          <w:szCs w:val="20"/>
        </w:rPr>
        <w:t>Ayuntamiento de Ecatepec de Morelos</w:t>
      </w:r>
      <w:r w:rsidRPr="00142958">
        <w:rPr>
          <w:rFonts w:ascii="Palatino Linotype" w:eastAsia="Palatino Linotype" w:hAnsi="Palatino Linotype" w:cs="Palatino Linotype"/>
          <w:i/>
          <w:sz w:val="20"/>
          <w:szCs w:val="20"/>
        </w:rPr>
        <w:t xml:space="preserve">, como parte de la Administración Pública Municipal y a la </w:t>
      </w:r>
      <w:r w:rsidRPr="00142958">
        <w:rPr>
          <w:rFonts w:ascii="Palatino Linotype" w:eastAsia="Palatino Linotype" w:hAnsi="Palatino Linotype" w:cs="Palatino Linotype"/>
          <w:b/>
          <w:i/>
          <w:sz w:val="20"/>
          <w:szCs w:val="20"/>
        </w:rPr>
        <w:t xml:space="preserve">O.P.D. para la Prestación de los Servicios de Agua Potable, </w:t>
      </w:r>
      <w:r w:rsidRPr="00142958">
        <w:rPr>
          <w:rFonts w:ascii="Palatino Linotype" w:eastAsia="Palatino Linotype" w:hAnsi="Palatino Linotype" w:cs="Palatino Linotype"/>
          <w:b/>
          <w:i/>
          <w:sz w:val="20"/>
          <w:szCs w:val="20"/>
        </w:rPr>
        <w:lastRenderedPageBreak/>
        <w:t>Alcantarillado y Saneamiento de Ecatepec (SAPASE)</w:t>
      </w:r>
      <w:r w:rsidRPr="00142958">
        <w:rPr>
          <w:rFonts w:ascii="Palatino Linotype" w:eastAsia="Palatino Linotype" w:hAnsi="Palatino Linotype" w:cs="Palatino Linotype"/>
          <w:i/>
          <w:sz w:val="20"/>
          <w:szCs w:val="20"/>
        </w:rPr>
        <w:t>, como parte de la Administración Pública Centralizada, sin que las modificaciones al Padrón publicadas en la Gaceta del Gobierno, en fechas 27 de noviembre de 2017, 23 de enero de 2019, 07 de agosto de 2019 y 14 de octubre de 2020, modificaran dicha situación, como se muestra a continuación:</w:t>
      </w:r>
    </w:p>
    <w:p w:rsidR="00163947" w:rsidRPr="00142958" w:rsidRDefault="006E2533" w:rsidP="00142958">
      <w:pPr>
        <w:spacing w:line="240" w:lineRule="auto"/>
        <w:ind w:left="851" w:right="900"/>
        <w:jc w:val="both"/>
        <w:rPr>
          <w:rFonts w:ascii="Palatino Linotype" w:eastAsia="Palatino Linotype" w:hAnsi="Palatino Linotype" w:cs="Palatino Linotype"/>
          <w:i/>
          <w:sz w:val="20"/>
          <w:szCs w:val="20"/>
        </w:rPr>
      </w:pPr>
      <w:r w:rsidRPr="00142958">
        <w:rPr>
          <w:rFonts w:ascii="Palatino Linotype" w:hAnsi="Palatino Linotype"/>
          <w:i/>
          <w:noProof/>
          <w:sz w:val="20"/>
          <w:szCs w:val="20"/>
        </w:rPr>
        <w:drawing>
          <wp:inline distT="0" distB="0" distL="0" distR="0">
            <wp:extent cx="4815444" cy="281305"/>
            <wp:effectExtent l="76200" t="76200" r="80645" b="80645"/>
            <wp:docPr id="3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4822621" cy="281724"/>
                    </a:xfrm>
                    <a:prstGeom prst="rect">
                      <a:avLst/>
                    </a:prstGeom>
                    <a:ln w="76200">
                      <a:solidFill>
                        <a:srgbClr val="7F7F7F"/>
                      </a:solidFill>
                      <a:prstDash val="solid"/>
                    </a:ln>
                  </pic:spPr>
                </pic:pic>
              </a:graphicData>
            </a:graphic>
          </wp:inline>
        </w:drawing>
      </w:r>
    </w:p>
    <w:p w:rsidR="00163947" w:rsidRPr="00142958" w:rsidRDefault="006E2533" w:rsidP="00142958">
      <w:pPr>
        <w:spacing w:line="240" w:lineRule="auto"/>
        <w:ind w:left="851" w:right="900"/>
        <w:jc w:val="center"/>
        <w:rPr>
          <w:rFonts w:ascii="Palatino Linotype" w:hAnsi="Palatino Linotype"/>
          <w:i/>
          <w:sz w:val="20"/>
          <w:szCs w:val="20"/>
        </w:rPr>
      </w:pPr>
      <w:r w:rsidRPr="00142958">
        <w:rPr>
          <w:rFonts w:ascii="Palatino Linotype" w:hAnsi="Palatino Linotype"/>
          <w:i/>
          <w:sz w:val="20"/>
          <w:szCs w:val="20"/>
        </w:rPr>
        <w:t>[…]</w:t>
      </w:r>
    </w:p>
    <w:p w:rsidR="00163947" w:rsidRPr="00142958" w:rsidRDefault="006E2533" w:rsidP="00142958">
      <w:pPr>
        <w:spacing w:line="240" w:lineRule="auto"/>
        <w:ind w:left="851" w:right="900"/>
        <w:jc w:val="center"/>
        <w:rPr>
          <w:rFonts w:ascii="Palatino Linotype" w:hAnsi="Palatino Linotype"/>
          <w:i/>
          <w:sz w:val="20"/>
          <w:szCs w:val="20"/>
        </w:rPr>
      </w:pPr>
      <w:r w:rsidRPr="00142958">
        <w:rPr>
          <w:rFonts w:ascii="Palatino Linotype" w:hAnsi="Palatino Linotype"/>
          <w:i/>
          <w:noProof/>
          <w:sz w:val="20"/>
          <w:szCs w:val="20"/>
        </w:rPr>
        <w:drawing>
          <wp:inline distT="0" distB="0" distL="0" distR="0">
            <wp:extent cx="4803568" cy="243840"/>
            <wp:effectExtent l="76200" t="76200" r="73660" b="80010"/>
            <wp:docPr id="3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4813389" cy="244339"/>
                    </a:xfrm>
                    <a:prstGeom prst="rect">
                      <a:avLst/>
                    </a:prstGeom>
                    <a:ln w="76200">
                      <a:solidFill>
                        <a:srgbClr val="292929"/>
                      </a:solidFill>
                      <a:prstDash val="solid"/>
                    </a:ln>
                  </pic:spPr>
                </pic:pic>
              </a:graphicData>
            </a:graphic>
          </wp:inline>
        </w:drawing>
      </w:r>
    </w:p>
    <w:p w:rsidR="00163947" w:rsidRPr="00142958" w:rsidRDefault="006E2533" w:rsidP="00142958">
      <w:pPr>
        <w:spacing w:line="240" w:lineRule="auto"/>
        <w:ind w:left="851" w:right="900"/>
        <w:jc w:val="center"/>
        <w:rPr>
          <w:rFonts w:ascii="Palatino Linotype" w:hAnsi="Palatino Linotype"/>
          <w:i/>
          <w:sz w:val="20"/>
          <w:szCs w:val="20"/>
        </w:rPr>
      </w:pPr>
      <w:r w:rsidRPr="00142958">
        <w:rPr>
          <w:rFonts w:ascii="Palatino Linotype" w:hAnsi="Palatino Linotype"/>
          <w:i/>
          <w:sz w:val="20"/>
          <w:szCs w:val="20"/>
        </w:rPr>
        <w:t>[…]</w:t>
      </w:r>
    </w:p>
    <w:p w:rsidR="00163947" w:rsidRPr="00142958" w:rsidRDefault="006E2533" w:rsidP="00142958">
      <w:pPr>
        <w:spacing w:line="240" w:lineRule="auto"/>
        <w:ind w:left="851" w:right="900"/>
        <w:jc w:val="center"/>
        <w:rPr>
          <w:rFonts w:ascii="Palatino Linotype" w:hAnsi="Palatino Linotype"/>
          <w:i/>
          <w:sz w:val="20"/>
          <w:szCs w:val="20"/>
        </w:rPr>
      </w:pPr>
      <w:r w:rsidRPr="00142958">
        <w:rPr>
          <w:rFonts w:ascii="Palatino Linotype" w:hAnsi="Palatino Linotype"/>
          <w:i/>
          <w:noProof/>
          <w:sz w:val="20"/>
          <w:szCs w:val="20"/>
        </w:rPr>
        <w:drawing>
          <wp:inline distT="0" distB="0" distL="0" distR="0">
            <wp:extent cx="4738254" cy="254613"/>
            <wp:effectExtent l="76200" t="76200" r="62865" b="69850"/>
            <wp:docPr id="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838727" cy="260012"/>
                    </a:xfrm>
                    <a:prstGeom prst="rect">
                      <a:avLst/>
                    </a:prstGeom>
                    <a:ln w="76200">
                      <a:solidFill>
                        <a:srgbClr val="7F7F7F"/>
                      </a:solidFill>
                      <a:prstDash val="solid"/>
                    </a:ln>
                  </pic:spPr>
                </pic:pic>
              </a:graphicData>
            </a:graphic>
          </wp:inline>
        </w:drawing>
      </w:r>
    </w:p>
    <w:p w:rsidR="00163947" w:rsidRPr="00142958" w:rsidRDefault="006E2533" w:rsidP="00142958">
      <w:pPr>
        <w:spacing w:line="240" w:lineRule="auto"/>
        <w:ind w:left="851" w:right="900"/>
        <w:jc w:val="center"/>
        <w:rPr>
          <w:rFonts w:ascii="Palatino Linotype" w:hAnsi="Palatino Linotype"/>
          <w:i/>
          <w:sz w:val="20"/>
          <w:szCs w:val="20"/>
        </w:rPr>
      </w:pPr>
      <w:r w:rsidRPr="00142958">
        <w:rPr>
          <w:rFonts w:ascii="Palatino Linotype" w:hAnsi="Palatino Linotype"/>
          <w:i/>
          <w:sz w:val="20"/>
          <w:szCs w:val="20"/>
        </w:rPr>
        <w:t>[…]</w:t>
      </w:r>
    </w:p>
    <w:p w:rsidR="00163947" w:rsidRPr="00142958" w:rsidRDefault="006E2533" w:rsidP="00142958">
      <w:pPr>
        <w:spacing w:line="240" w:lineRule="auto"/>
        <w:ind w:left="851" w:right="900"/>
        <w:jc w:val="both"/>
        <w:rPr>
          <w:rFonts w:ascii="Palatino Linotype" w:eastAsia="Palatino Linotype" w:hAnsi="Palatino Linotype" w:cs="Palatino Linotype"/>
          <w:i/>
          <w:sz w:val="20"/>
          <w:szCs w:val="20"/>
        </w:rPr>
      </w:pPr>
      <w:r w:rsidRPr="00142958">
        <w:rPr>
          <w:rFonts w:ascii="Palatino Linotype" w:eastAsia="Palatino Linotype" w:hAnsi="Palatino Linotype" w:cs="Palatino Linotype"/>
          <w:i/>
          <w:noProof/>
          <w:sz w:val="20"/>
          <w:szCs w:val="20"/>
        </w:rPr>
        <w:drawing>
          <wp:inline distT="0" distB="0" distL="0" distR="0">
            <wp:extent cx="4749800" cy="230481"/>
            <wp:effectExtent l="76200" t="76200" r="69850" b="74930"/>
            <wp:docPr id="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4944652" cy="239936"/>
                    </a:xfrm>
                    <a:prstGeom prst="rect">
                      <a:avLst/>
                    </a:prstGeom>
                    <a:ln w="76200">
                      <a:solidFill>
                        <a:srgbClr val="292929"/>
                      </a:solidFill>
                      <a:prstDash val="solid"/>
                    </a:ln>
                  </pic:spPr>
                </pic:pic>
              </a:graphicData>
            </a:graphic>
          </wp:inline>
        </w:drawing>
      </w:r>
    </w:p>
    <w:p w:rsidR="00163947" w:rsidRPr="00142958" w:rsidRDefault="006E2533" w:rsidP="00142958">
      <w:pPr>
        <w:spacing w:line="240" w:lineRule="auto"/>
        <w:ind w:left="851" w:right="900"/>
        <w:jc w:val="center"/>
        <w:rPr>
          <w:rFonts w:ascii="Palatino Linotype" w:hAnsi="Palatino Linotype"/>
          <w:i/>
          <w:sz w:val="20"/>
          <w:szCs w:val="20"/>
        </w:rPr>
      </w:pPr>
      <w:r w:rsidRPr="00142958">
        <w:rPr>
          <w:rFonts w:ascii="Palatino Linotype" w:hAnsi="Palatino Linotype"/>
          <w:i/>
          <w:sz w:val="20"/>
          <w:szCs w:val="20"/>
        </w:rPr>
        <w:t>[…]</w:t>
      </w:r>
    </w:p>
    <w:p w:rsidR="00163947" w:rsidRPr="00142958" w:rsidRDefault="006E2533" w:rsidP="00142958">
      <w:pPr>
        <w:spacing w:line="240" w:lineRule="auto"/>
        <w:ind w:left="851" w:right="900"/>
        <w:jc w:val="both"/>
        <w:rPr>
          <w:rFonts w:ascii="Palatino Linotype" w:eastAsia="Palatino Linotype" w:hAnsi="Palatino Linotype" w:cs="Palatino Linotype"/>
          <w:i/>
          <w:sz w:val="20"/>
          <w:szCs w:val="20"/>
        </w:rPr>
      </w:pPr>
      <w:r w:rsidRPr="00142958">
        <w:rPr>
          <w:rFonts w:ascii="Palatino Linotype" w:eastAsia="Palatino Linotype" w:hAnsi="Palatino Linotype" w:cs="Palatino Linotype"/>
          <w:i/>
          <w:noProof/>
          <w:sz w:val="20"/>
          <w:szCs w:val="20"/>
        </w:rPr>
        <w:drawing>
          <wp:inline distT="0" distB="0" distL="0" distR="0">
            <wp:extent cx="4750129" cy="246380"/>
            <wp:effectExtent l="76200" t="76200" r="69850" b="77470"/>
            <wp:docPr id="3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4771019" cy="247464"/>
                    </a:xfrm>
                    <a:prstGeom prst="rect">
                      <a:avLst/>
                    </a:prstGeom>
                    <a:ln w="76200">
                      <a:solidFill>
                        <a:srgbClr val="A5A5A5"/>
                      </a:solidFill>
                      <a:prstDash val="solid"/>
                    </a:ln>
                  </pic:spPr>
                </pic:pic>
              </a:graphicData>
            </a:graphic>
          </wp:inline>
        </w:drawing>
      </w:r>
    </w:p>
    <w:p w:rsidR="00163947" w:rsidRPr="00142958" w:rsidRDefault="006E2533" w:rsidP="00142958">
      <w:pPr>
        <w:spacing w:line="240" w:lineRule="auto"/>
        <w:ind w:left="851" w:right="900"/>
        <w:jc w:val="both"/>
        <w:rPr>
          <w:rFonts w:ascii="Palatino Linotype" w:eastAsia="Palatino Linotype" w:hAnsi="Palatino Linotype" w:cs="Palatino Linotype"/>
          <w:i/>
          <w:sz w:val="20"/>
          <w:szCs w:val="20"/>
        </w:rPr>
      </w:pPr>
      <w:r w:rsidRPr="00142958">
        <w:rPr>
          <w:rFonts w:ascii="Palatino Linotype" w:eastAsia="Palatino Linotype" w:hAnsi="Palatino Linotype" w:cs="Palatino Linotype"/>
          <w:i/>
          <w:sz w:val="20"/>
          <w:szCs w:val="20"/>
        </w:rPr>
        <w:t xml:space="preserve">En virtud de lo anterior, se advierte que la respuesta otorgada por el </w:t>
      </w:r>
      <w:r w:rsidRPr="00142958">
        <w:rPr>
          <w:rFonts w:ascii="Palatino Linotype" w:eastAsia="Palatino Linotype" w:hAnsi="Palatino Linotype" w:cs="Palatino Linotype"/>
          <w:b/>
          <w:i/>
          <w:sz w:val="20"/>
          <w:szCs w:val="20"/>
        </w:rPr>
        <w:t>Sujeto Obligado</w:t>
      </w:r>
      <w:r w:rsidRPr="00142958">
        <w:rPr>
          <w:rFonts w:ascii="Palatino Linotype" w:eastAsia="Palatino Linotype" w:hAnsi="Palatino Linotype" w:cs="Palatino Linotype"/>
          <w:i/>
          <w:sz w:val="20"/>
          <w:szCs w:val="20"/>
        </w:rPr>
        <w:t xml:space="preserve"> no se encuentra debidamente fundada y motivada, pues la información requerida, forma parte de la documentación que debe generar, poseer y administrar la </w:t>
      </w:r>
      <w:r w:rsidRPr="00142958">
        <w:rPr>
          <w:rFonts w:ascii="Palatino Linotype" w:eastAsia="Palatino Linotype" w:hAnsi="Palatino Linotype" w:cs="Palatino Linotype"/>
          <w:b/>
          <w:i/>
          <w:sz w:val="20"/>
          <w:szCs w:val="20"/>
        </w:rPr>
        <w:t>O.P.D. para la Prestación de los Servicios de Agua Potable, Alcantarillado y Saneamiento de Ecatepec (SAPASE)</w:t>
      </w:r>
      <w:r w:rsidRPr="00142958">
        <w:rPr>
          <w:rFonts w:ascii="Palatino Linotype" w:eastAsia="Palatino Linotype" w:hAnsi="Palatino Linotype" w:cs="Palatino Linotype"/>
          <w:i/>
          <w:sz w:val="20"/>
          <w:szCs w:val="20"/>
        </w:rPr>
        <w:t xml:space="preserve">, como </w:t>
      </w:r>
      <w:r w:rsidRPr="00142958">
        <w:rPr>
          <w:rFonts w:ascii="Palatino Linotype" w:eastAsia="Palatino Linotype" w:hAnsi="Palatino Linotype" w:cs="Palatino Linotype"/>
          <w:b/>
          <w:i/>
          <w:sz w:val="20"/>
          <w:szCs w:val="20"/>
        </w:rPr>
        <w:t xml:space="preserve">Sujeto Obligado </w:t>
      </w:r>
      <w:r w:rsidRPr="00142958">
        <w:rPr>
          <w:rFonts w:ascii="Palatino Linotype" w:eastAsia="Palatino Linotype" w:hAnsi="Palatino Linotype" w:cs="Palatino Linotype"/>
          <w:i/>
          <w:sz w:val="20"/>
          <w:szCs w:val="20"/>
        </w:rPr>
        <w:t xml:space="preserve">diverso. </w:t>
      </w:r>
    </w:p>
    <w:p w:rsidR="00163947" w:rsidRPr="00142958" w:rsidRDefault="006E2533" w:rsidP="00142958">
      <w:pPr>
        <w:spacing w:line="240" w:lineRule="auto"/>
        <w:ind w:left="851" w:right="900"/>
        <w:jc w:val="both"/>
        <w:rPr>
          <w:rFonts w:ascii="Palatino Linotype" w:eastAsia="Palatino Linotype" w:hAnsi="Palatino Linotype" w:cs="Palatino Linotype"/>
          <w:i/>
          <w:color w:val="000000"/>
          <w:sz w:val="20"/>
          <w:szCs w:val="20"/>
        </w:rPr>
      </w:pPr>
      <w:r w:rsidRPr="00142958">
        <w:rPr>
          <w:rFonts w:ascii="Palatino Linotype" w:eastAsia="Palatino Linotype" w:hAnsi="Palatino Linotype" w:cs="Palatino Linotype"/>
          <w:i/>
          <w:sz w:val="20"/>
          <w:szCs w:val="20"/>
        </w:rPr>
        <w:t xml:space="preserve">Por lo tanto, </w:t>
      </w:r>
      <w:r w:rsidRPr="00142958">
        <w:rPr>
          <w:rFonts w:ascii="Palatino Linotype" w:eastAsia="Palatino Linotype" w:hAnsi="Palatino Linotype" w:cs="Palatino Linotype"/>
          <w:i/>
          <w:color w:val="000000"/>
          <w:sz w:val="20"/>
          <w:szCs w:val="20"/>
        </w:rPr>
        <w:t xml:space="preserve">se dejan a salvo los derechos del </w:t>
      </w:r>
      <w:r w:rsidRPr="00142958">
        <w:rPr>
          <w:rFonts w:ascii="Palatino Linotype" w:eastAsia="Palatino Linotype" w:hAnsi="Palatino Linotype" w:cs="Palatino Linotype"/>
          <w:b/>
          <w:i/>
          <w:color w:val="000000"/>
          <w:sz w:val="20"/>
          <w:szCs w:val="20"/>
        </w:rPr>
        <w:t>Recurrente</w:t>
      </w:r>
      <w:r w:rsidRPr="00142958">
        <w:rPr>
          <w:rFonts w:ascii="Palatino Linotype" w:eastAsia="Palatino Linotype" w:hAnsi="Palatino Linotype" w:cs="Palatino Linotype"/>
          <w:i/>
          <w:color w:val="000000"/>
          <w:sz w:val="20"/>
          <w:szCs w:val="20"/>
        </w:rPr>
        <w:t xml:space="preserve">, a efecto de que formulen las solicitudes que considere pertinentes, ante el </w:t>
      </w:r>
      <w:r w:rsidRPr="00142958">
        <w:rPr>
          <w:rFonts w:ascii="Palatino Linotype" w:eastAsia="Palatino Linotype" w:hAnsi="Palatino Linotype" w:cs="Palatino Linotype"/>
          <w:b/>
          <w:i/>
          <w:color w:val="000000"/>
          <w:sz w:val="20"/>
          <w:szCs w:val="20"/>
        </w:rPr>
        <w:t>Sujeto Obligado</w:t>
      </w:r>
      <w:r w:rsidRPr="00142958">
        <w:rPr>
          <w:rFonts w:ascii="Palatino Linotype" w:eastAsia="Palatino Linotype" w:hAnsi="Palatino Linotype" w:cs="Palatino Linotype"/>
          <w:i/>
          <w:color w:val="000000"/>
          <w:sz w:val="20"/>
          <w:szCs w:val="20"/>
        </w:rPr>
        <w:t xml:space="preserve"> competente.</w:t>
      </w:r>
    </w:p>
    <w:p w:rsidR="00163947" w:rsidRPr="00142958" w:rsidRDefault="006E2533" w:rsidP="00142958">
      <w:pPr>
        <w:spacing w:line="240" w:lineRule="auto"/>
        <w:ind w:left="851" w:right="900"/>
        <w:jc w:val="both"/>
        <w:rPr>
          <w:rFonts w:ascii="Palatino Linotype" w:eastAsia="Palatino Linotype" w:hAnsi="Palatino Linotype" w:cs="Palatino Linotype"/>
          <w:i/>
          <w:sz w:val="20"/>
          <w:szCs w:val="20"/>
        </w:rPr>
      </w:pPr>
      <w:r w:rsidRPr="00142958">
        <w:rPr>
          <w:rFonts w:ascii="Palatino Linotype" w:eastAsia="Palatino Linotype" w:hAnsi="Palatino Linotype" w:cs="Palatino Linotype"/>
          <w:i/>
          <w:sz w:val="20"/>
          <w:szCs w:val="20"/>
        </w:rPr>
        <w:t>Dicho de otra forma, el</w:t>
      </w:r>
      <w:r w:rsidRPr="00142958">
        <w:rPr>
          <w:rFonts w:ascii="Palatino Linotype" w:eastAsia="Palatino Linotype" w:hAnsi="Palatino Linotype" w:cs="Palatino Linotype"/>
          <w:b/>
          <w:i/>
          <w:sz w:val="20"/>
          <w:szCs w:val="20"/>
        </w:rPr>
        <w:t xml:space="preserve"> Sujeto Obligado</w:t>
      </w:r>
      <w:r w:rsidRPr="00142958">
        <w:rPr>
          <w:rFonts w:ascii="Palatino Linotype" w:eastAsia="Palatino Linotype" w:hAnsi="Palatino Linotype" w:cs="Palatino Linotype"/>
          <w:i/>
          <w:sz w:val="20"/>
          <w:szCs w:val="20"/>
        </w:rPr>
        <w:t xml:space="preserve"> no se ajustó al contenido del diverso 167, de la Ley de Transparencia y Acceso a la Información Pública del Estado de México y Municipios, el cual establece que cuando las unidades de transparencia determinen la notoria incompetencia por parte delos sujetos obligados, dentro del ámbito de aplicación, </w:t>
      </w:r>
      <w:r w:rsidRPr="00142958">
        <w:rPr>
          <w:rFonts w:ascii="Palatino Linotype" w:eastAsia="Palatino Linotype" w:hAnsi="Palatino Linotype" w:cs="Palatino Linotype"/>
          <w:i/>
          <w:sz w:val="20"/>
          <w:szCs w:val="20"/>
        </w:rPr>
        <w:lastRenderedPageBreak/>
        <w:t xml:space="preserve">para atender la solicitud de acceso a la información, </w:t>
      </w:r>
      <w:r w:rsidRPr="00142958">
        <w:rPr>
          <w:rFonts w:ascii="Palatino Linotype" w:eastAsia="Palatino Linotype" w:hAnsi="Palatino Linotype" w:cs="Palatino Linotype"/>
          <w:b/>
          <w:i/>
          <w:sz w:val="20"/>
          <w:szCs w:val="20"/>
          <w:u w:val="single"/>
        </w:rPr>
        <w:t>deberán comunicarlo al solicitante, dentro de los tres días hábiles posteriores a la recepción de la solicitud y, en su caso orientar al solicitante, el o los sujetos obligados competentes</w:t>
      </w:r>
      <w:r w:rsidRPr="00142958">
        <w:rPr>
          <w:rFonts w:ascii="Palatino Linotype" w:eastAsia="Palatino Linotype" w:hAnsi="Palatino Linotype" w:cs="Palatino Linotype"/>
          <w:i/>
          <w:sz w:val="20"/>
          <w:szCs w:val="20"/>
        </w:rPr>
        <w:t xml:space="preserve">. </w:t>
      </w:r>
    </w:p>
    <w:p w:rsidR="00163947" w:rsidRPr="00142958" w:rsidRDefault="006E2533" w:rsidP="00142958">
      <w:pPr>
        <w:spacing w:line="240" w:lineRule="auto"/>
        <w:ind w:left="851" w:right="900"/>
        <w:jc w:val="both"/>
        <w:rPr>
          <w:rFonts w:ascii="Palatino Linotype" w:eastAsia="Palatino Linotype" w:hAnsi="Palatino Linotype" w:cs="Palatino Linotype"/>
          <w:i/>
          <w:sz w:val="20"/>
          <w:szCs w:val="20"/>
        </w:rPr>
      </w:pPr>
      <w:r w:rsidRPr="00142958">
        <w:rPr>
          <w:rFonts w:ascii="Palatino Linotype" w:eastAsia="Palatino Linotype" w:hAnsi="Palatino Linotype" w:cs="Palatino Linotype"/>
          <w:i/>
          <w:sz w:val="20"/>
          <w:szCs w:val="20"/>
        </w:rPr>
        <w:t xml:space="preserve">Situación que no fue prevista por </w:t>
      </w:r>
      <w:r w:rsidRPr="00142958">
        <w:rPr>
          <w:rFonts w:ascii="Palatino Linotype" w:eastAsia="Palatino Linotype" w:hAnsi="Palatino Linotype" w:cs="Palatino Linotype"/>
          <w:b/>
          <w:i/>
          <w:sz w:val="20"/>
          <w:szCs w:val="20"/>
        </w:rPr>
        <w:t>El Sujeto Obligado</w:t>
      </w:r>
      <w:r w:rsidRPr="00142958">
        <w:rPr>
          <w:rFonts w:ascii="Palatino Linotype" w:eastAsia="Palatino Linotype" w:hAnsi="Palatino Linotype" w:cs="Palatino Linotype"/>
          <w:i/>
          <w:sz w:val="20"/>
          <w:szCs w:val="20"/>
        </w:rPr>
        <w:t xml:space="preserve">, ya que su respuesta fue proporcionada al </w:t>
      </w:r>
      <w:r w:rsidRPr="00142958">
        <w:rPr>
          <w:rFonts w:ascii="Palatino Linotype" w:eastAsia="Palatino Linotype" w:hAnsi="Palatino Linotype" w:cs="Palatino Linotype"/>
          <w:b/>
          <w:i/>
          <w:sz w:val="20"/>
          <w:szCs w:val="20"/>
        </w:rPr>
        <w:t>cuarto día hábil</w:t>
      </w:r>
      <w:r w:rsidRPr="00142958">
        <w:rPr>
          <w:rFonts w:ascii="Palatino Linotype" w:eastAsia="Palatino Linotype" w:hAnsi="Palatino Linotype" w:cs="Palatino Linotype"/>
          <w:i/>
          <w:sz w:val="20"/>
          <w:szCs w:val="20"/>
        </w:rPr>
        <w:t xml:space="preserve"> de aquel en el que tuvo conocimiento de la información.</w:t>
      </w:r>
    </w:p>
    <w:p w:rsidR="00163947" w:rsidRPr="00142958" w:rsidRDefault="006E2533" w:rsidP="00142958">
      <w:pPr>
        <w:spacing w:line="240" w:lineRule="auto"/>
        <w:ind w:left="851" w:right="900"/>
        <w:jc w:val="both"/>
        <w:rPr>
          <w:rFonts w:ascii="Palatino Linotype" w:eastAsia="Palatino Linotype" w:hAnsi="Palatino Linotype" w:cs="Palatino Linotype"/>
          <w:i/>
          <w:sz w:val="20"/>
          <w:szCs w:val="20"/>
        </w:rPr>
      </w:pPr>
      <w:r w:rsidRPr="00142958">
        <w:rPr>
          <w:rFonts w:ascii="Palatino Linotype" w:eastAsia="Palatino Linotype" w:hAnsi="Palatino Linotype" w:cs="Palatino Linotype"/>
          <w:i/>
          <w:sz w:val="20"/>
          <w:szCs w:val="20"/>
        </w:rPr>
        <w:t xml:space="preserve">En consecuencia, el </w:t>
      </w:r>
      <w:r w:rsidRPr="00142958">
        <w:rPr>
          <w:rFonts w:ascii="Palatino Linotype" w:eastAsia="Palatino Linotype" w:hAnsi="Palatino Linotype" w:cs="Palatino Linotype"/>
          <w:b/>
          <w:i/>
          <w:sz w:val="20"/>
          <w:szCs w:val="20"/>
        </w:rPr>
        <w:t>Sujeto Obligado</w:t>
      </w:r>
      <w:r w:rsidRPr="00142958">
        <w:rPr>
          <w:rFonts w:ascii="Palatino Linotype" w:eastAsia="Palatino Linotype" w:hAnsi="Palatino Linotype" w:cs="Palatino Linotype"/>
          <w:i/>
          <w:sz w:val="20"/>
          <w:szCs w:val="20"/>
        </w:rPr>
        <w:t xml:space="preserve"> deberá atender el contenido del artículo 49, de la citada ley, para efectos de que sea declarada por parte del Comité de Transparencia la incompetencia a la que se hace referencia en la respuesta proporcionada:</w:t>
      </w:r>
    </w:p>
    <w:p w:rsidR="00163947" w:rsidRPr="00142958" w:rsidRDefault="00163947" w:rsidP="00142958">
      <w:pPr>
        <w:pBdr>
          <w:top w:val="nil"/>
          <w:left w:val="nil"/>
          <w:bottom w:val="nil"/>
          <w:right w:val="nil"/>
          <w:between w:val="nil"/>
        </w:pBdr>
        <w:spacing w:after="0" w:line="240" w:lineRule="auto"/>
        <w:ind w:left="851" w:right="900"/>
        <w:rPr>
          <w:rFonts w:ascii="Palatino Linotype" w:eastAsia="Palatino Linotype" w:hAnsi="Palatino Linotype" w:cs="Palatino Linotype"/>
          <w:i/>
          <w:color w:val="000000"/>
          <w:sz w:val="20"/>
          <w:szCs w:val="20"/>
        </w:rPr>
      </w:pPr>
    </w:p>
    <w:p w:rsidR="00163947" w:rsidRPr="00142958" w:rsidRDefault="006E2533" w:rsidP="00142958">
      <w:pPr>
        <w:spacing w:line="240" w:lineRule="auto"/>
        <w:ind w:left="851" w:right="900"/>
        <w:jc w:val="both"/>
        <w:rPr>
          <w:rFonts w:ascii="Palatino Linotype" w:eastAsia="Palatino Linotype" w:hAnsi="Palatino Linotype" w:cs="Palatino Linotype"/>
          <w:i/>
          <w:sz w:val="20"/>
          <w:szCs w:val="20"/>
        </w:rPr>
      </w:pPr>
      <w:r w:rsidRPr="00142958">
        <w:rPr>
          <w:rFonts w:ascii="Palatino Linotype" w:eastAsia="Palatino Linotype" w:hAnsi="Palatino Linotype" w:cs="Palatino Linotype"/>
          <w:i/>
          <w:sz w:val="20"/>
          <w:szCs w:val="20"/>
        </w:rPr>
        <w:t>“</w:t>
      </w:r>
      <w:r w:rsidRPr="00142958">
        <w:rPr>
          <w:rFonts w:ascii="Palatino Linotype" w:eastAsia="Palatino Linotype" w:hAnsi="Palatino Linotype" w:cs="Palatino Linotype"/>
          <w:b/>
          <w:i/>
          <w:sz w:val="20"/>
          <w:szCs w:val="20"/>
        </w:rPr>
        <w:t xml:space="preserve">Artículo 49. </w:t>
      </w:r>
      <w:r w:rsidRPr="00142958">
        <w:rPr>
          <w:rFonts w:ascii="Palatino Linotype" w:eastAsia="Palatino Linotype" w:hAnsi="Palatino Linotype" w:cs="Palatino Linotype"/>
          <w:i/>
          <w:sz w:val="20"/>
          <w:szCs w:val="20"/>
        </w:rPr>
        <w:t>Los Comités de Transparencia tendrán las siguientes atribuciones:</w:t>
      </w:r>
    </w:p>
    <w:p w:rsidR="00163947" w:rsidRPr="00142958" w:rsidRDefault="006E2533" w:rsidP="00142958">
      <w:pPr>
        <w:spacing w:line="240" w:lineRule="auto"/>
        <w:ind w:left="851" w:right="900"/>
        <w:jc w:val="both"/>
        <w:rPr>
          <w:rFonts w:ascii="Palatino Linotype" w:eastAsia="Palatino Linotype" w:hAnsi="Palatino Linotype" w:cs="Palatino Linotype"/>
          <w:i/>
          <w:sz w:val="20"/>
          <w:szCs w:val="20"/>
        </w:rPr>
      </w:pPr>
      <w:r w:rsidRPr="00142958">
        <w:rPr>
          <w:rFonts w:ascii="Palatino Linotype" w:eastAsia="Palatino Linotype" w:hAnsi="Palatino Linotype" w:cs="Palatino Linotype"/>
          <w:b/>
          <w:i/>
          <w:sz w:val="20"/>
          <w:szCs w:val="20"/>
        </w:rPr>
        <w:t xml:space="preserve">I. </w:t>
      </w:r>
      <w:r w:rsidRPr="00142958">
        <w:rPr>
          <w:rFonts w:ascii="Palatino Linotype" w:eastAsia="Palatino Linotype" w:hAnsi="Palatino Linotype" w:cs="Palatino Linotype"/>
          <w:i/>
          <w:sz w:val="20"/>
          <w:szCs w:val="20"/>
        </w:rPr>
        <w:t>Instituir, coordinar y supervisar en términos de las disposiciones aplicables, las acciones, medidas y procedimientos que coadyuven a asegurar una mayor eficacia en la gestión y atención de las solicitudes en materia de acceso a la información;</w:t>
      </w:r>
    </w:p>
    <w:p w:rsidR="00163947" w:rsidRPr="00142958" w:rsidRDefault="00163947" w:rsidP="00142958">
      <w:pPr>
        <w:spacing w:line="240" w:lineRule="auto"/>
        <w:ind w:left="851" w:right="900"/>
        <w:jc w:val="both"/>
        <w:rPr>
          <w:rFonts w:ascii="Palatino Linotype" w:eastAsia="Palatino Linotype" w:hAnsi="Palatino Linotype" w:cs="Palatino Linotype"/>
          <w:b/>
          <w:i/>
          <w:sz w:val="20"/>
          <w:szCs w:val="20"/>
        </w:rPr>
      </w:pPr>
    </w:p>
    <w:p w:rsidR="00163947" w:rsidRPr="00142958" w:rsidRDefault="006E2533" w:rsidP="00142958">
      <w:pPr>
        <w:spacing w:line="240" w:lineRule="auto"/>
        <w:ind w:left="851" w:right="900"/>
        <w:jc w:val="both"/>
        <w:rPr>
          <w:rFonts w:ascii="Palatino Linotype" w:eastAsia="Palatino Linotype" w:hAnsi="Palatino Linotype" w:cs="Palatino Linotype"/>
          <w:i/>
          <w:sz w:val="20"/>
          <w:szCs w:val="20"/>
        </w:rPr>
      </w:pPr>
      <w:r w:rsidRPr="00142958">
        <w:rPr>
          <w:rFonts w:ascii="Palatino Linotype" w:eastAsia="Palatino Linotype" w:hAnsi="Palatino Linotype" w:cs="Palatino Linotype"/>
          <w:b/>
          <w:i/>
          <w:sz w:val="20"/>
          <w:szCs w:val="20"/>
        </w:rPr>
        <w:t xml:space="preserve">II. </w:t>
      </w:r>
      <w:r w:rsidRPr="00142958">
        <w:rPr>
          <w:rFonts w:ascii="Palatino Linotype" w:eastAsia="Palatino Linotype" w:hAnsi="Palatino Linotype" w:cs="Palatino Linotype"/>
          <w:i/>
          <w:sz w:val="20"/>
          <w:szCs w:val="20"/>
        </w:rPr>
        <w:t xml:space="preserve">Confirmar, modificar o revocar las determinaciones que en materia de ampliación del plazo de respuesta, clasificación de la información y declaración de inexistencia </w:t>
      </w:r>
      <w:r w:rsidRPr="00142958">
        <w:rPr>
          <w:rFonts w:ascii="Palatino Linotype" w:eastAsia="Palatino Linotype" w:hAnsi="Palatino Linotype" w:cs="Palatino Linotype"/>
          <w:b/>
          <w:i/>
          <w:sz w:val="20"/>
          <w:szCs w:val="20"/>
        </w:rPr>
        <w:t xml:space="preserve">o </w:t>
      </w:r>
      <w:r w:rsidRPr="00142958">
        <w:rPr>
          <w:rFonts w:ascii="Palatino Linotype" w:eastAsia="Palatino Linotype" w:hAnsi="Palatino Linotype" w:cs="Palatino Linotype"/>
          <w:b/>
          <w:i/>
          <w:sz w:val="20"/>
          <w:szCs w:val="20"/>
          <w:u w:val="single"/>
        </w:rPr>
        <w:t>de incompetencia realicen los titulares de las áreas de los sujetos obligados</w:t>
      </w:r>
      <w:r w:rsidRPr="00142958">
        <w:rPr>
          <w:rFonts w:ascii="Palatino Linotype" w:eastAsia="Palatino Linotype" w:hAnsi="Palatino Linotype" w:cs="Palatino Linotype"/>
          <w:i/>
          <w:sz w:val="20"/>
          <w:szCs w:val="20"/>
        </w:rPr>
        <w:t>;</w:t>
      </w:r>
    </w:p>
    <w:p w:rsidR="00163947" w:rsidRPr="00142958" w:rsidRDefault="006E2533" w:rsidP="00142958">
      <w:pPr>
        <w:spacing w:line="240" w:lineRule="auto"/>
        <w:ind w:left="851" w:right="900"/>
        <w:jc w:val="both"/>
        <w:rPr>
          <w:rFonts w:ascii="Palatino Linotype" w:eastAsia="Palatino Linotype" w:hAnsi="Palatino Linotype" w:cs="Palatino Linotype"/>
          <w:i/>
          <w:sz w:val="20"/>
          <w:szCs w:val="20"/>
        </w:rPr>
      </w:pPr>
      <w:r w:rsidRPr="00142958">
        <w:rPr>
          <w:rFonts w:ascii="Palatino Linotype" w:eastAsia="Palatino Linotype" w:hAnsi="Palatino Linotype" w:cs="Palatino Linotype"/>
          <w:i/>
          <w:sz w:val="20"/>
          <w:szCs w:val="20"/>
        </w:rPr>
        <w:t>(…)”</w:t>
      </w:r>
    </w:p>
    <w:p w:rsidR="00163947" w:rsidRPr="00142958" w:rsidRDefault="00163947" w:rsidP="00142958">
      <w:pPr>
        <w:spacing w:line="240" w:lineRule="auto"/>
        <w:ind w:left="851" w:right="900"/>
        <w:rPr>
          <w:rFonts w:ascii="Palatino Linotype" w:hAnsi="Palatino Linotype"/>
          <w:i/>
          <w:sz w:val="20"/>
          <w:szCs w:val="20"/>
        </w:rPr>
      </w:pPr>
    </w:p>
    <w:p w:rsidR="00163947" w:rsidRPr="00142958" w:rsidRDefault="006E2533" w:rsidP="00142958">
      <w:pPr>
        <w:spacing w:line="240" w:lineRule="auto"/>
        <w:ind w:left="851" w:right="900"/>
        <w:jc w:val="both"/>
        <w:rPr>
          <w:rFonts w:ascii="Palatino Linotype" w:eastAsia="Palatino Linotype" w:hAnsi="Palatino Linotype" w:cs="Palatino Linotype"/>
          <w:sz w:val="20"/>
          <w:szCs w:val="20"/>
        </w:rPr>
      </w:pPr>
      <w:r w:rsidRPr="00142958">
        <w:rPr>
          <w:rFonts w:ascii="Palatino Linotype" w:eastAsia="Palatino Linotype" w:hAnsi="Palatino Linotype" w:cs="Palatino Linotype"/>
          <w:i/>
          <w:sz w:val="20"/>
          <w:szCs w:val="20"/>
        </w:rPr>
        <w:t xml:space="preserve">Es de lo expuesto que el Comité de Transparencia </w:t>
      </w:r>
      <w:r w:rsidRPr="00142958">
        <w:rPr>
          <w:rFonts w:ascii="Palatino Linotype" w:eastAsia="Palatino Linotype" w:hAnsi="Palatino Linotype" w:cs="Palatino Linotype"/>
          <w:b/>
          <w:i/>
          <w:sz w:val="20"/>
          <w:szCs w:val="20"/>
          <w:u w:val="single"/>
        </w:rPr>
        <w:t>debe confirmar la incompetencia que en el presente asunto encuadra en el supuesto de la Ley</w:t>
      </w:r>
      <w:r w:rsidRPr="00142958">
        <w:rPr>
          <w:rFonts w:ascii="Palatino Linotype" w:eastAsia="Palatino Linotype" w:hAnsi="Palatino Linotype" w:cs="Palatino Linotype"/>
          <w:sz w:val="20"/>
          <w:szCs w:val="20"/>
        </w:rPr>
        <w:t>.” (Sic)</w:t>
      </w:r>
    </w:p>
    <w:p w:rsidR="00163947" w:rsidRDefault="006E2533">
      <w:pPr>
        <w:tabs>
          <w:tab w:val="left" w:pos="142"/>
          <w:tab w:val="left" w:pos="284"/>
        </w:tabs>
        <w:spacing w:before="240" w:after="240" w:line="360" w:lineRule="auto"/>
        <w:jc w:val="both"/>
        <w:rPr>
          <w:rFonts w:ascii="Palatino Linotype" w:eastAsia="Palatino Linotype" w:hAnsi="Palatino Linotype" w:cs="Palatino Linotype"/>
        </w:rPr>
      </w:pPr>
      <w:bookmarkStart w:id="2" w:name="_heading=h.1fob9te" w:colFirst="0" w:colLast="0"/>
      <w:bookmarkEnd w:id="2"/>
      <w:r>
        <w:rPr>
          <w:rFonts w:ascii="Palatino Linotype" w:eastAsia="Palatino Linotype" w:hAnsi="Palatino Linotype" w:cs="Palatino Linotype"/>
        </w:rPr>
        <w:t xml:space="preserve">Advirtiéndose que el </w:t>
      </w:r>
      <w:r>
        <w:rPr>
          <w:rFonts w:ascii="Palatino Linotype" w:eastAsia="Palatino Linotype" w:hAnsi="Palatino Linotype" w:cs="Palatino Linotype"/>
          <w:b/>
        </w:rPr>
        <w:t>O.P.D. para la Prestación de los Servicios de Agua Potable, Alcantarillado y Saneamiento de Ecatepec (SAPASE) y el Ayuntamiento de Ecatepec de Morelos</w:t>
      </w:r>
      <w:r>
        <w:rPr>
          <w:rFonts w:ascii="Palatino Linotype" w:eastAsia="Palatino Linotype" w:hAnsi="Palatino Linotype" w:cs="Palatino Linotype"/>
        </w:rPr>
        <w:t xml:space="preserve">, son Sujetos Obligados diversos; consecuentemente,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resulta incompetente para tener en sus archivos la información relativa a la recibos de la segunda quincena de enero 2023 y primer quincena de febrero 2023, nombre del área, funciones que desempeña la Servidora Pública descrita en la solicitud de </w:t>
      </w:r>
      <w:r>
        <w:rPr>
          <w:rFonts w:ascii="Palatino Linotype" w:eastAsia="Palatino Linotype" w:hAnsi="Palatino Linotype" w:cs="Palatino Linotype"/>
        </w:rPr>
        <w:lastRenderedPageBreak/>
        <w:t xml:space="preserve">información, por ello la Suscrita estima que no resultaba procedente ordenar la emisión del acuerdo de incompetencia, aun cuando la Unidad de Transparencia efectuó la declaración de la notoria incompetencia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atender favorablemente la solicitud de información, de manera posterior a los tres días de haberse recibido la solicitud de información.</w:t>
      </w:r>
    </w:p>
    <w:p w:rsidR="00163947" w:rsidRDefault="006E2533">
      <w:pPr>
        <w:tabs>
          <w:tab w:val="left" w:pos="142"/>
          <w:tab w:val="left" w:pos="284"/>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se estima así, en virtud de que, desde mi perspectiva, ordenar al Comité de Transparencia del Sujeto Obligado que sesione para que emita un acuerdo en el que confirme la declaratoria de incompetencia para garantizar el derecho de la parte Recurrente dilata los plazos del procedimiento, genera una carga adicional al Sujeto Obligado, y ello no modifica el hecho de que la parte Recurrente no obtendrá la inform</w:t>
      </w:r>
      <w:r w:rsidR="0092395C">
        <w:rPr>
          <w:rFonts w:ascii="Palatino Linotype" w:eastAsia="Palatino Linotype" w:hAnsi="Palatino Linotype" w:cs="Palatino Linotype"/>
        </w:rPr>
        <w:t>ación que es de su interés por e</w:t>
      </w:r>
      <w:r>
        <w:rPr>
          <w:rFonts w:ascii="Palatino Linotype" w:eastAsia="Palatino Linotype" w:hAnsi="Palatino Linotype" w:cs="Palatino Linotype"/>
        </w:rPr>
        <w:t xml:space="preserve">sta vía, en virtud de que la propia ponencia ha determinado que </w:t>
      </w:r>
      <w:r>
        <w:rPr>
          <w:rFonts w:ascii="Palatino Linotype" w:eastAsia="Palatino Linotype" w:hAnsi="Palatino Linotype" w:cs="Palatino Linotype"/>
          <w:b/>
          <w:i/>
          <w:u w:val="single"/>
        </w:rPr>
        <w:t xml:space="preserve">el Sujeto Obligado no cuenta con competencia para atender los requerimientos señalados por el particular, por ende no se encuentra constreñido a entregar la información requerida ante la falta de atribuciones para generar, poseer o administrar lo solicitado. </w:t>
      </w:r>
    </w:p>
    <w:p w:rsidR="00163947" w:rsidRDefault="006E2533">
      <w:pPr>
        <w:tabs>
          <w:tab w:val="left" w:pos="142"/>
          <w:tab w:val="left" w:pos="284"/>
        </w:tabs>
        <w:spacing w:before="240" w:after="240" w:line="360" w:lineRule="auto"/>
        <w:jc w:val="both"/>
        <w:rPr>
          <w:rFonts w:ascii="Palatino Linotype" w:eastAsia="Palatino Linotype" w:hAnsi="Palatino Linotype" w:cs="Palatino Linotype"/>
        </w:rPr>
        <w:sectPr w:rsidR="00163947">
          <w:headerReference w:type="default" r:id="rId13"/>
          <w:footerReference w:type="default" r:id="rId14"/>
          <w:pgSz w:w="12240" w:h="15840"/>
          <w:pgMar w:top="2438" w:right="1701" w:bottom="2778" w:left="1701" w:header="1134" w:footer="1134" w:gutter="0"/>
          <w:pgNumType w:start="1"/>
          <w:cols w:space="720"/>
        </w:sectPr>
      </w:pPr>
      <w:bookmarkStart w:id="3" w:name="_heading=h.gjdgxs" w:colFirst="0" w:colLast="0"/>
      <w:bookmarkEnd w:id="3"/>
      <w:r>
        <w:rPr>
          <w:rFonts w:ascii="Palatino Linotype" w:eastAsia="Palatino Linotype" w:hAnsi="Palatino Linotype" w:cs="Palatino Linotype"/>
        </w:rPr>
        <w:t>Por ello, instruir al Comité de Transparencia para que sesione y emita una resolución en la que se confirme una notoria incompetencia que ya fue declarada por el Sujeto Obligado y analizada por este Organismo Garante, se aparta de los principios de sencillez y rapidez establecidos por la Ley de Transparencia y Acceso a la Información Pública del Estado de México y Municipios, en sus artículos 2, fracciones II y III, 21 y 150</w:t>
      </w:r>
      <w:r w:rsidR="001079C2">
        <w:rPr>
          <w:rFonts w:ascii="Palatino Linotype" w:eastAsia="Palatino Linotype" w:hAnsi="Palatino Linotype" w:cs="Palatino Linotype"/>
        </w:rPr>
        <w:t>, más aun cuando el S</w:t>
      </w:r>
      <w:r w:rsidR="001079C2" w:rsidRPr="001079C2">
        <w:rPr>
          <w:rFonts w:ascii="Palatino Linotype" w:eastAsia="Palatino Linotype" w:hAnsi="Palatino Linotype" w:cs="Palatino Linotype"/>
        </w:rPr>
        <w:t xml:space="preserve">ujeto </w:t>
      </w:r>
      <w:r w:rsidR="001079C2">
        <w:rPr>
          <w:rFonts w:ascii="Palatino Linotype" w:eastAsia="Palatino Linotype" w:hAnsi="Palatino Linotype" w:cs="Palatino Linotype"/>
        </w:rPr>
        <w:t>O</w:t>
      </w:r>
      <w:r w:rsidR="001079C2" w:rsidRPr="001079C2">
        <w:rPr>
          <w:rFonts w:ascii="Palatino Linotype" w:eastAsia="Palatino Linotype" w:hAnsi="Palatino Linotype" w:cs="Palatino Linotype"/>
        </w:rPr>
        <w:t xml:space="preserve">bligado atendió el </w:t>
      </w:r>
      <w:r w:rsidR="001079C2">
        <w:rPr>
          <w:rFonts w:ascii="Palatino Linotype" w:eastAsia="Palatino Linotype" w:hAnsi="Palatino Linotype" w:cs="Palatino Linotype"/>
        </w:rPr>
        <w:t>procedimiento</w:t>
      </w:r>
      <w:r w:rsidR="001079C2" w:rsidRPr="001079C2">
        <w:rPr>
          <w:rFonts w:ascii="Palatino Linotype" w:eastAsia="Palatino Linotype" w:hAnsi="Palatino Linotype" w:cs="Palatino Linotype"/>
        </w:rPr>
        <w:t xml:space="preserve"> de búsqueda</w:t>
      </w:r>
      <w:r w:rsidR="001079C2">
        <w:rPr>
          <w:rFonts w:ascii="Palatino Linotype" w:eastAsia="Palatino Linotype" w:hAnsi="Palatino Linotype" w:cs="Palatino Linotype"/>
        </w:rPr>
        <w:t xml:space="preserve"> para localizar la información</w:t>
      </w:r>
      <w:r w:rsidR="001079C2" w:rsidRPr="001079C2">
        <w:rPr>
          <w:rFonts w:ascii="Palatino Linotype" w:eastAsia="Palatino Linotype" w:hAnsi="Palatino Linotype" w:cs="Palatino Linotype"/>
        </w:rPr>
        <w:t>.</w:t>
      </w:r>
      <w:r>
        <w:rPr>
          <w:rFonts w:ascii="Palatino Linotype" w:eastAsia="Palatino Linotype" w:hAnsi="Palatino Linotype" w:cs="Palatino Linotype"/>
        </w:rPr>
        <w:t xml:space="preserve"> Es por todo lo vertido en líneas anteriores que la Suscrita no comparte el sentido de la resolución por lo que hace al acuerdo de incompetencia que se ordena y formula el presente voto disidente. </w:t>
      </w:r>
    </w:p>
    <w:p w:rsidR="00163947" w:rsidRDefault="00163947">
      <w:pPr>
        <w:spacing w:before="240" w:after="240" w:line="360" w:lineRule="auto"/>
        <w:ind w:right="139"/>
        <w:jc w:val="both"/>
        <w:rPr>
          <w:rFonts w:ascii="Palatino Linotype" w:eastAsia="Palatino Linotype" w:hAnsi="Palatino Linotype" w:cs="Palatino Linotype"/>
        </w:rPr>
      </w:pPr>
    </w:p>
    <w:sectPr w:rsidR="00163947">
      <w:headerReference w:type="default" r:id="rId15"/>
      <w:footerReference w:type="default" r:id="rId16"/>
      <w:pgSz w:w="12240" w:h="15840"/>
      <w:pgMar w:top="2438" w:right="1701" w:bottom="2778" w:left="1701" w:header="1134" w:footer="113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C7E" w:rsidRDefault="00A24C7E">
      <w:pPr>
        <w:spacing w:after="0" w:line="240" w:lineRule="auto"/>
      </w:pPr>
      <w:r>
        <w:separator/>
      </w:r>
    </w:p>
  </w:endnote>
  <w:endnote w:type="continuationSeparator" w:id="0">
    <w:p w:rsidR="00A24C7E" w:rsidRDefault="00A24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947" w:rsidRDefault="006E2533">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Página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341663">
      <w:rPr>
        <w:rFonts w:ascii="Times New Roman" w:eastAsia="Times New Roman" w:hAnsi="Times New Roman" w:cs="Times New Roman"/>
        <w:b/>
        <w:noProof/>
        <w:color w:val="000000"/>
        <w:sz w:val="24"/>
        <w:szCs w:val="24"/>
      </w:rPr>
      <w:t>10</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color w:val="000000"/>
        <w:sz w:val="24"/>
        <w:szCs w:val="24"/>
      </w:rPr>
      <w:t xml:space="preserve"> de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341663">
      <w:rPr>
        <w:rFonts w:ascii="Times New Roman" w:eastAsia="Times New Roman" w:hAnsi="Times New Roman" w:cs="Times New Roman"/>
        <w:b/>
        <w:noProof/>
        <w:color w:val="000000"/>
        <w:sz w:val="24"/>
        <w:szCs w:val="24"/>
      </w:rPr>
      <w:t>11</w:t>
    </w:r>
    <w:r>
      <w:rPr>
        <w:rFonts w:ascii="Times New Roman" w:eastAsia="Times New Roman" w:hAnsi="Times New Roman" w:cs="Times New Roman"/>
        <w:b/>
        <w:color w:val="000000"/>
        <w:sz w:val="24"/>
        <w:szCs w:val="24"/>
      </w:rPr>
      <w:fldChar w:fldCharType="end"/>
    </w:r>
  </w:p>
  <w:p w:rsidR="00163947" w:rsidRDefault="00163947">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947" w:rsidRDefault="006E2533">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Página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341663">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b/>
        <w:color w:val="000000"/>
        <w:sz w:val="24"/>
        <w:szCs w:val="24"/>
      </w:rPr>
      <w:t>1</w:t>
    </w:r>
    <w:r>
      <w:rPr>
        <w:rFonts w:ascii="Times New Roman" w:eastAsia="Times New Roman" w:hAnsi="Times New Roman" w:cs="Times New Roman"/>
        <w:color w:val="000000"/>
        <w:sz w:val="24"/>
        <w:szCs w:val="24"/>
      </w:rPr>
      <w:t xml:space="preserve"> de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341663">
      <w:rPr>
        <w:rFonts w:ascii="Times New Roman" w:eastAsia="Times New Roman" w:hAnsi="Times New Roman" w:cs="Times New Roman"/>
        <w:b/>
        <w:noProof/>
        <w:color w:val="000000"/>
        <w:sz w:val="24"/>
        <w:szCs w:val="24"/>
      </w:rPr>
      <w:t>11</w:t>
    </w:r>
    <w:r>
      <w:rPr>
        <w:rFonts w:ascii="Times New Roman" w:eastAsia="Times New Roman" w:hAnsi="Times New Roman" w:cs="Times New Roman"/>
        <w:b/>
        <w:color w:val="000000"/>
        <w:sz w:val="24"/>
        <w:szCs w:val="24"/>
      </w:rPr>
      <w:fldChar w:fldCharType="end"/>
    </w:r>
  </w:p>
  <w:p w:rsidR="00163947" w:rsidRDefault="00163947">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C7E" w:rsidRDefault="00A24C7E">
      <w:pPr>
        <w:spacing w:after="0" w:line="240" w:lineRule="auto"/>
      </w:pPr>
      <w:r>
        <w:separator/>
      </w:r>
    </w:p>
  </w:footnote>
  <w:footnote w:type="continuationSeparator" w:id="0">
    <w:p w:rsidR="00A24C7E" w:rsidRDefault="00A24C7E">
      <w:pPr>
        <w:spacing w:after="0" w:line="240" w:lineRule="auto"/>
      </w:pPr>
      <w:r>
        <w:continuationSeparator/>
      </w:r>
    </w:p>
  </w:footnote>
  <w:footnote w:id="1">
    <w:p w:rsidR="00163947" w:rsidRDefault="006E2533">
      <w:pPr>
        <w:pBdr>
          <w:top w:val="nil"/>
          <w:left w:val="nil"/>
          <w:bottom w:val="nil"/>
          <w:right w:val="nil"/>
          <w:between w:val="nil"/>
        </w:pBdr>
        <w:spacing w:after="0" w:line="240" w:lineRule="auto"/>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163947" w:rsidRDefault="006E2533">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rsidR="00163947" w:rsidRDefault="006E2533">
      <w:pPr>
        <w:pBdr>
          <w:top w:val="nil"/>
          <w:left w:val="nil"/>
          <w:bottom w:val="nil"/>
          <w:right w:val="nil"/>
          <w:between w:val="nil"/>
        </w:pBdr>
        <w:spacing w:after="0" w:line="240" w:lineRule="auto"/>
        <w:ind w:left="142" w:right="-567"/>
        <w:jc w:val="both"/>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Modificado posteriormente en fechas 27 de noviembre de 2017, 23 de enero y 7 de agosto de 2019, por el Pleno del Instituto de Transparencia, Acceso a la Información Pública y Protección de Datos Personales del Estado de México y Municipios, mediante Acuerdos publicados en el Periódico Oficial “Gaceta del Gobierno”.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947" w:rsidRDefault="006E2533">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highlight w:val="yellow"/>
      </w:rPr>
    </w:pPr>
    <w:r>
      <w:rPr>
        <w:rFonts w:ascii="Palatino Linotype" w:eastAsia="Palatino Linotype" w:hAnsi="Palatino Linotype" w:cs="Palatino Linotype"/>
        <w:b/>
        <w:color w:val="000000"/>
        <w:sz w:val="20"/>
        <w:szCs w:val="20"/>
      </w:rPr>
      <w:t>VOTO DISIDENTE</w:t>
    </w:r>
    <w:r>
      <w:rPr>
        <w:noProof/>
      </w:rPr>
      <w:drawing>
        <wp:anchor distT="0" distB="0" distL="0" distR="0" simplePos="0" relativeHeight="251658240" behindDoc="1" locked="0" layoutInCell="1" hidden="0" allowOverlap="1">
          <wp:simplePos x="0" y="0"/>
          <wp:positionH relativeFrom="column">
            <wp:posOffset>-952489</wp:posOffset>
          </wp:positionH>
          <wp:positionV relativeFrom="paragraph">
            <wp:posOffset>-568952</wp:posOffset>
          </wp:positionV>
          <wp:extent cx="7510628" cy="9883775"/>
          <wp:effectExtent l="0" t="0" r="0" b="0"/>
          <wp:wrapNone/>
          <wp:docPr id="2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rsidR="00163947" w:rsidRDefault="006E2533">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 01180/INFOEM/IP/RR/2023</w:t>
    </w:r>
  </w:p>
  <w:p w:rsidR="00163947" w:rsidRDefault="00163947">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947" w:rsidRDefault="00163947">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97F4F"/>
    <w:multiLevelType w:val="multilevel"/>
    <w:tmpl w:val="A01A98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947"/>
    <w:rsid w:val="001079C2"/>
    <w:rsid w:val="00142958"/>
    <w:rsid w:val="00163947"/>
    <w:rsid w:val="00240495"/>
    <w:rsid w:val="00341663"/>
    <w:rsid w:val="006E2533"/>
    <w:rsid w:val="00791976"/>
    <w:rsid w:val="007F0C0F"/>
    <w:rsid w:val="0092395C"/>
    <w:rsid w:val="009C49A6"/>
    <w:rsid w:val="00A24C7E"/>
    <w:rsid w:val="00F959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FA40DF-BE50-4CB7-95F5-201BC4D8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0607BA"/>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styleId="Sinespaciado">
    <w:name w:val="No Spacing"/>
    <w:aliases w:val="Francesa,INAI"/>
    <w:link w:val="SinespaciadoCar"/>
    <w:uiPriority w:val="1"/>
    <w:qFormat/>
    <w:rsid w:val="00F33522"/>
    <w:pPr>
      <w:spacing w:after="0" w:line="240" w:lineRule="auto"/>
    </w:pPr>
  </w:style>
  <w:style w:type="character" w:customStyle="1" w:styleId="SinespaciadoCar">
    <w:name w:val="Sin espaciado Car"/>
    <w:aliases w:val="Francesa Car,INAI Car"/>
    <w:link w:val="Sinespaciado"/>
    <w:uiPriority w:val="1"/>
    <w:locked/>
    <w:rsid w:val="00F33522"/>
  </w:style>
  <w:style w:type="table" w:customStyle="1" w:styleId="TableNormal7">
    <w:name w:val="Table Normal"/>
    <w:uiPriority w:val="2"/>
    <w:semiHidden/>
    <w:unhideWhenUsed/>
    <w:qFormat/>
    <w:rsid w:val="00B21C09"/>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1C09"/>
    <w:pPr>
      <w:widowControl w:val="0"/>
      <w:spacing w:after="0" w:line="240" w:lineRule="auto"/>
    </w:pPr>
    <w:rPr>
      <w:lang w:val="en-US"/>
    </w:rPr>
  </w:style>
  <w:style w:type="table" w:styleId="Tablaconcuadrcula">
    <w:name w:val="Table Grid"/>
    <w:basedOn w:val="Tablanormal"/>
    <w:uiPriority w:val="39"/>
    <w:rsid w:val="00B21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7"/>
    <w:tblPr>
      <w:tblStyleRowBandSize w:val="1"/>
      <w:tblStyleColBandSize w:val="1"/>
    </w:tblPr>
  </w:style>
  <w:style w:type="paragraph" w:customStyle="1" w:styleId="m-698976158124685028gmail-msolistparagraph">
    <w:name w:val="m_-698976158124685028gmail-msolistparagraph"/>
    <w:basedOn w:val="Normal"/>
    <w:rsid w:val="000E4B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MWwPBpUa0Lxx8GkBdp2Glkt1/mw==">AMUW2mWjwjp2CPAF523elEYvS63uAmWYyh8zn5Yte9T8i2+Fb7wRdK3WB8SMyhJ6BpJJLtlve6LyZdOVNm3OoDLcPktc+AMLHLN8fCbC6TK4g9feTwx4d7/Fu1ojPInG0/6txhy4Z/qSPzhNI/6Lhka85fFPqla4RA==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2722</Words>
  <Characters>14975</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17662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Jhancarlo</cp:lastModifiedBy>
  <cp:revision>3</cp:revision>
  <cp:lastPrinted>2023-05-08T23:29:00Z</cp:lastPrinted>
  <dcterms:created xsi:type="dcterms:W3CDTF">2023-05-08T23:26:00Z</dcterms:created>
  <dcterms:modified xsi:type="dcterms:W3CDTF">2023-05-08T23:29:00Z</dcterms:modified>
</cp:coreProperties>
</file>