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31AA5" w14:textId="6ABA3154" w:rsidR="003E57D5" w:rsidRDefault="003E57D5" w:rsidP="003E57D5">
      <w:pPr>
        <w:spacing w:after="0" w:line="360" w:lineRule="auto"/>
        <w:ind w:right="49"/>
        <w:jc w:val="both"/>
        <w:rPr>
          <w:rFonts w:ascii="Palatino Linotype" w:eastAsia="Times New Roman" w:hAnsi="Palatino Linotype" w:cs="Arial"/>
          <w:b/>
          <w:color w:val="000000" w:themeColor="text1"/>
        </w:rPr>
      </w:pPr>
      <w:r w:rsidRPr="00807C88">
        <w:rPr>
          <w:rFonts w:ascii="Palatino Linotype" w:hAnsi="Palatino Linotype" w:cs="Tahoma"/>
          <w:b/>
        </w:rPr>
        <w:t xml:space="preserve">VOTO </w:t>
      </w:r>
      <w:r>
        <w:rPr>
          <w:rFonts w:ascii="Palatino Linotype" w:hAnsi="Palatino Linotype" w:cs="Tahoma"/>
          <w:b/>
        </w:rPr>
        <w:t>DISIDENTE</w:t>
      </w:r>
      <w:r w:rsidRPr="00807C88">
        <w:rPr>
          <w:rFonts w:ascii="Palatino Linotype" w:hAnsi="Palatino Linotype" w:cs="Tahoma"/>
          <w:b/>
        </w:rPr>
        <w:t xml:space="preserve"> QUE FORMULA EL COMISIONADO LUIS GUSTAVO PARRA NORIEGA, A LA RESOLUCIÓN DEL RECURSO DE REVISIÓN </w:t>
      </w:r>
      <w:r>
        <w:rPr>
          <w:rFonts w:ascii="Palatino Linotype" w:hAnsi="Palatino Linotype" w:cs="Tahoma"/>
          <w:b/>
        </w:rPr>
        <w:t>15392/INFOEM/IP/RR/2022</w:t>
      </w:r>
      <w:r w:rsidRPr="00807C88">
        <w:rPr>
          <w:rFonts w:ascii="Palatino Linotype" w:hAnsi="Palatino Linotype" w:cs="Tahoma"/>
          <w:b/>
        </w:rPr>
        <w:t xml:space="preserve">, PROMOVIDO EN CONTRA DEL </w:t>
      </w:r>
      <w:r>
        <w:rPr>
          <w:rFonts w:ascii="Palatino Linotype" w:eastAsia="Times New Roman" w:hAnsi="Palatino Linotype" w:cs="Arial"/>
          <w:b/>
          <w:color w:val="000000" w:themeColor="text1"/>
        </w:rPr>
        <w:t>PODER LEGISLATIVO.</w:t>
      </w:r>
    </w:p>
    <w:p w14:paraId="45D4DC5D" w14:textId="77777777" w:rsidR="008B4767" w:rsidRDefault="008B4767" w:rsidP="003E57D5">
      <w:pPr>
        <w:spacing w:after="0" w:line="360" w:lineRule="auto"/>
        <w:ind w:right="49"/>
        <w:jc w:val="both"/>
        <w:rPr>
          <w:rFonts w:ascii="Palatino Linotype" w:hAnsi="Palatino Linotype" w:cs="Tahoma"/>
        </w:rPr>
      </w:pPr>
    </w:p>
    <w:p w14:paraId="48510F51" w14:textId="20F082C1" w:rsidR="003E57D5" w:rsidRPr="00807C88" w:rsidRDefault="003E57D5" w:rsidP="003E57D5">
      <w:pPr>
        <w:spacing w:after="0" w:line="360" w:lineRule="auto"/>
        <w:ind w:right="49"/>
        <w:jc w:val="both"/>
        <w:rPr>
          <w:rFonts w:ascii="Palatino Linotype" w:hAnsi="Palatino Linotype" w:cs="Tahoma"/>
          <w:b/>
        </w:rPr>
      </w:pPr>
      <w:r w:rsidRPr="007D004A">
        <w:rPr>
          <w:rFonts w:ascii="Palatino Linotype" w:hAnsi="Palatino Linotype" w:cs="Tahoma"/>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w:t>
      </w:r>
      <w:r>
        <w:rPr>
          <w:rFonts w:ascii="Palatino Linotype" w:hAnsi="Palatino Linotype" w:cs="Tahoma"/>
        </w:rPr>
        <w:t>I</w:t>
      </w:r>
      <w:r w:rsidRPr="007D004A">
        <w:rPr>
          <w:rFonts w:ascii="Palatino Linotype" w:hAnsi="Palatino Linotype" w:cs="Tahoma"/>
        </w:rPr>
        <w:t xml:space="preserve">X, 45, 48, fracción </w:t>
      </w:r>
      <w:r>
        <w:rPr>
          <w:rFonts w:ascii="Palatino Linotype" w:hAnsi="Palatino Linotype" w:cs="Tahoma"/>
        </w:rPr>
        <w:t>I</w:t>
      </w:r>
      <w:r w:rsidRPr="007D004A">
        <w:rPr>
          <w:rFonts w:ascii="Palatino Linotype" w:hAnsi="Palatino Linotype" w:cs="Tahoma"/>
        </w:rPr>
        <w:t xml:space="preserve">I, de los Lineamientos para el funcionamiento del Pleno y las Comisiones del Instituto de Transparencia, Acceso a la Información Pública y Protección de Datos Personales del Estado de México y Municipios, emito el presente </w:t>
      </w:r>
      <w:r w:rsidRPr="00807C88">
        <w:rPr>
          <w:rFonts w:ascii="Palatino Linotype" w:hAnsi="Palatino Linotype" w:cs="Tahoma"/>
          <w:b/>
        </w:rPr>
        <w:t xml:space="preserve">Voto </w:t>
      </w:r>
      <w:r>
        <w:rPr>
          <w:rFonts w:ascii="Palatino Linotype" w:hAnsi="Palatino Linotype" w:cs="Tahoma"/>
          <w:b/>
        </w:rPr>
        <w:t>Disidente</w:t>
      </w:r>
      <w:r w:rsidRPr="00807C88">
        <w:rPr>
          <w:rFonts w:ascii="Palatino Linotype" w:hAnsi="Palatino Linotype" w:cs="Tahoma"/>
        </w:rPr>
        <w:t xml:space="preserve"> por no compartir las consideraciones que sustentan la Resolución del Recurso de Revisión </w:t>
      </w:r>
      <w:r>
        <w:rPr>
          <w:rFonts w:ascii="Palatino Linotype" w:hAnsi="Palatino Linotype" w:cs="Arial"/>
          <w:b/>
          <w:lang w:val="es-MX"/>
        </w:rPr>
        <w:t>15392/INFOEM/IP/RR/2022</w:t>
      </w:r>
      <w:r w:rsidRPr="00807C88">
        <w:rPr>
          <w:rFonts w:ascii="Palatino Linotype" w:hAnsi="Palatino Linotype" w:cs="Tahoma"/>
          <w:b/>
          <w:lang w:val="es-ES_tradnl"/>
        </w:rPr>
        <w:t>.</w:t>
      </w:r>
    </w:p>
    <w:p w14:paraId="68C576DB" w14:textId="77777777" w:rsidR="003E57D5" w:rsidRDefault="003E57D5" w:rsidP="003E57D5">
      <w:pPr>
        <w:spacing w:after="0" w:line="360" w:lineRule="auto"/>
        <w:ind w:right="49"/>
        <w:jc w:val="both"/>
        <w:rPr>
          <w:rFonts w:ascii="Palatino Linotype" w:hAnsi="Palatino Linotype" w:cs="Tahoma"/>
        </w:rPr>
      </w:pPr>
    </w:p>
    <w:p w14:paraId="7A6DA6FE" w14:textId="4315920B" w:rsidR="003E57D5" w:rsidRDefault="003E57D5" w:rsidP="003E57D5">
      <w:pPr>
        <w:spacing w:after="0" w:line="360" w:lineRule="auto"/>
        <w:ind w:right="49"/>
        <w:jc w:val="both"/>
        <w:rPr>
          <w:rFonts w:ascii="Palatino Linotype" w:hAnsi="Palatino Linotype" w:cs="Tahoma"/>
        </w:rPr>
      </w:pPr>
      <w:r w:rsidRPr="00807C88">
        <w:rPr>
          <w:rFonts w:ascii="Palatino Linotype" w:hAnsi="Palatino Linotype" w:cs="Tahoma"/>
        </w:rPr>
        <w:t>Como se desprende de la Resolución en comento, el Particular solicitó</w:t>
      </w:r>
      <w:r>
        <w:rPr>
          <w:rFonts w:ascii="Palatino Linotype" w:hAnsi="Palatino Linotype" w:cs="Tahoma"/>
        </w:rPr>
        <w:t>, en consulta directa</w:t>
      </w:r>
      <w:r w:rsidRPr="00807C88">
        <w:rPr>
          <w:rFonts w:ascii="Palatino Linotype" w:hAnsi="Palatino Linotype" w:cs="Tahoma"/>
        </w:rPr>
        <w:t xml:space="preserve"> </w:t>
      </w:r>
      <w:r>
        <w:rPr>
          <w:rFonts w:ascii="Palatino Linotype" w:hAnsi="Palatino Linotype" w:cs="Tahoma"/>
        </w:rPr>
        <w:t>al Poder Legislativo diversa información relativa a los i</w:t>
      </w:r>
      <w:r w:rsidRPr="00274540">
        <w:rPr>
          <w:rFonts w:ascii="Palatino Linotype" w:hAnsi="Palatino Linotype" w:cs="Tahoma"/>
        </w:rPr>
        <w:t xml:space="preserve">nformes mensuales trimestrales del </w:t>
      </w:r>
      <w:r w:rsidR="00C57F98">
        <w:rPr>
          <w:rFonts w:ascii="Palatino Linotype" w:hAnsi="Palatino Linotype" w:cs="Tahoma"/>
        </w:rPr>
        <w:t xml:space="preserve">Ayuntamiento de Villa Victoria, </w:t>
      </w:r>
      <w:r>
        <w:rPr>
          <w:rFonts w:ascii="Palatino Linotype" w:hAnsi="Palatino Linotype" w:cs="Tahoma"/>
        </w:rPr>
        <w:t xml:space="preserve">en respuesta el Sujeto Obligado, señaló </w:t>
      </w:r>
      <w:r w:rsidR="00C57F98">
        <w:rPr>
          <w:rFonts w:ascii="Palatino Linotype" w:hAnsi="Palatino Linotype" w:cs="Tahoma"/>
        </w:rPr>
        <w:t xml:space="preserve">ser incompetente para atender el requerimiento de información del Particular. </w:t>
      </w:r>
      <w:r w:rsidR="002835A5">
        <w:rPr>
          <w:rFonts w:ascii="Palatino Linotype" w:hAnsi="Palatino Linotype" w:cs="Tahoma"/>
        </w:rPr>
        <w:t xml:space="preserve">De este modo, el motivo de inconformidad hecho valer por el Solicitante es la incompetencia hecha valer por el Sujeto Obligado. Luego entonces, una vez sustanciado el Recurso de Revisión, </w:t>
      </w:r>
      <w:r>
        <w:rPr>
          <w:rFonts w:ascii="Palatino Linotype" w:hAnsi="Palatino Linotype" w:cs="Tahoma"/>
        </w:rPr>
        <w:t xml:space="preserve">Ponencia Resolutora determinó </w:t>
      </w:r>
      <w:r w:rsidR="00C57F98">
        <w:rPr>
          <w:rFonts w:ascii="Palatino Linotype" w:hAnsi="Palatino Linotype" w:cs="Tahoma"/>
        </w:rPr>
        <w:t>confirmar</w:t>
      </w:r>
      <w:r>
        <w:rPr>
          <w:rFonts w:ascii="Palatino Linotype" w:hAnsi="Palatino Linotype" w:cs="Tahoma"/>
        </w:rPr>
        <w:t xml:space="preserve"> el Recurso de Revisión, razón por la cual, difiero del sentido de la resolución, de acuerdo con las siguientes consideraciones. </w:t>
      </w:r>
    </w:p>
    <w:p w14:paraId="5BAC4CA4" w14:textId="77777777" w:rsidR="003E57D5" w:rsidRDefault="003E57D5" w:rsidP="003E57D5">
      <w:pPr>
        <w:spacing w:after="0" w:line="360" w:lineRule="auto"/>
        <w:ind w:right="49"/>
        <w:jc w:val="both"/>
        <w:rPr>
          <w:rFonts w:ascii="Palatino Linotype" w:hAnsi="Palatino Linotype" w:cs="Tahoma"/>
        </w:rPr>
      </w:pPr>
    </w:p>
    <w:p w14:paraId="7C051ED8" w14:textId="77777777" w:rsidR="003E57D5" w:rsidRDefault="003E57D5" w:rsidP="003E57D5">
      <w:pPr>
        <w:spacing w:after="0" w:line="360" w:lineRule="auto"/>
        <w:ind w:right="49"/>
        <w:jc w:val="both"/>
        <w:rPr>
          <w:rFonts w:ascii="Palatino Linotype" w:hAnsi="Palatino Linotype" w:cs="Tahoma"/>
        </w:rPr>
      </w:pPr>
      <w:r w:rsidRPr="00520401">
        <w:rPr>
          <w:rFonts w:ascii="Palatino Linotype" w:hAnsi="Palatino Linotype" w:cs="Tahoma"/>
        </w:rPr>
        <w:t>Es necesario determinar la competencia del Sujeto Obligado para poseer información y, por ende, la fuente obligacional de proporcionarla; en ese sentido, el artículo 61, fracción XXXII de la Constitución Política del Estado Libre y Soberano de México, precisa que la Legislatura podrá revisar, fiscalizar y calificar las cuentas públicas del Estado y los Municipios, del año anterior y para tal efecto contará con un Órgano Superior de Fiscalización.</w:t>
      </w:r>
    </w:p>
    <w:p w14:paraId="3E3C3D9E" w14:textId="77777777" w:rsidR="003E57D5" w:rsidRDefault="003E57D5" w:rsidP="003E57D5">
      <w:pPr>
        <w:spacing w:after="0" w:line="360" w:lineRule="auto"/>
        <w:ind w:right="49"/>
        <w:jc w:val="both"/>
        <w:rPr>
          <w:rFonts w:ascii="Palatino Linotype" w:hAnsi="Palatino Linotype" w:cs="Tahoma"/>
        </w:rPr>
      </w:pPr>
      <w:r w:rsidRPr="00520401">
        <w:rPr>
          <w:rFonts w:ascii="Palatino Linotype" w:hAnsi="Palatino Linotype" w:cs="Tahoma"/>
        </w:rPr>
        <w:lastRenderedPageBreak/>
        <w:t>Por su parte, los artículos 94, fracción I y 95 de la Ley Orgánica del Poder Legislativo del Estado Libre y Soberano de México, establecen que para el control, fiscalización y revisión del ingreso y del gasto público de los entes públicos que manejen recursos del Estado y</w:t>
      </w:r>
      <w:r>
        <w:rPr>
          <w:rFonts w:ascii="Palatino Linotype" w:hAnsi="Palatino Linotype" w:cs="Tahoma"/>
        </w:rPr>
        <w:t xml:space="preserve"> </w:t>
      </w:r>
      <w:r w:rsidRPr="00520401">
        <w:rPr>
          <w:rFonts w:ascii="Palatino Linotype" w:hAnsi="Palatino Linotype" w:cs="Tahoma"/>
        </w:rPr>
        <w:t>Municipios la Legislatura dispondrá del Órgano Superior de Fiscalización, cuya organización y funcionamiento se regirá por la Ley de Fiscalización Superior del Estado de México y su Reglamento Interior</w:t>
      </w:r>
      <w:r>
        <w:rPr>
          <w:rFonts w:ascii="Palatino Linotype" w:hAnsi="Palatino Linotype" w:cs="Tahoma"/>
        </w:rPr>
        <w:t>.</w:t>
      </w:r>
    </w:p>
    <w:p w14:paraId="28149CC2" w14:textId="77777777" w:rsidR="003E57D5" w:rsidRDefault="003E57D5" w:rsidP="003E57D5">
      <w:pPr>
        <w:spacing w:after="0" w:line="360" w:lineRule="auto"/>
        <w:ind w:right="49"/>
        <w:jc w:val="both"/>
        <w:rPr>
          <w:rFonts w:ascii="Palatino Linotype" w:hAnsi="Palatino Linotype" w:cs="Tahoma"/>
        </w:rPr>
      </w:pPr>
    </w:p>
    <w:p w14:paraId="39CE8775" w14:textId="77777777" w:rsidR="003E57D5" w:rsidRDefault="003E57D5" w:rsidP="003E57D5">
      <w:pPr>
        <w:spacing w:after="0" w:line="360" w:lineRule="auto"/>
        <w:ind w:right="49"/>
        <w:jc w:val="both"/>
        <w:rPr>
          <w:rFonts w:ascii="Palatino Linotype" w:hAnsi="Palatino Linotype" w:cs="Tahoma"/>
        </w:rPr>
      </w:pPr>
      <w:r w:rsidRPr="00520401">
        <w:rPr>
          <w:rFonts w:ascii="Palatino Linotype" w:hAnsi="Palatino Linotype" w:cs="Tahoma"/>
        </w:rPr>
        <w:t xml:space="preserve">En ese orden de ideas, </w:t>
      </w:r>
      <w:r>
        <w:rPr>
          <w:rFonts w:ascii="Palatino Linotype" w:hAnsi="Palatino Linotype" w:cs="Tahoma"/>
        </w:rPr>
        <w:t>el artículo</w:t>
      </w:r>
      <w:r w:rsidRPr="00520401">
        <w:rPr>
          <w:rFonts w:ascii="Palatino Linotype" w:hAnsi="Palatino Linotype" w:cs="Tahoma"/>
        </w:rPr>
        <w:t xml:space="preserve"> 2º, fracción XI de la Ley de Fiscalización Superior del Estado de México, se desprende que los Informes Trimestrales son el documento físico y/o electrónico que trimestralmente presentan las entidades fiscalizables </w:t>
      </w:r>
      <w:r>
        <w:rPr>
          <w:rFonts w:ascii="Palatino Linotype" w:hAnsi="Palatino Linotype" w:cs="Tahoma"/>
        </w:rPr>
        <w:t>sobre la situación económica, las finanzas públicas para su análisis al Órgano Superior, el cual tiene dentro de sus atribuciones la establecida en el artículo 8, fracción XIV, la de verificar los informes y la información económica que le hayan presentado</w:t>
      </w:r>
      <w:r w:rsidRPr="00520401">
        <w:rPr>
          <w:rFonts w:ascii="Palatino Linotype" w:hAnsi="Palatino Linotype" w:cs="Tahoma"/>
        </w:rPr>
        <w:t>.</w:t>
      </w:r>
    </w:p>
    <w:p w14:paraId="432F6A32" w14:textId="77777777" w:rsidR="003E57D5" w:rsidRDefault="003E57D5" w:rsidP="003E57D5">
      <w:pPr>
        <w:spacing w:after="0" w:line="360" w:lineRule="auto"/>
        <w:ind w:right="49"/>
        <w:jc w:val="both"/>
        <w:rPr>
          <w:rFonts w:ascii="Palatino Linotype" w:hAnsi="Palatino Linotype" w:cs="Tahoma"/>
        </w:rPr>
      </w:pPr>
    </w:p>
    <w:p w14:paraId="0D09E013" w14:textId="02F84B90" w:rsidR="003E57D5" w:rsidRDefault="003E57D5" w:rsidP="003E57D5">
      <w:pPr>
        <w:spacing w:after="0" w:line="360" w:lineRule="auto"/>
        <w:ind w:right="49"/>
        <w:jc w:val="both"/>
        <w:rPr>
          <w:rFonts w:ascii="Palatino Linotype" w:hAnsi="Palatino Linotype" w:cs="Tahoma"/>
        </w:rPr>
      </w:pPr>
      <w:r w:rsidRPr="00023C97">
        <w:rPr>
          <w:rFonts w:ascii="Palatino Linotype" w:hAnsi="Palatino Linotype" w:cs="Tahoma"/>
        </w:rPr>
        <w:t xml:space="preserve">Así, el Poder Legislativo, es poseedor de la información por lo que la única manera de restringir el derecho de acceso a la información mediante la clasificación de información con la emisión de un acuerdo, aprobado por el Comité de Transparencia del Sujeto Obligado, debidamente fundado y motivado, que en apego a los preceptor de clasificación antes invocados, exprese en la especie, cuáles son los supuestos de clasificación que se actualizan en el caso que nos ocupa, situación que no aconteció, pues el Poder Legislativo únicamente se limitó a referir que el Órgano Superior de Fiscalización se encuentra impedido a proporcionar la información y orientó al Particular a solicitar la información al </w:t>
      </w:r>
      <w:r w:rsidR="007F6B80" w:rsidRPr="007F6B80">
        <w:rPr>
          <w:rFonts w:ascii="Palatino Linotype" w:hAnsi="Palatino Linotype" w:cs="Tahoma"/>
        </w:rPr>
        <w:t>Ayuntamiento de Villa Victoria</w:t>
      </w:r>
      <w:r w:rsidRPr="00023C97">
        <w:rPr>
          <w:rFonts w:ascii="Palatino Linotype" w:hAnsi="Palatino Linotype" w:cs="Tahoma"/>
        </w:rPr>
        <w:t>, en virtud de que este es el generador de la información, en cumplimiento de las obligaciones de fiscalización, de tal suerte que para restringir el acceso a documentos que obran en sus archivos, debió acreditar que se trata de información clasificada</w:t>
      </w:r>
    </w:p>
    <w:p w14:paraId="4EE5FF8F" w14:textId="77777777" w:rsidR="003E57D5" w:rsidRDefault="003E57D5" w:rsidP="003E57D5">
      <w:pPr>
        <w:spacing w:after="0" w:line="360" w:lineRule="auto"/>
        <w:ind w:right="49"/>
        <w:jc w:val="both"/>
        <w:rPr>
          <w:rFonts w:ascii="Palatino Linotype" w:hAnsi="Palatino Linotype" w:cs="Tahoma"/>
        </w:rPr>
      </w:pPr>
    </w:p>
    <w:p w14:paraId="6889F5CD" w14:textId="77777777" w:rsidR="003E57D5" w:rsidRDefault="003E57D5" w:rsidP="003E57D5">
      <w:pPr>
        <w:spacing w:after="0" w:line="360" w:lineRule="auto"/>
        <w:ind w:right="49"/>
        <w:jc w:val="both"/>
        <w:rPr>
          <w:rFonts w:ascii="Palatino Linotype" w:hAnsi="Palatino Linotype" w:cs="Tahoma"/>
        </w:rPr>
      </w:pPr>
      <w:r w:rsidRPr="00520401">
        <w:rPr>
          <w:rFonts w:ascii="Palatino Linotype" w:hAnsi="Palatino Linotype" w:cs="Tahoma"/>
        </w:rPr>
        <w:t xml:space="preserve">Es de resaltar que el Sujeto Obligado, en su respuesta no entregó ningún acuerdo de clasificación emitido por su Comité de Transparencia, en el que se fundara y motivara la restricción del </w:t>
      </w:r>
      <w:r w:rsidRPr="00520401">
        <w:rPr>
          <w:rFonts w:ascii="Palatino Linotype" w:hAnsi="Palatino Linotype" w:cs="Tahoma"/>
        </w:rPr>
        <w:lastRenderedPageBreak/>
        <w:t>derecho humano de acceso a la información, simplemente se limitó a referir que era incompetente para entregar la información, ya que esta sólo podía ser entregada por conducto del Ayuntamiento.</w:t>
      </w:r>
    </w:p>
    <w:p w14:paraId="0FA7A60C" w14:textId="77777777" w:rsidR="003E57D5" w:rsidRDefault="003E57D5" w:rsidP="003E57D5">
      <w:pPr>
        <w:spacing w:after="0" w:line="360" w:lineRule="auto"/>
        <w:ind w:right="49"/>
        <w:jc w:val="both"/>
        <w:rPr>
          <w:rFonts w:ascii="Palatino Linotype" w:hAnsi="Palatino Linotype" w:cs="Tahoma"/>
        </w:rPr>
      </w:pPr>
    </w:p>
    <w:p w14:paraId="2D99D568" w14:textId="77777777" w:rsidR="003E57D5" w:rsidRDefault="003E57D5" w:rsidP="003E57D5">
      <w:pPr>
        <w:spacing w:after="0" w:line="360" w:lineRule="auto"/>
        <w:ind w:right="49"/>
        <w:jc w:val="both"/>
        <w:rPr>
          <w:rFonts w:ascii="Palatino Linotype" w:hAnsi="Palatino Linotype" w:cs="Tahoma"/>
        </w:rPr>
      </w:pPr>
      <w:r w:rsidRPr="00520401">
        <w:rPr>
          <w:rFonts w:ascii="Palatino Linotype" w:hAnsi="Palatino Linotype" w:cs="Tahoma"/>
        </w:rPr>
        <w:t xml:space="preserve">En ese contexto, </w:t>
      </w:r>
      <w:r>
        <w:rPr>
          <w:rFonts w:ascii="Palatino Linotype" w:hAnsi="Palatino Linotype" w:cs="Tahoma"/>
        </w:rPr>
        <w:t>es que no comparto lo plasmado en la Resolución del Recurso de Revisión aludido</w:t>
      </w:r>
      <w:r w:rsidRPr="00520401">
        <w:rPr>
          <w:rFonts w:ascii="Palatino Linotype" w:hAnsi="Palatino Linotype" w:cs="Tahoma"/>
        </w:rPr>
        <w:t>, en razón de que la Constitución Política de los Estado Unidos Mexicanos, en su artículo 6°, apartado A, fracción I, considera que toda la información en posesión de cualquier autoridad -Poder Legislativo in</w:t>
      </w:r>
      <w:r>
        <w:rPr>
          <w:rFonts w:ascii="Palatino Linotype" w:hAnsi="Palatino Linotype" w:cs="Tahoma"/>
        </w:rPr>
        <w:t>cluido- es pública, a</w:t>
      </w:r>
      <w:r w:rsidRPr="00520401">
        <w:rPr>
          <w:rFonts w:ascii="Palatino Linotype" w:hAnsi="Palatino Linotype" w:cs="Tahoma"/>
        </w:rPr>
        <w:t>sí, toda la información en poder de los Sujetos Obligados, es de naturaleza pública, sin la distinción de que la tengan en su poder, a partir de que la hayan generado, obtenido, adquirido, transformado o administrado, bastará con que esté en su posesión y solo podrá ser limitada bajo dos supuestos la reserva y la confidencialidad.</w:t>
      </w:r>
    </w:p>
    <w:p w14:paraId="019CAF5B" w14:textId="77777777" w:rsidR="003E57D5" w:rsidRDefault="003E57D5" w:rsidP="003E57D5">
      <w:pPr>
        <w:spacing w:after="0" w:line="360" w:lineRule="auto"/>
        <w:ind w:right="49"/>
        <w:jc w:val="both"/>
        <w:rPr>
          <w:rFonts w:ascii="Palatino Linotype" w:hAnsi="Palatino Linotype" w:cs="Tahoma"/>
        </w:rPr>
      </w:pPr>
    </w:p>
    <w:p w14:paraId="72FFEEDA" w14:textId="77777777" w:rsidR="003E57D5" w:rsidRDefault="003E57D5" w:rsidP="003E57D5">
      <w:pPr>
        <w:spacing w:after="0" w:line="360" w:lineRule="auto"/>
        <w:ind w:right="49"/>
        <w:jc w:val="both"/>
        <w:rPr>
          <w:rFonts w:ascii="Palatino Linotype" w:hAnsi="Palatino Linotype" w:cs="Tahoma"/>
        </w:rPr>
      </w:pPr>
      <w:r w:rsidRPr="00023C97">
        <w:rPr>
          <w:rFonts w:ascii="Palatino Linotype" w:hAnsi="Palatino Linotype" w:cs="Tahoma"/>
        </w:rPr>
        <w:t>En tal sentido, no se argumentó que la información solicitada actualice alguna causal de confidencialidad o de reserva, y en contexto, cuando no se acredita esta limitación a la entrega de información los sujetos obligados están constreñidos a entregar toda la información que por cualquier motivo obre en sus archivos, por lo que justificar una restricción al derecho humano de acceso a la información, únicamente porque la información fue generada por otro sujeto obligado o porque dicha información también obra en los archivos de ese sujeto obligado distinto, va en contra del derecho de acceso a la información, de tal suerte que, la resolución que nos ocupa, debió indicar que los documentos que se remiten por las instituciones públicas al OSFEM, son documentos finales, esto quiere decir, que son actos consumados por las instituciones públicas y lo que la ley permite al OSFEM es clasificar la información que ellos generan derivado de las revisiones que realizan y que podrían dar cuenta de las observaciones hasta en tanto no estén acreditadas o solventadas, por lo que incluso el argumento de que los documentos están siendo fiscalizados, no es suficiente para restringir el derecho de acceso a la información.</w:t>
      </w:r>
    </w:p>
    <w:p w14:paraId="5F7B1542" w14:textId="77777777" w:rsidR="003E57D5" w:rsidRDefault="003E57D5" w:rsidP="003E57D5">
      <w:pPr>
        <w:spacing w:after="0" w:line="360" w:lineRule="auto"/>
        <w:ind w:right="49"/>
        <w:jc w:val="both"/>
        <w:rPr>
          <w:rFonts w:ascii="Palatino Linotype" w:hAnsi="Palatino Linotype" w:cs="Tahoma"/>
        </w:rPr>
      </w:pPr>
    </w:p>
    <w:p w14:paraId="0FEB784B" w14:textId="77777777" w:rsidR="003E57D5" w:rsidRDefault="003E57D5" w:rsidP="003E57D5">
      <w:pPr>
        <w:spacing w:after="0" w:line="360" w:lineRule="auto"/>
        <w:ind w:right="49"/>
        <w:jc w:val="both"/>
        <w:rPr>
          <w:rFonts w:ascii="Palatino Linotype" w:hAnsi="Palatino Linotype" w:cs="Tahoma"/>
        </w:rPr>
      </w:pPr>
      <w:r w:rsidRPr="00023C97">
        <w:rPr>
          <w:rFonts w:ascii="Palatino Linotype" w:hAnsi="Palatino Linotype" w:cs="Tahoma"/>
        </w:rPr>
        <w:lastRenderedPageBreak/>
        <w:t>No se deja de lado que, el Poder Legislativo en ningún momento argumentó como justificación de la restricción del derecho de acceso a la información que los documentos fueran clasificados, simplemente indicó que es incompetente para hacer la entrega en virtud de que fueron generados por un sujeto obligado distinto y es este quien debe entregarlos, dejando de lado que la información sí obra en los archivos del Poder Legislativo.</w:t>
      </w:r>
    </w:p>
    <w:p w14:paraId="57729DA0" w14:textId="77777777" w:rsidR="003E57D5" w:rsidRDefault="003E57D5" w:rsidP="003E57D5">
      <w:pPr>
        <w:spacing w:after="0" w:line="360" w:lineRule="auto"/>
        <w:ind w:right="49"/>
        <w:jc w:val="both"/>
        <w:rPr>
          <w:rFonts w:ascii="Palatino Linotype" w:hAnsi="Palatino Linotype" w:cs="Tahoma"/>
        </w:rPr>
      </w:pPr>
    </w:p>
    <w:p w14:paraId="6315EECC" w14:textId="77777777" w:rsidR="003E57D5" w:rsidRDefault="003E57D5" w:rsidP="003E57D5">
      <w:pPr>
        <w:spacing w:after="0" w:line="360" w:lineRule="auto"/>
        <w:ind w:right="49"/>
        <w:jc w:val="both"/>
        <w:rPr>
          <w:rFonts w:ascii="Palatino Linotype" w:hAnsi="Palatino Linotype" w:cs="Tahoma"/>
        </w:rPr>
      </w:pPr>
      <w:r w:rsidRPr="00023C97">
        <w:rPr>
          <w:rFonts w:ascii="Palatino Linotype" w:hAnsi="Palatino Linotype" w:cs="Tahoma"/>
        </w:rPr>
        <w:t>Conforme a lo anterior, consider</w:t>
      </w:r>
      <w:r>
        <w:rPr>
          <w:rFonts w:ascii="Palatino Linotype" w:hAnsi="Palatino Linotype" w:cs="Tahoma"/>
        </w:rPr>
        <w:t>o</w:t>
      </w:r>
      <w:r w:rsidRPr="00023C97">
        <w:rPr>
          <w:rFonts w:ascii="Palatino Linotype" w:hAnsi="Palatino Linotype" w:cs="Tahoma"/>
        </w:rPr>
        <w:t xml:space="preserve"> que se debió haber ordenado la entrega de la información en versión pública, toda vez que los informes trimestrales obran dentro de los archivos del Sujeto Obligado, además son los documentos que favorecen la transparencia y la rendición de cuentas, por lo que resulta importante tener acceso a los documentos que el Ayuntamiento de </w:t>
      </w:r>
      <w:r>
        <w:rPr>
          <w:rFonts w:ascii="Palatino Linotype" w:hAnsi="Palatino Linotype" w:cs="Tahoma"/>
        </w:rPr>
        <w:t xml:space="preserve">Tecámac </w:t>
      </w:r>
      <w:r w:rsidRPr="00023C97">
        <w:rPr>
          <w:rFonts w:ascii="Palatino Linotype" w:hAnsi="Palatino Linotype" w:cs="Tahoma"/>
        </w:rPr>
        <w:t>entrega al Órgano Superior de Fiscalización.</w:t>
      </w:r>
    </w:p>
    <w:p w14:paraId="5B76E29F" w14:textId="77777777" w:rsidR="003E57D5" w:rsidRDefault="003E57D5" w:rsidP="003E57D5">
      <w:pPr>
        <w:spacing w:after="0" w:line="360" w:lineRule="auto"/>
        <w:ind w:right="49"/>
        <w:jc w:val="both"/>
        <w:rPr>
          <w:rFonts w:ascii="Palatino Linotype" w:hAnsi="Palatino Linotype" w:cs="Tahoma"/>
        </w:rPr>
      </w:pPr>
    </w:p>
    <w:p w14:paraId="7AE0D7C8" w14:textId="77777777" w:rsidR="003E57D5" w:rsidRDefault="003E57D5" w:rsidP="003E57D5">
      <w:pPr>
        <w:spacing w:after="0" w:line="360" w:lineRule="auto"/>
        <w:ind w:right="49"/>
        <w:jc w:val="both"/>
        <w:rPr>
          <w:rFonts w:ascii="Palatino Linotype" w:hAnsi="Palatino Linotype" w:cs="Tahoma"/>
        </w:rPr>
      </w:pPr>
      <w:r w:rsidRPr="00023C97">
        <w:rPr>
          <w:rFonts w:ascii="Palatino Linotype" w:hAnsi="Palatino Linotype" w:cs="Tahoma"/>
        </w:rPr>
        <w:t xml:space="preserve">Es valioso señalar que la afirmación, de que la información es localizable en el Ayuntamiento de </w:t>
      </w:r>
      <w:r>
        <w:rPr>
          <w:rFonts w:ascii="Palatino Linotype" w:hAnsi="Palatino Linotype" w:cs="Tahoma"/>
        </w:rPr>
        <w:t>Tecámac</w:t>
      </w:r>
      <w:r w:rsidRPr="00023C97">
        <w:rPr>
          <w:rFonts w:ascii="Palatino Linotype" w:hAnsi="Palatino Linotype" w:cs="Tahoma"/>
        </w:rPr>
        <w:t>, no es falsa, pues en efecto, es el Sujeto Obligado generador de la información, lo que no exime al Poder Legislativo a contar con ella en sus archivos, al respecto, el Instituto Nacional de Transparencia, Acceso a la Información Pública y Protección de Datos Personales (INAI), a través de su criterio histórico, con clave de control SO/015/2013, contempla la existencia de competencias concurrentes, en los siguientes términos:</w:t>
      </w:r>
    </w:p>
    <w:p w14:paraId="1EC314AF" w14:textId="77777777" w:rsidR="003E57D5" w:rsidRDefault="003E57D5" w:rsidP="003E57D5">
      <w:pPr>
        <w:spacing w:after="0" w:line="360" w:lineRule="auto"/>
        <w:ind w:right="49"/>
        <w:jc w:val="both"/>
        <w:rPr>
          <w:rFonts w:ascii="Palatino Linotype" w:hAnsi="Palatino Linotype" w:cs="Tahoma"/>
        </w:rPr>
      </w:pPr>
    </w:p>
    <w:p w14:paraId="3CFD4F52" w14:textId="77777777" w:rsidR="003E57D5" w:rsidRPr="00023C97" w:rsidRDefault="003E57D5" w:rsidP="003E57D5">
      <w:pPr>
        <w:spacing w:after="0" w:line="360" w:lineRule="auto"/>
        <w:ind w:left="567" w:right="567"/>
        <w:jc w:val="both"/>
        <w:rPr>
          <w:rFonts w:ascii="Palatino Linotype" w:hAnsi="Palatino Linotype" w:cs="Tahoma"/>
          <w:i/>
          <w:sz w:val="20"/>
        </w:rPr>
      </w:pPr>
      <w:r w:rsidRPr="00023C97">
        <w:rPr>
          <w:rFonts w:ascii="Palatino Linotype" w:hAnsi="Palatino Linotype" w:cs="Tahoma"/>
          <w:b/>
          <w:i/>
          <w:sz w:val="20"/>
        </w:rPr>
        <w:t>Competencia concurrente. Los sujetos obligados deberán proporcionar la información con la que cuenten y orientar al particular a las otras autoridades competentes.</w:t>
      </w:r>
      <w:r w:rsidRPr="00023C97">
        <w:rPr>
          <w:rFonts w:ascii="Palatino Linotype" w:hAnsi="Palatino Linotype" w:cs="Tahoma"/>
          <w:i/>
          <w:sz w:val="20"/>
        </w:rPr>
        <w:t xml:space="preserve"> De conformidad con lo dispuesto en el artículo 28, fracción III de la Ley Federal de Transparencia y Acceso a la Información Pública Gubernamental, cuando las dependencias y entidades de la Administración Pública Federal reciban una solicitud de acceso a información gubernamental que no sea de su competencia, deberán orientar al particular para que presente una nueva solicitud de acceso ante la Unidad de Enlace de la autoridad competente para conocer de la información. Ahora bien, cuando sobre una materia, el sujeto obligado tenga una competencia concurrente con otra u otras autoridades, deberá agotar el procedimiento de búsqueda de la información y proporcionar aquélla con la que cuente o, de no contar con ésta, deberá </w:t>
      </w:r>
      <w:r w:rsidRPr="00023C97">
        <w:rPr>
          <w:rFonts w:ascii="Palatino Linotype" w:hAnsi="Palatino Linotype" w:cs="Tahoma"/>
          <w:i/>
          <w:sz w:val="20"/>
        </w:rPr>
        <w:lastRenderedPageBreak/>
        <w:t>declarar formalmente la inexistencia y, en su caso, orientar al particular para que, de así considerarlo, presente su solicitud ante la dependencia o entidad que también tengan competencia para conocer de la información.</w:t>
      </w:r>
    </w:p>
    <w:p w14:paraId="5CD8DD25" w14:textId="77777777" w:rsidR="003E57D5" w:rsidRDefault="003E57D5" w:rsidP="003E57D5">
      <w:pPr>
        <w:spacing w:after="0" w:line="360" w:lineRule="auto"/>
        <w:ind w:right="49"/>
        <w:jc w:val="both"/>
        <w:rPr>
          <w:rFonts w:ascii="Palatino Linotype" w:hAnsi="Palatino Linotype" w:cs="Tahoma"/>
        </w:rPr>
      </w:pPr>
    </w:p>
    <w:p w14:paraId="06A8C4EA" w14:textId="77777777" w:rsidR="003E57D5" w:rsidRDefault="003E57D5" w:rsidP="003E57D5">
      <w:pPr>
        <w:spacing w:after="0" w:line="360" w:lineRule="auto"/>
        <w:ind w:right="49"/>
        <w:jc w:val="both"/>
        <w:rPr>
          <w:rFonts w:ascii="Palatino Linotype" w:hAnsi="Palatino Linotype" w:cs="Tahoma"/>
        </w:rPr>
      </w:pPr>
      <w:r w:rsidRPr="00023C97">
        <w:rPr>
          <w:rFonts w:ascii="Palatino Linotype" w:hAnsi="Palatino Linotype" w:cs="Tahoma"/>
        </w:rPr>
        <w:t xml:space="preserve">De lo anterior, se logra vislumbrar el interés legítimo del Particular en acceder a la información tanto en posesión del Ayuntamiento como la del Órgano Superior de Fiscalización, a fin de verificar el cumplimiento de las obligaciones y que permiten a la ciudadanía involucrarse de manera activa en la rendición de cuentas y combate a la corrupción, de tal manera que en el presente caso debió prevalecer el principio de máxima publicidad y ordenar al Órgano Superior de Fiscalización, </w:t>
      </w:r>
      <w:r>
        <w:rPr>
          <w:rFonts w:ascii="Palatino Linotype" w:hAnsi="Palatino Linotype" w:cs="Tahoma"/>
        </w:rPr>
        <w:t>atendiera el requerimiento del Particular</w:t>
      </w:r>
      <w:r w:rsidRPr="00023C97">
        <w:rPr>
          <w:rFonts w:ascii="Palatino Linotype" w:hAnsi="Palatino Linotype" w:cs="Tahoma"/>
        </w:rPr>
        <w:t xml:space="preserve"> y no confirmar la incompetencia de poseer la información.</w:t>
      </w:r>
      <w:bookmarkStart w:id="0" w:name="_GoBack"/>
      <w:bookmarkEnd w:id="0"/>
    </w:p>
    <w:p w14:paraId="1396EAC6" w14:textId="77777777" w:rsidR="003E57D5" w:rsidRPr="00274540" w:rsidRDefault="003E57D5" w:rsidP="003E57D5">
      <w:pPr>
        <w:spacing w:after="0" w:line="360" w:lineRule="auto"/>
        <w:ind w:right="49"/>
        <w:jc w:val="both"/>
        <w:rPr>
          <w:rFonts w:ascii="Palatino Linotype" w:hAnsi="Palatino Linotype" w:cs="Tahoma"/>
        </w:rPr>
      </w:pPr>
    </w:p>
    <w:p w14:paraId="1FB97663" w14:textId="0E5791E8" w:rsidR="003E57D5" w:rsidRDefault="003E57D5" w:rsidP="003E57D5">
      <w:pPr>
        <w:rPr>
          <w:rFonts w:ascii="Palatino Linotype" w:hAnsi="Palatino Linotype" w:cs="Tahoma"/>
          <w:lang w:val="es-MX"/>
        </w:rPr>
      </w:pPr>
      <w:r w:rsidRPr="00255AA8">
        <w:rPr>
          <w:rFonts w:ascii="Palatino Linotype" w:hAnsi="Palatino Linotype" w:cs="Tahoma"/>
          <w:lang w:val="es-MX"/>
        </w:rPr>
        <w:t>Así, con base en los razonamientos expuestos,</w:t>
      </w:r>
      <w:r>
        <w:rPr>
          <w:rFonts w:ascii="Palatino Linotype" w:hAnsi="Palatino Linotype" w:cs="Tahoma"/>
          <w:lang w:val="es-MX"/>
        </w:rPr>
        <w:t xml:space="preserve"> </w:t>
      </w:r>
      <w:r w:rsidRPr="00255AA8">
        <w:rPr>
          <w:rFonts w:ascii="Palatino Linotype" w:hAnsi="Palatino Linotype" w:cs="Tahoma"/>
          <w:lang w:val="es-MX"/>
        </w:rPr>
        <w:t xml:space="preserve">se emite el Presente </w:t>
      </w:r>
      <w:r w:rsidRPr="00274540">
        <w:rPr>
          <w:rFonts w:ascii="Palatino Linotype" w:hAnsi="Palatino Linotype" w:cs="Tahoma"/>
          <w:b/>
          <w:bCs/>
          <w:lang w:val="es-MX"/>
        </w:rPr>
        <w:t>Voto Disidente.</w:t>
      </w:r>
      <w:r>
        <w:rPr>
          <w:rFonts w:ascii="Palatino Linotype" w:hAnsi="Palatino Linotype" w:cs="Tahoma"/>
          <w:lang w:val="es-MX"/>
        </w:rPr>
        <w:t xml:space="preserve"> -------------------------------------------------------------------------------------------------------------------------------------------------</w:t>
      </w:r>
    </w:p>
    <w:p w14:paraId="22834E40" w14:textId="225DA7C5" w:rsidR="008B4767" w:rsidRDefault="008B4767">
      <w:pPr>
        <w:rPr>
          <w:rFonts w:ascii="Palatino Linotype" w:hAnsi="Palatino Linotype" w:cs="Tahoma"/>
          <w:lang w:val="es-MX"/>
        </w:rPr>
      </w:pPr>
      <w:r>
        <w:rPr>
          <w:rFonts w:ascii="Palatino Linotype" w:hAnsi="Palatino Linotype" w:cs="Tahoma"/>
          <w:lang w:val="es-MX"/>
        </w:rPr>
        <w:br w:type="page"/>
      </w:r>
    </w:p>
    <w:p w14:paraId="533F39B9" w14:textId="77777777" w:rsidR="00024AAF" w:rsidRDefault="00024AAF"/>
    <w:sectPr w:rsidR="00024AAF" w:rsidSect="007B2260">
      <w:headerReference w:type="default" r:id="rId6"/>
      <w:footerReference w:type="default" r:id="rId7"/>
      <w:pgSz w:w="12240" w:h="15840"/>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C8253" w14:textId="77777777" w:rsidR="0059496C" w:rsidRDefault="0059496C" w:rsidP="003E57D5">
      <w:pPr>
        <w:spacing w:after="0" w:line="240" w:lineRule="auto"/>
      </w:pPr>
      <w:r>
        <w:separator/>
      </w:r>
    </w:p>
  </w:endnote>
  <w:endnote w:type="continuationSeparator" w:id="0">
    <w:p w14:paraId="1BF78454" w14:textId="77777777" w:rsidR="0059496C" w:rsidRDefault="0059496C" w:rsidP="003E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321105"/>
      <w:docPartObj>
        <w:docPartGallery w:val="Page Numbers (Bottom of Page)"/>
        <w:docPartUnique/>
      </w:docPartObj>
    </w:sdtPr>
    <w:sdtEndPr/>
    <w:sdtContent>
      <w:sdt>
        <w:sdtPr>
          <w:id w:val="-1769616900"/>
          <w:docPartObj>
            <w:docPartGallery w:val="Page Numbers (Top of Page)"/>
            <w:docPartUnique/>
          </w:docPartObj>
        </w:sdtPr>
        <w:sdtEndPr/>
        <w:sdtContent>
          <w:p w14:paraId="4D28F400" w14:textId="77777777" w:rsidR="009805E5" w:rsidRDefault="0090339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1C1E77">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C1E77">
              <w:rPr>
                <w:b/>
                <w:bCs/>
                <w:noProof/>
              </w:rPr>
              <w:t>6</w:t>
            </w:r>
            <w:r>
              <w:rPr>
                <w:b/>
                <w:bCs/>
                <w:sz w:val="24"/>
                <w:szCs w:val="24"/>
              </w:rPr>
              <w:fldChar w:fldCharType="end"/>
            </w:r>
          </w:p>
        </w:sdtContent>
      </w:sdt>
    </w:sdtContent>
  </w:sdt>
  <w:p w14:paraId="372575BF" w14:textId="77777777" w:rsidR="009805E5" w:rsidRDefault="009805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D2552" w14:textId="77777777" w:rsidR="0059496C" w:rsidRDefault="0059496C" w:rsidP="003E57D5">
      <w:pPr>
        <w:spacing w:after="0" w:line="240" w:lineRule="auto"/>
      </w:pPr>
      <w:r>
        <w:separator/>
      </w:r>
    </w:p>
  </w:footnote>
  <w:footnote w:type="continuationSeparator" w:id="0">
    <w:p w14:paraId="02026883" w14:textId="77777777" w:rsidR="0059496C" w:rsidRDefault="0059496C" w:rsidP="003E5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5"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544"/>
    </w:tblGrid>
    <w:tr w:rsidR="007B2260" w:rsidRPr="007B2260" w14:paraId="7DC93BEB" w14:textId="77777777" w:rsidTr="007B2260">
      <w:trPr>
        <w:trHeight w:val="132"/>
      </w:trPr>
      <w:tc>
        <w:tcPr>
          <w:tcW w:w="2551" w:type="dxa"/>
        </w:tcPr>
        <w:p w14:paraId="6CE7A0EA" w14:textId="77777777" w:rsidR="009805E5" w:rsidRPr="007B2260" w:rsidRDefault="0090339B"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Voto Disidente</w:t>
          </w:r>
        </w:p>
      </w:tc>
      <w:tc>
        <w:tcPr>
          <w:tcW w:w="3544" w:type="dxa"/>
        </w:tcPr>
        <w:p w14:paraId="0D151B69" w14:textId="77777777" w:rsidR="009805E5" w:rsidRPr="007B2260" w:rsidRDefault="009805E5" w:rsidP="007B2260">
          <w:pPr>
            <w:tabs>
              <w:tab w:val="right" w:pos="8838"/>
            </w:tabs>
            <w:ind w:left="-111" w:right="-32"/>
            <w:rPr>
              <w:rFonts w:ascii="Palatino Linotype" w:eastAsia="Calibri" w:hAnsi="Palatino Linotype" w:cs="Tahoma"/>
              <w:lang w:val="es-MX"/>
            </w:rPr>
          </w:pPr>
        </w:p>
      </w:tc>
    </w:tr>
    <w:tr w:rsidR="007B2260" w:rsidRPr="007B2260" w14:paraId="1E5F2526" w14:textId="77777777" w:rsidTr="007B2260">
      <w:trPr>
        <w:trHeight w:val="132"/>
      </w:trPr>
      <w:tc>
        <w:tcPr>
          <w:tcW w:w="2551" w:type="dxa"/>
        </w:tcPr>
        <w:p w14:paraId="2C0CB017" w14:textId="77777777" w:rsidR="009805E5" w:rsidRPr="007B2260" w:rsidRDefault="0090339B"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Recurso de Revisión:</w:t>
          </w:r>
        </w:p>
      </w:tc>
      <w:tc>
        <w:tcPr>
          <w:tcW w:w="3544" w:type="dxa"/>
        </w:tcPr>
        <w:p w14:paraId="7DCC36CC" w14:textId="0DE2F3B7" w:rsidR="009805E5" w:rsidRPr="007B2260" w:rsidRDefault="003E57D5" w:rsidP="007B2260">
          <w:pPr>
            <w:tabs>
              <w:tab w:val="right" w:pos="8838"/>
            </w:tabs>
            <w:ind w:left="-111" w:right="-32"/>
            <w:rPr>
              <w:rFonts w:ascii="Palatino Linotype" w:eastAsia="Calibri" w:hAnsi="Palatino Linotype" w:cs="Tahoma"/>
            </w:rPr>
          </w:pPr>
          <w:r w:rsidRPr="003E57D5">
            <w:rPr>
              <w:rFonts w:ascii="Palatino Linotype" w:eastAsia="Calibri" w:hAnsi="Palatino Linotype" w:cs="Tahoma"/>
              <w:lang w:val="es-MX"/>
            </w:rPr>
            <w:t>15392/INFOEM/IP/RR/2022</w:t>
          </w:r>
        </w:p>
      </w:tc>
    </w:tr>
    <w:tr w:rsidR="007B2260" w:rsidRPr="007B2260" w14:paraId="4ED9D2BB" w14:textId="77777777" w:rsidTr="007B2260">
      <w:trPr>
        <w:trHeight w:val="261"/>
      </w:trPr>
      <w:tc>
        <w:tcPr>
          <w:tcW w:w="2551" w:type="dxa"/>
        </w:tcPr>
        <w:p w14:paraId="4320F227" w14:textId="77777777" w:rsidR="009805E5" w:rsidRPr="007B2260" w:rsidRDefault="0090339B"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Sujeto Obligado:</w:t>
          </w:r>
        </w:p>
      </w:tc>
      <w:tc>
        <w:tcPr>
          <w:tcW w:w="3544" w:type="dxa"/>
        </w:tcPr>
        <w:p w14:paraId="61F6A9B8" w14:textId="77777777" w:rsidR="009805E5" w:rsidRPr="007B2260" w:rsidRDefault="0090339B" w:rsidP="007B2260">
          <w:pPr>
            <w:tabs>
              <w:tab w:val="right" w:pos="8838"/>
            </w:tabs>
            <w:ind w:left="-111" w:right="-32"/>
            <w:rPr>
              <w:rFonts w:ascii="Palatino Linotype" w:eastAsia="Calibri" w:hAnsi="Palatino Linotype" w:cs="Tahoma"/>
              <w:lang w:val="es-MX"/>
            </w:rPr>
          </w:pPr>
          <w:r w:rsidRPr="00274540">
            <w:rPr>
              <w:rFonts w:ascii="Palatino Linotype" w:eastAsia="Calibri" w:hAnsi="Palatino Linotype" w:cs="Tahoma"/>
              <w:lang w:val="es-MX"/>
            </w:rPr>
            <w:t>Poder Legislativo</w:t>
          </w:r>
        </w:p>
      </w:tc>
    </w:tr>
    <w:tr w:rsidR="007B2260" w:rsidRPr="007B2260" w14:paraId="41A86EDB" w14:textId="77777777" w:rsidTr="007B2260">
      <w:trPr>
        <w:trHeight w:val="261"/>
      </w:trPr>
      <w:tc>
        <w:tcPr>
          <w:tcW w:w="2551" w:type="dxa"/>
        </w:tcPr>
        <w:p w14:paraId="15763670" w14:textId="77777777" w:rsidR="009805E5" w:rsidRPr="007B2260" w:rsidRDefault="0090339B"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Comisionado Ponente:</w:t>
          </w:r>
        </w:p>
      </w:tc>
      <w:tc>
        <w:tcPr>
          <w:tcW w:w="3544" w:type="dxa"/>
        </w:tcPr>
        <w:p w14:paraId="73132CBE" w14:textId="10FD631E" w:rsidR="009805E5" w:rsidRPr="007B2260" w:rsidRDefault="003E57D5" w:rsidP="007B2260">
          <w:pPr>
            <w:tabs>
              <w:tab w:val="right" w:pos="8838"/>
            </w:tabs>
            <w:ind w:left="-111" w:right="-32"/>
            <w:rPr>
              <w:rFonts w:ascii="Palatino Linotype" w:eastAsia="Calibri" w:hAnsi="Palatino Linotype" w:cs="Tahoma"/>
              <w:bCs/>
              <w:lang w:val="es-MX"/>
            </w:rPr>
          </w:pPr>
          <w:r w:rsidRPr="003E57D5">
            <w:rPr>
              <w:rFonts w:ascii="Palatino Linotype" w:eastAsia="Calibri" w:hAnsi="Palatino Linotype" w:cs="Tahoma"/>
              <w:bCs/>
              <w:lang w:val="es-ES_tradnl"/>
            </w:rPr>
            <w:t>Sharon Cristina Morales Martínez</w:t>
          </w:r>
        </w:p>
      </w:tc>
    </w:tr>
    <w:tr w:rsidR="007B2260" w:rsidRPr="007B2260" w14:paraId="5511086E" w14:textId="77777777" w:rsidTr="007B2260">
      <w:trPr>
        <w:trHeight w:val="261"/>
      </w:trPr>
      <w:tc>
        <w:tcPr>
          <w:tcW w:w="2551" w:type="dxa"/>
        </w:tcPr>
        <w:p w14:paraId="75B1AEE2" w14:textId="77777777" w:rsidR="009805E5" w:rsidRPr="007B2260" w:rsidRDefault="009805E5" w:rsidP="007B2260">
          <w:pPr>
            <w:tabs>
              <w:tab w:val="right" w:pos="8838"/>
            </w:tabs>
            <w:ind w:right="-105"/>
            <w:rPr>
              <w:rFonts w:ascii="Palatino Linotype" w:eastAsia="Calibri" w:hAnsi="Palatino Linotype" w:cs="Tahoma"/>
              <w:b/>
              <w:lang w:val="es-MX"/>
            </w:rPr>
          </w:pPr>
        </w:p>
      </w:tc>
      <w:tc>
        <w:tcPr>
          <w:tcW w:w="3544" w:type="dxa"/>
        </w:tcPr>
        <w:p w14:paraId="3C8F0073" w14:textId="77777777" w:rsidR="009805E5" w:rsidRPr="007B2260" w:rsidRDefault="009805E5" w:rsidP="007B2260">
          <w:pPr>
            <w:tabs>
              <w:tab w:val="right" w:pos="8838"/>
            </w:tabs>
            <w:ind w:left="-111" w:right="-32"/>
            <w:rPr>
              <w:rFonts w:ascii="Palatino Linotype" w:eastAsia="Calibri" w:hAnsi="Palatino Linotype" w:cs="Tahoma"/>
              <w:bCs/>
              <w:lang w:val="es-ES_tradnl"/>
            </w:rPr>
          </w:pPr>
        </w:p>
      </w:tc>
    </w:tr>
  </w:tbl>
  <w:p w14:paraId="097D36D6" w14:textId="77777777" w:rsidR="009805E5" w:rsidRDefault="0090339B">
    <w:pPr>
      <w:pStyle w:val="Encabezado"/>
    </w:pPr>
    <w:r>
      <w:rPr>
        <w:noProof/>
        <w:sz w:val="10"/>
        <w:szCs w:val="10"/>
        <w:lang w:val="es-MX" w:eastAsia="es-MX"/>
      </w:rPr>
      <w:drawing>
        <wp:anchor distT="0" distB="0" distL="114300" distR="114300" simplePos="0" relativeHeight="251659264" behindDoc="0" locked="0" layoutInCell="1" allowOverlap="1" wp14:anchorId="60E0697D" wp14:editId="1C3BD2E7">
          <wp:simplePos x="0" y="0"/>
          <wp:positionH relativeFrom="column">
            <wp:posOffset>11430</wp:posOffset>
          </wp:positionH>
          <wp:positionV relativeFrom="paragraph">
            <wp:posOffset>-1219200</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7D5"/>
    <w:rsid w:val="00024AAF"/>
    <w:rsid w:val="001C1E77"/>
    <w:rsid w:val="002835A5"/>
    <w:rsid w:val="00353BD1"/>
    <w:rsid w:val="003E57D5"/>
    <w:rsid w:val="0059496C"/>
    <w:rsid w:val="00705341"/>
    <w:rsid w:val="007F6B80"/>
    <w:rsid w:val="008B4767"/>
    <w:rsid w:val="0090339B"/>
    <w:rsid w:val="009805E5"/>
    <w:rsid w:val="00C57F98"/>
    <w:rsid w:val="00CE2392"/>
    <w:rsid w:val="00E86E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B369"/>
  <w15:chartTrackingRefBased/>
  <w15:docId w15:val="{1197B0A7-D97F-46C9-90C5-B3FC7205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7D5"/>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57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57D5"/>
    <w:rPr>
      <w:kern w:val="0"/>
      <w:lang w:val="es-ES"/>
      <w14:ligatures w14:val="none"/>
    </w:rPr>
  </w:style>
  <w:style w:type="paragraph" w:styleId="Piedepgina">
    <w:name w:val="footer"/>
    <w:basedOn w:val="Normal"/>
    <w:link w:val="PiedepginaCar"/>
    <w:uiPriority w:val="99"/>
    <w:unhideWhenUsed/>
    <w:rsid w:val="003E57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57D5"/>
    <w:rPr>
      <w:kern w:val="0"/>
      <w:lang w:val="es-ES"/>
      <w14:ligatures w14:val="none"/>
    </w:rPr>
  </w:style>
  <w:style w:type="table" w:styleId="Tablaconcuadrcula">
    <w:name w:val="Table Grid"/>
    <w:basedOn w:val="Tablanormal"/>
    <w:uiPriority w:val="59"/>
    <w:qFormat/>
    <w:rsid w:val="003E57D5"/>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1478</Words>
  <Characters>8134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Cuenta Microsoft</cp:lastModifiedBy>
  <cp:revision>3</cp:revision>
  <dcterms:created xsi:type="dcterms:W3CDTF">2023-08-11T15:54:00Z</dcterms:created>
  <dcterms:modified xsi:type="dcterms:W3CDTF">2023-08-14T17:32:00Z</dcterms:modified>
</cp:coreProperties>
</file>