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33F8" w14:textId="77777777" w:rsidR="00C9333D" w:rsidRDefault="003A128B">
      <w:pPr>
        <w:widowControl w:val="0"/>
        <w:pBdr>
          <w:top w:val="nil"/>
          <w:left w:val="nil"/>
          <w:bottom w:val="nil"/>
          <w:right w:val="nil"/>
          <w:between w:val="nil"/>
        </w:pBdr>
        <w:spacing w:after="0" w:line="360" w:lineRule="auto"/>
        <w:jc w:val="both"/>
      </w:pPr>
      <w:r>
        <w:rPr>
          <w:rFonts w:ascii="Palatino Linotype" w:eastAsia="Palatino Linotype" w:hAnsi="Palatino Linotype" w:cs="Palatino Linotype"/>
          <w:b/>
          <w:sz w:val="24"/>
          <w:szCs w:val="24"/>
        </w:rPr>
        <w:t>VOTO DISIDENTE QUE F</w:t>
      </w:r>
      <w:r>
        <w:rPr>
          <w:rFonts w:ascii="Palatino Linotype" w:eastAsia="Palatino Linotype" w:hAnsi="Palatino Linotype" w:cs="Palatino Linotype"/>
          <w:b/>
          <w:color w:val="000000"/>
          <w:sz w:val="24"/>
          <w:szCs w:val="24"/>
        </w:rPr>
        <w:t>ORMULA</w:t>
      </w:r>
      <w:r>
        <w:rPr>
          <w:rFonts w:ascii="Palatino Linotype" w:eastAsia="Palatino Linotype" w:hAnsi="Palatino Linotype" w:cs="Palatino Linotype"/>
          <w:b/>
          <w:sz w:val="24"/>
          <w:szCs w:val="24"/>
        </w:rPr>
        <w:t xml:space="preserve"> LA COMISIONADA GUADALUPE RAMÍREZ PEÑA, EN RELACIÓN CON LA RESOLUCIÓN DICTADA POR EL PLENO DEL INSTITUTO DE TRANSPARENCIA, ACCESO A LA INFORMACIÓN PÚBLICA Y PROTECCIÓN DE DATOS PERSONALES DEL ESTADO DE MÉXICO Y MUNICIPIOS, EN LA CUADRAGÉSIMA CUARTA SESIÓN ORDINARIA DEL SEIS DE DICIEMBRE DE DOS MIL VEINTITRÉS, EN EL RECURSO DE REVISIÓN 01870/INFOEM/IP/RR/2023 y 01872/INFOEM/IP/RR/2023 ACUMULADOS.</w:t>
      </w:r>
    </w:p>
    <w:p w14:paraId="483FAA1A" w14:textId="77777777" w:rsidR="00C9333D" w:rsidRDefault="00C9333D">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FF0000"/>
          <w:sz w:val="24"/>
          <w:szCs w:val="24"/>
        </w:rPr>
      </w:pPr>
    </w:p>
    <w:p w14:paraId="4D6D8EC5" w14:textId="77777777" w:rsidR="00C9333D" w:rsidRDefault="003A128B">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fundamento en lo dispuesto por el artículo 14, fracciones X y XI, del Reglamento del Instituto de Transparencia, Acceso a la Información Pública y Protección de Datos Personales del Estado de México y Municipios, la que suscribe emite VOTO DISIDENTE respecto a la resolución dictada en los recursos de revisión 01870/INFOEM/IP/RR/2023 y 01872/INFOEM/IP/RR/2023 ACUMULADOS, pronunciada por el Pleno de este Instituto ante el proyecto presentado por el Comisionado Presidente José Martínez Vilchis, el cual fue resuelto conforme al criterio mayoritario que es del tenor siguiente:</w:t>
      </w:r>
    </w:p>
    <w:p w14:paraId="7F0B07E9" w14:textId="77777777" w:rsidR="00C9333D" w:rsidRDefault="00C9333D">
      <w:pPr>
        <w:spacing w:after="0" w:line="360" w:lineRule="auto"/>
        <w:jc w:val="both"/>
        <w:rPr>
          <w:rFonts w:ascii="Palatino Linotype" w:eastAsia="Palatino Linotype" w:hAnsi="Palatino Linotype" w:cs="Palatino Linotype"/>
          <w:color w:val="000000"/>
          <w:sz w:val="24"/>
          <w:szCs w:val="24"/>
        </w:rPr>
      </w:pPr>
    </w:p>
    <w:p w14:paraId="653B6882" w14:textId="77777777" w:rsidR="00C9333D" w:rsidRDefault="003A128B">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 Antecedentes.</w:t>
      </w:r>
    </w:p>
    <w:p w14:paraId="33252E9A" w14:textId="77777777" w:rsidR="00C9333D" w:rsidRDefault="00C9333D">
      <w:pPr>
        <w:spacing w:after="0" w:line="360" w:lineRule="auto"/>
        <w:jc w:val="both"/>
        <w:rPr>
          <w:rFonts w:ascii="Palatino Linotype" w:eastAsia="Palatino Linotype" w:hAnsi="Palatino Linotype" w:cs="Palatino Linotype"/>
          <w:color w:val="FF0000"/>
          <w:sz w:val="24"/>
          <w:szCs w:val="24"/>
        </w:rPr>
      </w:pPr>
    </w:p>
    <w:p w14:paraId="34798896"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desprende de la Resolución que nos ocupa, la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tbl>
      <w:tblPr>
        <w:tblStyle w:val="a"/>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5"/>
        <w:gridCol w:w="5293"/>
      </w:tblGrid>
      <w:tr w:rsidR="00C9333D" w14:paraId="21F7BCED" w14:textId="77777777">
        <w:trPr>
          <w:trHeight w:val="696"/>
        </w:trPr>
        <w:tc>
          <w:tcPr>
            <w:tcW w:w="3535" w:type="dxa"/>
            <w:shd w:val="clear" w:color="auto" w:fill="D9D9D9"/>
            <w:vAlign w:val="center"/>
          </w:tcPr>
          <w:p w14:paraId="3579B6A3" w14:textId="77777777" w:rsidR="00C9333D" w:rsidRDefault="003A128B">
            <w:pPr>
              <w:jc w:val="center"/>
              <w:rPr>
                <w:rFonts w:ascii="Palatino Linotype" w:eastAsia="Palatino Linotype" w:hAnsi="Palatino Linotype" w:cs="Palatino Linotype"/>
                <w:b/>
                <w:i/>
              </w:rPr>
            </w:pPr>
            <w:r>
              <w:rPr>
                <w:rFonts w:ascii="Palatino Linotype" w:eastAsia="Palatino Linotype" w:hAnsi="Palatino Linotype" w:cs="Palatino Linotype"/>
                <w:b/>
                <w:i/>
              </w:rPr>
              <w:lastRenderedPageBreak/>
              <w:t>Número de folio de la solicitud</w:t>
            </w:r>
          </w:p>
        </w:tc>
        <w:tc>
          <w:tcPr>
            <w:tcW w:w="5293" w:type="dxa"/>
            <w:shd w:val="clear" w:color="auto" w:fill="D9D9D9"/>
            <w:vAlign w:val="center"/>
          </w:tcPr>
          <w:p w14:paraId="19606462" w14:textId="77777777" w:rsidR="00C9333D" w:rsidRDefault="003A128B">
            <w:pPr>
              <w:jc w:val="center"/>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tc>
      </w:tr>
      <w:tr w:rsidR="00C9333D" w14:paraId="5DC7DECE" w14:textId="77777777">
        <w:trPr>
          <w:trHeight w:val="460"/>
        </w:trPr>
        <w:tc>
          <w:tcPr>
            <w:tcW w:w="3535" w:type="dxa"/>
            <w:vAlign w:val="center"/>
          </w:tcPr>
          <w:p w14:paraId="381781DA" w14:textId="77777777" w:rsidR="00C9333D" w:rsidRDefault="003A128B">
            <w:pPr>
              <w:jc w:val="center"/>
              <w:rPr>
                <w:rFonts w:ascii="Palatino Linotype" w:eastAsia="Palatino Linotype" w:hAnsi="Palatino Linotype" w:cs="Palatino Linotype"/>
                <w:b/>
                <w:i/>
              </w:rPr>
            </w:pPr>
            <w:bookmarkStart w:id="0" w:name="_heading=h.gjdgxs" w:colFirst="0" w:colLast="0"/>
            <w:bookmarkEnd w:id="0"/>
            <w:r>
              <w:rPr>
                <w:rFonts w:ascii="Palatino Linotype" w:eastAsia="Palatino Linotype" w:hAnsi="Palatino Linotype" w:cs="Palatino Linotype"/>
                <w:b/>
                <w:sz w:val="24"/>
                <w:szCs w:val="24"/>
              </w:rPr>
              <w:t>00010/UTNEZA/IP/2023</w:t>
            </w:r>
          </w:p>
        </w:tc>
        <w:tc>
          <w:tcPr>
            <w:tcW w:w="5293" w:type="dxa"/>
            <w:vAlign w:val="center"/>
          </w:tcPr>
          <w:p w14:paraId="78DD530C" w14:textId="77777777" w:rsidR="00C9333D" w:rsidRDefault="003A128B">
            <w:pPr>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0"/>
                <w:szCs w:val="20"/>
              </w:rPr>
              <w:t xml:space="preserve">“La Lic. Cynthia Robledo Mancera, Jefa del Departamento de Fomento Cultural y Deportivo </w:t>
            </w:r>
            <w:proofErr w:type="spellStart"/>
            <w:r>
              <w:rPr>
                <w:rFonts w:ascii="Palatino Linotype" w:eastAsia="Palatino Linotype" w:hAnsi="Palatino Linotype" w:cs="Palatino Linotype"/>
                <w:i/>
                <w:sz w:val="20"/>
                <w:szCs w:val="20"/>
              </w:rPr>
              <w:t>envio</w:t>
            </w:r>
            <w:proofErr w:type="spellEnd"/>
            <w:r>
              <w:rPr>
                <w:rFonts w:ascii="Palatino Linotype" w:eastAsia="Palatino Linotype" w:hAnsi="Palatino Linotype" w:cs="Palatino Linotype"/>
                <w:i/>
                <w:sz w:val="20"/>
                <w:szCs w:val="20"/>
              </w:rPr>
              <w:t xml:space="preserve"> a las Direcciones, Subdirecciones, Jefaturas, y </w:t>
            </w:r>
            <w:proofErr w:type="spellStart"/>
            <w:r>
              <w:rPr>
                <w:rFonts w:ascii="Palatino Linotype" w:eastAsia="Palatino Linotype" w:hAnsi="Palatino Linotype" w:cs="Palatino Linotype"/>
                <w:i/>
                <w:sz w:val="20"/>
                <w:szCs w:val="20"/>
              </w:rPr>
              <w:t>demas</w:t>
            </w:r>
            <w:proofErr w:type="spellEnd"/>
            <w:r>
              <w:rPr>
                <w:rFonts w:ascii="Palatino Linotype" w:eastAsia="Palatino Linotype" w:hAnsi="Palatino Linotype" w:cs="Palatino Linotype"/>
                <w:i/>
                <w:sz w:val="20"/>
                <w:szCs w:val="20"/>
              </w:rPr>
              <w:t xml:space="preserve"> unidades administrativas el calendario Anual 2023, asignando por fecha a cada unidad administrativa como responsable de gestionar y coordinar el Acto </w:t>
            </w:r>
            <w:proofErr w:type="spellStart"/>
            <w:r>
              <w:rPr>
                <w:rFonts w:ascii="Palatino Linotype" w:eastAsia="Palatino Linotype" w:hAnsi="Palatino Linotype" w:cs="Palatino Linotype"/>
                <w:i/>
                <w:sz w:val="20"/>
                <w:szCs w:val="20"/>
              </w:rPr>
              <w:t>Civico</w:t>
            </w:r>
            <w:proofErr w:type="spellEnd"/>
            <w:r>
              <w:rPr>
                <w:rFonts w:ascii="Palatino Linotype" w:eastAsia="Palatino Linotype" w:hAnsi="Palatino Linotype" w:cs="Palatino Linotype"/>
                <w:i/>
                <w:sz w:val="20"/>
                <w:szCs w:val="20"/>
              </w:rPr>
              <w:t xml:space="preserve"> con Honores a la Bandera, no cumpliendo con sus funciones de acuerdo al Manual General de Organización de fecha junio 2012, publicado en la Gaceta de Gobierno N.18 de fecha 30 de julio de 2012, pagina 83 y 83 en donde especifica que el 205F11001 Departamento de Fomento Cultural y Deportivo tiene como FUNCION implementar y coordinar el establecimiento de las estrategias y actividades que permitan la conmemoración de las fechas cívicas importantes, para fortalecer la identidad nacional y la vida cívica de la comunidad. Por lo anterior, </w:t>
            </w:r>
            <w:r>
              <w:rPr>
                <w:rFonts w:ascii="Palatino Linotype" w:eastAsia="Palatino Linotype" w:hAnsi="Palatino Linotype" w:cs="Palatino Linotype"/>
                <w:b/>
                <w:i/>
                <w:sz w:val="20"/>
                <w:szCs w:val="20"/>
                <w:u w:val="single"/>
              </w:rPr>
              <w:t xml:space="preserve">solicito el documento oficial firmado por la autoridad superior a la Lic. Cynthia Robledo Mancera, donde se le autoriza dicho calendario, </w:t>
            </w:r>
            <w:proofErr w:type="spellStart"/>
            <w:r>
              <w:rPr>
                <w:rFonts w:ascii="Palatino Linotype" w:eastAsia="Palatino Linotype" w:hAnsi="Palatino Linotype" w:cs="Palatino Linotype"/>
                <w:b/>
                <w:i/>
                <w:sz w:val="20"/>
                <w:szCs w:val="20"/>
                <w:u w:val="single"/>
              </w:rPr>
              <w:t>instruccion</w:t>
            </w:r>
            <w:proofErr w:type="spellEnd"/>
            <w:r>
              <w:rPr>
                <w:rFonts w:ascii="Palatino Linotype" w:eastAsia="Palatino Linotype" w:hAnsi="Palatino Linotype" w:cs="Palatino Linotype"/>
                <w:b/>
                <w:i/>
                <w:sz w:val="20"/>
                <w:szCs w:val="20"/>
                <w:u w:val="single"/>
              </w:rPr>
              <w:t xml:space="preserve"> y </w:t>
            </w:r>
            <w:proofErr w:type="spellStart"/>
            <w:r>
              <w:rPr>
                <w:rFonts w:ascii="Palatino Linotype" w:eastAsia="Palatino Linotype" w:hAnsi="Palatino Linotype" w:cs="Palatino Linotype"/>
                <w:b/>
                <w:i/>
                <w:sz w:val="20"/>
                <w:szCs w:val="20"/>
                <w:u w:val="single"/>
              </w:rPr>
              <w:t>asignacion</w:t>
            </w:r>
            <w:proofErr w:type="spellEnd"/>
            <w:r>
              <w:rPr>
                <w:rFonts w:ascii="Palatino Linotype" w:eastAsia="Palatino Linotype" w:hAnsi="Palatino Linotype" w:cs="Palatino Linotype"/>
                <w:b/>
                <w:i/>
                <w:sz w:val="20"/>
                <w:szCs w:val="20"/>
                <w:u w:val="single"/>
              </w:rPr>
              <w:t xml:space="preserve"> a las unidades administrativas, para que realicen los actos </w:t>
            </w:r>
            <w:proofErr w:type="spellStart"/>
            <w:r>
              <w:rPr>
                <w:rFonts w:ascii="Palatino Linotype" w:eastAsia="Palatino Linotype" w:hAnsi="Palatino Linotype" w:cs="Palatino Linotype"/>
                <w:b/>
                <w:i/>
                <w:sz w:val="20"/>
                <w:szCs w:val="20"/>
                <w:u w:val="single"/>
              </w:rPr>
              <w:t>civicos</w:t>
            </w:r>
            <w:proofErr w:type="spellEnd"/>
            <w:r>
              <w:rPr>
                <w:rFonts w:ascii="Palatino Linotype" w:eastAsia="Palatino Linotype" w:hAnsi="Palatino Linotype" w:cs="Palatino Linotype"/>
                <w:b/>
                <w:i/>
                <w:sz w:val="20"/>
                <w:szCs w:val="20"/>
                <w:u w:val="single"/>
              </w:rPr>
              <w:t xml:space="preserve"> todos los lunes</w:t>
            </w:r>
            <w:r>
              <w:rPr>
                <w:rFonts w:ascii="Palatino Linotype" w:eastAsia="Palatino Linotype" w:hAnsi="Palatino Linotype" w:cs="Palatino Linotype"/>
                <w:i/>
                <w:sz w:val="20"/>
                <w:szCs w:val="20"/>
              </w:rPr>
              <w:t xml:space="preserve">. De no contar con el documento de </w:t>
            </w:r>
            <w:proofErr w:type="spellStart"/>
            <w:r>
              <w:rPr>
                <w:rFonts w:ascii="Palatino Linotype" w:eastAsia="Palatino Linotype" w:hAnsi="Palatino Linotype" w:cs="Palatino Linotype"/>
                <w:i/>
                <w:sz w:val="20"/>
                <w:szCs w:val="20"/>
              </w:rPr>
              <w:t>autorizacion</w:t>
            </w:r>
            <w:proofErr w:type="spellEnd"/>
            <w:r>
              <w:rPr>
                <w:rFonts w:ascii="Palatino Linotype" w:eastAsia="Palatino Linotype" w:hAnsi="Palatino Linotype" w:cs="Palatino Linotype"/>
                <w:i/>
                <w:sz w:val="20"/>
                <w:szCs w:val="20"/>
              </w:rPr>
              <w:t xml:space="preserve">, entonces el </w:t>
            </w:r>
            <w:r>
              <w:rPr>
                <w:rFonts w:ascii="Palatino Linotype" w:eastAsia="Palatino Linotype" w:hAnsi="Palatino Linotype" w:cs="Palatino Linotype"/>
                <w:b/>
                <w:i/>
                <w:sz w:val="20"/>
                <w:szCs w:val="20"/>
                <w:u w:val="single"/>
              </w:rPr>
              <w:t xml:space="preserve">correo </w:t>
            </w:r>
            <w:proofErr w:type="spellStart"/>
            <w:r>
              <w:rPr>
                <w:rFonts w:ascii="Palatino Linotype" w:eastAsia="Palatino Linotype" w:hAnsi="Palatino Linotype" w:cs="Palatino Linotype"/>
                <w:b/>
                <w:i/>
                <w:sz w:val="20"/>
                <w:szCs w:val="20"/>
                <w:u w:val="single"/>
              </w:rPr>
              <w:t>electronico</w:t>
            </w:r>
            <w:proofErr w:type="spellEnd"/>
            <w:r>
              <w:rPr>
                <w:rFonts w:ascii="Palatino Linotype" w:eastAsia="Palatino Linotype" w:hAnsi="Palatino Linotype" w:cs="Palatino Linotype"/>
                <w:b/>
                <w:i/>
                <w:sz w:val="20"/>
                <w:szCs w:val="20"/>
                <w:u w:val="single"/>
              </w:rPr>
              <w:t xml:space="preserve"> </w:t>
            </w:r>
            <w:proofErr w:type="spellStart"/>
            <w:r>
              <w:rPr>
                <w:rFonts w:ascii="Palatino Linotype" w:eastAsia="Palatino Linotype" w:hAnsi="Palatino Linotype" w:cs="Palatino Linotype"/>
                <w:b/>
                <w:i/>
                <w:sz w:val="20"/>
                <w:szCs w:val="20"/>
                <w:u w:val="single"/>
              </w:rPr>
              <w:t>intitucional</w:t>
            </w:r>
            <w:proofErr w:type="spellEnd"/>
            <w:r>
              <w:rPr>
                <w:rFonts w:ascii="Palatino Linotype" w:eastAsia="Palatino Linotype" w:hAnsi="Palatino Linotype" w:cs="Palatino Linotype"/>
                <w:b/>
                <w:i/>
                <w:sz w:val="20"/>
                <w:szCs w:val="20"/>
                <w:u w:val="single"/>
              </w:rPr>
              <w:t xml:space="preserve"> por la autoridad superior a la Lic. Cynthia Robledo Mancera, donde se le autoriza dicho calendario e </w:t>
            </w:r>
            <w:proofErr w:type="spellStart"/>
            <w:r>
              <w:rPr>
                <w:rFonts w:ascii="Palatino Linotype" w:eastAsia="Palatino Linotype" w:hAnsi="Palatino Linotype" w:cs="Palatino Linotype"/>
                <w:b/>
                <w:i/>
                <w:sz w:val="20"/>
                <w:szCs w:val="20"/>
                <w:u w:val="single"/>
              </w:rPr>
              <w:t>instruccion</w:t>
            </w:r>
            <w:proofErr w:type="spellEnd"/>
            <w:r>
              <w:rPr>
                <w:rFonts w:ascii="Palatino Linotype" w:eastAsia="Palatino Linotype" w:hAnsi="Palatino Linotype" w:cs="Palatino Linotype"/>
                <w:i/>
                <w:sz w:val="20"/>
                <w:szCs w:val="20"/>
              </w:rPr>
              <w:t xml:space="preserve">. De no contar con el documento de </w:t>
            </w:r>
            <w:proofErr w:type="spellStart"/>
            <w:r>
              <w:rPr>
                <w:rFonts w:ascii="Palatino Linotype" w:eastAsia="Palatino Linotype" w:hAnsi="Palatino Linotype" w:cs="Palatino Linotype"/>
                <w:i/>
                <w:sz w:val="20"/>
                <w:szCs w:val="20"/>
              </w:rPr>
              <w:t>autorizacion</w:t>
            </w:r>
            <w:proofErr w:type="spellEnd"/>
            <w:r>
              <w:rPr>
                <w:rFonts w:ascii="Palatino Linotype" w:eastAsia="Palatino Linotype" w:hAnsi="Palatino Linotype" w:cs="Palatino Linotype"/>
                <w:i/>
                <w:sz w:val="20"/>
                <w:szCs w:val="20"/>
              </w:rPr>
              <w:t xml:space="preserve"> por la autoridad superior a la Lic. Cynthia Robledo Mancera y el correo </w:t>
            </w:r>
            <w:proofErr w:type="spellStart"/>
            <w:r>
              <w:rPr>
                <w:rFonts w:ascii="Palatino Linotype" w:eastAsia="Palatino Linotype" w:hAnsi="Palatino Linotype" w:cs="Palatino Linotype"/>
                <w:i/>
                <w:sz w:val="20"/>
                <w:szCs w:val="20"/>
              </w:rPr>
              <w:t>electronico</w:t>
            </w:r>
            <w:proofErr w:type="spellEnd"/>
            <w:r>
              <w:rPr>
                <w:rFonts w:ascii="Palatino Linotype" w:eastAsia="Palatino Linotype" w:hAnsi="Palatino Linotype" w:cs="Palatino Linotype"/>
                <w:i/>
                <w:sz w:val="20"/>
                <w:szCs w:val="20"/>
              </w:rPr>
              <w:t xml:space="preserve"> institucional, entonces solicito por este medio que la Lic. Cynthia Robledo Mancera </w:t>
            </w:r>
            <w:r>
              <w:rPr>
                <w:rFonts w:ascii="Palatino Linotype" w:eastAsia="Palatino Linotype" w:hAnsi="Palatino Linotype" w:cs="Palatino Linotype"/>
                <w:b/>
                <w:i/>
                <w:sz w:val="20"/>
                <w:szCs w:val="20"/>
                <w:u w:val="single"/>
              </w:rPr>
              <w:t xml:space="preserve">documento simple donde detalla quien cuando y como se le autorizo calendario anual </w:t>
            </w:r>
            <w:proofErr w:type="gramStart"/>
            <w:r>
              <w:rPr>
                <w:rFonts w:ascii="Palatino Linotype" w:eastAsia="Palatino Linotype" w:hAnsi="Palatino Linotype" w:cs="Palatino Linotype"/>
                <w:b/>
                <w:i/>
                <w:sz w:val="20"/>
                <w:szCs w:val="20"/>
                <w:u w:val="single"/>
              </w:rPr>
              <w:t>2023 ,</w:t>
            </w:r>
            <w:proofErr w:type="gramEnd"/>
            <w:r>
              <w:rPr>
                <w:rFonts w:ascii="Palatino Linotype" w:eastAsia="Palatino Linotype" w:hAnsi="Palatino Linotype" w:cs="Palatino Linotype"/>
                <w:b/>
                <w:i/>
                <w:sz w:val="20"/>
                <w:szCs w:val="20"/>
                <w:u w:val="single"/>
              </w:rPr>
              <w:t xml:space="preserve"> </w:t>
            </w:r>
            <w:proofErr w:type="spellStart"/>
            <w:r>
              <w:rPr>
                <w:rFonts w:ascii="Palatino Linotype" w:eastAsia="Palatino Linotype" w:hAnsi="Palatino Linotype" w:cs="Palatino Linotype"/>
                <w:b/>
                <w:i/>
                <w:sz w:val="20"/>
                <w:szCs w:val="20"/>
                <w:u w:val="single"/>
              </w:rPr>
              <w:t>instruccion</w:t>
            </w:r>
            <w:proofErr w:type="spellEnd"/>
            <w:r>
              <w:rPr>
                <w:rFonts w:ascii="Palatino Linotype" w:eastAsia="Palatino Linotype" w:hAnsi="Palatino Linotype" w:cs="Palatino Linotype"/>
                <w:b/>
                <w:i/>
                <w:sz w:val="20"/>
                <w:szCs w:val="20"/>
                <w:u w:val="single"/>
              </w:rPr>
              <w:t xml:space="preserve"> y </w:t>
            </w:r>
            <w:proofErr w:type="spellStart"/>
            <w:r>
              <w:rPr>
                <w:rFonts w:ascii="Palatino Linotype" w:eastAsia="Palatino Linotype" w:hAnsi="Palatino Linotype" w:cs="Palatino Linotype"/>
                <w:b/>
                <w:i/>
                <w:sz w:val="20"/>
                <w:szCs w:val="20"/>
                <w:u w:val="single"/>
              </w:rPr>
              <w:t>asignacion</w:t>
            </w:r>
            <w:proofErr w:type="spellEnd"/>
            <w:r>
              <w:rPr>
                <w:rFonts w:ascii="Palatino Linotype" w:eastAsia="Palatino Linotype" w:hAnsi="Palatino Linotype" w:cs="Palatino Linotype"/>
                <w:b/>
                <w:i/>
                <w:sz w:val="20"/>
                <w:szCs w:val="20"/>
                <w:u w:val="single"/>
              </w:rPr>
              <w:t xml:space="preserve"> a las unidades administrativas, para que realicen los actos </w:t>
            </w:r>
            <w:proofErr w:type="spellStart"/>
            <w:r>
              <w:rPr>
                <w:rFonts w:ascii="Palatino Linotype" w:eastAsia="Palatino Linotype" w:hAnsi="Palatino Linotype" w:cs="Palatino Linotype"/>
                <w:b/>
                <w:i/>
                <w:sz w:val="20"/>
                <w:szCs w:val="20"/>
                <w:u w:val="single"/>
              </w:rPr>
              <w:t>civicos</w:t>
            </w:r>
            <w:proofErr w:type="spellEnd"/>
            <w:r>
              <w:rPr>
                <w:rFonts w:ascii="Palatino Linotype" w:eastAsia="Palatino Linotype" w:hAnsi="Palatino Linotype" w:cs="Palatino Linotype"/>
                <w:b/>
                <w:i/>
                <w:sz w:val="20"/>
                <w:szCs w:val="20"/>
                <w:u w:val="single"/>
              </w:rPr>
              <w:t xml:space="preserve"> todos los lunes</w:t>
            </w:r>
            <w:r>
              <w:rPr>
                <w:rFonts w:ascii="Palatino Linotype" w:eastAsia="Palatino Linotype" w:hAnsi="Palatino Linotype" w:cs="Palatino Linotype"/>
                <w:i/>
                <w:sz w:val="20"/>
                <w:szCs w:val="20"/>
              </w:rPr>
              <w:t>. Dejando de aplicar sus funciones de acuerdo al Manual General de Organización.” (Sic).</w:t>
            </w:r>
          </w:p>
        </w:tc>
      </w:tr>
      <w:tr w:rsidR="00C9333D" w14:paraId="2C078907" w14:textId="77777777">
        <w:trPr>
          <w:trHeight w:val="410"/>
        </w:trPr>
        <w:tc>
          <w:tcPr>
            <w:tcW w:w="3535" w:type="dxa"/>
            <w:vAlign w:val="center"/>
          </w:tcPr>
          <w:p w14:paraId="57BB70F5" w14:textId="77777777" w:rsidR="00C9333D" w:rsidRDefault="003A128B">
            <w:pPr>
              <w:jc w:val="center"/>
              <w:rPr>
                <w:rFonts w:ascii="Palatino Linotype" w:eastAsia="Palatino Linotype" w:hAnsi="Palatino Linotype" w:cs="Palatino Linotype"/>
                <w:b/>
              </w:rPr>
            </w:pPr>
            <w:r>
              <w:rPr>
                <w:rFonts w:ascii="Palatino Linotype" w:eastAsia="Palatino Linotype" w:hAnsi="Palatino Linotype" w:cs="Palatino Linotype"/>
                <w:b/>
                <w:sz w:val="24"/>
                <w:szCs w:val="24"/>
              </w:rPr>
              <w:t>00011/UTNEZA/IP/2023</w:t>
            </w:r>
          </w:p>
        </w:tc>
        <w:tc>
          <w:tcPr>
            <w:tcW w:w="5293" w:type="dxa"/>
            <w:vAlign w:val="center"/>
          </w:tcPr>
          <w:p w14:paraId="4CE944F7" w14:textId="77777777" w:rsidR="00C9333D" w:rsidRDefault="003A128B">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“La Lic. Cynthia Robledo Mancera, Jefa del Departamento de Fomento Cultural y Deportivo </w:t>
            </w:r>
            <w:proofErr w:type="spellStart"/>
            <w:r>
              <w:rPr>
                <w:rFonts w:ascii="Palatino Linotype" w:eastAsia="Palatino Linotype" w:hAnsi="Palatino Linotype" w:cs="Palatino Linotype"/>
                <w:i/>
                <w:sz w:val="20"/>
                <w:szCs w:val="20"/>
              </w:rPr>
              <w:t>envio</w:t>
            </w:r>
            <w:proofErr w:type="spellEnd"/>
            <w:r>
              <w:rPr>
                <w:rFonts w:ascii="Palatino Linotype" w:eastAsia="Palatino Linotype" w:hAnsi="Palatino Linotype" w:cs="Palatino Linotype"/>
                <w:i/>
                <w:sz w:val="20"/>
                <w:szCs w:val="20"/>
              </w:rPr>
              <w:t xml:space="preserve"> a las Direcciones, Subdirecciones, Jefaturas, y </w:t>
            </w:r>
            <w:proofErr w:type="spellStart"/>
            <w:r>
              <w:rPr>
                <w:rFonts w:ascii="Palatino Linotype" w:eastAsia="Palatino Linotype" w:hAnsi="Palatino Linotype" w:cs="Palatino Linotype"/>
                <w:i/>
                <w:sz w:val="20"/>
                <w:szCs w:val="20"/>
              </w:rPr>
              <w:t>demas</w:t>
            </w:r>
            <w:proofErr w:type="spellEnd"/>
            <w:r>
              <w:rPr>
                <w:rFonts w:ascii="Palatino Linotype" w:eastAsia="Palatino Linotype" w:hAnsi="Palatino Linotype" w:cs="Palatino Linotype"/>
                <w:i/>
                <w:sz w:val="20"/>
                <w:szCs w:val="20"/>
              </w:rPr>
              <w:t xml:space="preserve"> unidades administrativas el calendario Anual 2023, asignando por fecha a cada unidad administrativa como responsable de gestionar y coordinar el Acto </w:t>
            </w:r>
            <w:proofErr w:type="spellStart"/>
            <w:r>
              <w:rPr>
                <w:rFonts w:ascii="Palatino Linotype" w:eastAsia="Palatino Linotype" w:hAnsi="Palatino Linotype" w:cs="Palatino Linotype"/>
                <w:i/>
                <w:sz w:val="20"/>
                <w:szCs w:val="20"/>
              </w:rPr>
              <w:t>Civico</w:t>
            </w:r>
            <w:proofErr w:type="spellEnd"/>
            <w:r>
              <w:rPr>
                <w:rFonts w:ascii="Palatino Linotype" w:eastAsia="Palatino Linotype" w:hAnsi="Palatino Linotype" w:cs="Palatino Linotype"/>
                <w:i/>
                <w:sz w:val="20"/>
                <w:szCs w:val="20"/>
              </w:rPr>
              <w:t xml:space="preserve"> con Honores a la Bandera, no cumpliendo con sus </w:t>
            </w:r>
            <w:r>
              <w:rPr>
                <w:rFonts w:ascii="Palatino Linotype" w:eastAsia="Palatino Linotype" w:hAnsi="Palatino Linotype" w:cs="Palatino Linotype"/>
                <w:i/>
                <w:sz w:val="20"/>
                <w:szCs w:val="20"/>
              </w:rPr>
              <w:lastRenderedPageBreak/>
              <w:t xml:space="preserve">funciones de acuerdo al Manual General de Organización de fecha junio 2012, publicado en la Gaceta de Gobierno N.18 de fecha 30 de julio de 2012, pagina 83 y 83 en donde especifica que el 205F11001 Departamento de Fomento Cultural y Deportivo tiene como FUNCION implementar y coordinar el establecimiento de las estrategias y actividades que permitan la conmemoración de las fechas cívicas importantes, para fortalecer la identidad nacional y la vida cívica de la comunidad. Por lo anterior, </w:t>
            </w:r>
            <w:r>
              <w:rPr>
                <w:rFonts w:ascii="Palatino Linotype" w:eastAsia="Palatino Linotype" w:hAnsi="Palatino Linotype" w:cs="Palatino Linotype"/>
                <w:b/>
                <w:i/>
                <w:sz w:val="20"/>
                <w:szCs w:val="20"/>
                <w:u w:val="single"/>
              </w:rPr>
              <w:t xml:space="preserve">solicito el documento oficial firmado por el </w:t>
            </w:r>
            <w:proofErr w:type="spellStart"/>
            <w:r>
              <w:rPr>
                <w:rFonts w:ascii="Palatino Linotype" w:eastAsia="Palatino Linotype" w:hAnsi="Palatino Linotype" w:cs="Palatino Linotype"/>
                <w:b/>
                <w:i/>
                <w:sz w:val="20"/>
                <w:szCs w:val="20"/>
                <w:u w:val="single"/>
              </w:rPr>
              <w:t>Lic</w:t>
            </w:r>
            <w:proofErr w:type="spellEnd"/>
            <w:r>
              <w:rPr>
                <w:rFonts w:ascii="Palatino Linotype" w:eastAsia="Palatino Linotype" w:hAnsi="Palatino Linotype" w:cs="Palatino Linotype"/>
                <w:b/>
                <w:i/>
                <w:sz w:val="20"/>
                <w:szCs w:val="20"/>
                <w:u w:val="single"/>
              </w:rPr>
              <w:t xml:space="preserve">, Franco Edgardo </w:t>
            </w:r>
            <w:proofErr w:type="spellStart"/>
            <w:r>
              <w:rPr>
                <w:rFonts w:ascii="Palatino Linotype" w:eastAsia="Palatino Linotype" w:hAnsi="Palatino Linotype" w:cs="Palatino Linotype"/>
                <w:b/>
                <w:i/>
                <w:sz w:val="20"/>
                <w:szCs w:val="20"/>
                <w:u w:val="single"/>
              </w:rPr>
              <w:t>Chavez</w:t>
            </w:r>
            <w:proofErr w:type="spellEnd"/>
            <w:r>
              <w:rPr>
                <w:rFonts w:ascii="Palatino Linotype" w:eastAsia="Palatino Linotype" w:hAnsi="Palatino Linotype" w:cs="Palatino Linotype"/>
                <w:b/>
                <w:i/>
                <w:sz w:val="20"/>
                <w:szCs w:val="20"/>
                <w:u w:val="single"/>
              </w:rPr>
              <w:t xml:space="preserve"> </w:t>
            </w:r>
            <w:proofErr w:type="spellStart"/>
            <w:r>
              <w:rPr>
                <w:rFonts w:ascii="Palatino Linotype" w:eastAsia="Palatino Linotype" w:hAnsi="Palatino Linotype" w:cs="Palatino Linotype"/>
                <w:b/>
                <w:i/>
                <w:sz w:val="20"/>
                <w:szCs w:val="20"/>
                <w:u w:val="single"/>
              </w:rPr>
              <w:t>Enriquez</w:t>
            </w:r>
            <w:proofErr w:type="spellEnd"/>
            <w:r>
              <w:rPr>
                <w:rFonts w:ascii="Palatino Linotype" w:eastAsia="Palatino Linotype" w:hAnsi="Palatino Linotype" w:cs="Palatino Linotype"/>
                <w:b/>
                <w:i/>
                <w:sz w:val="20"/>
                <w:szCs w:val="20"/>
                <w:u w:val="single"/>
              </w:rPr>
              <w:t xml:space="preserve"> titular del </w:t>
            </w:r>
            <w:proofErr w:type="spellStart"/>
            <w:r>
              <w:rPr>
                <w:rFonts w:ascii="Palatino Linotype" w:eastAsia="Palatino Linotype" w:hAnsi="Palatino Linotype" w:cs="Palatino Linotype"/>
                <w:b/>
                <w:i/>
                <w:sz w:val="20"/>
                <w:szCs w:val="20"/>
                <w:u w:val="single"/>
              </w:rPr>
              <w:t>Organo</w:t>
            </w:r>
            <w:proofErr w:type="spellEnd"/>
            <w:r>
              <w:rPr>
                <w:rFonts w:ascii="Palatino Linotype" w:eastAsia="Palatino Linotype" w:hAnsi="Palatino Linotype" w:cs="Palatino Linotype"/>
                <w:b/>
                <w:i/>
                <w:sz w:val="20"/>
                <w:szCs w:val="20"/>
                <w:u w:val="single"/>
              </w:rPr>
              <w:t xml:space="preserve"> Interno de Control del conocimiento que Lic. Cynthia Robledo Mancera, se le autoriza dicho calendario, </w:t>
            </w:r>
            <w:proofErr w:type="spellStart"/>
            <w:r>
              <w:rPr>
                <w:rFonts w:ascii="Palatino Linotype" w:eastAsia="Palatino Linotype" w:hAnsi="Palatino Linotype" w:cs="Palatino Linotype"/>
                <w:b/>
                <w:i/>
                <w:sz w:val="20"/>
                <w:szCs w:val="20"/>
                <w:u w:val="single"/>
              </w:rPr>
              <w:t>instruccion</w:t>
            </w:r>
            <w:proofErr w:type="spellEnd"/>
            <w:r>
              <w:rPr>
                <w:rFonts w:ascii="Palatino Linotype" w:eastAsia="Palatino Linotype" w:hAnsi="Palatino Linotype" w:cs="Palatino Linotype"/>
                <w:b/>
                <w:i/>
                <w:sz w:val="20"/>
                <w:szCs w:val="20"/>
                <w:u w:val="single"/>
              </w:rPr>
              <w:t xml:space="preserve"> y </w:t>
            </w:r>
            <w:proofErr w:type="spellStart"/>
            <w:r>
              <w:rPr>
                <w:rFonts w:ascii="Palatino Linotype" w:eastAsia="Palatino Linotype" w:hAnsi="Palatino Linotype" w:cs="Palatino Linotype"/>
                <w:b/>
                <w:i/>
                <w:sz w:val="20"/>
                <w:szCs w:val="20"/>
                <w:u w:val="single"/>
              </w:rPr>
              <w:t>asignacion</w:t>
            </w:r>
            <w:proofErr w:type="spellEnd"/>
            <w:r>
              <w:rPr>
                <w:rFonts w:ascii="Palatino Linotype" w:eastAsia="Palatino Linotype" w:hAnsi="Palatino Linotype" w:cs="Palatino Linotype"/>
                <w:b/>
                <w:i/>
                <w:sz w:val="20"/>
                <w:szCs w:val="20"/>
                <w:u w:val="single"/>
              </w:rPr>
              <w:t xml:space="preserve"> a las unidades administrativas, para que realicen los actos </w:t>
            </w:r>
            <w:proofErr w:type="spellStart"/>
            <w:r>
              <w:rPr>
                <w:rFonts w:ascii="Palatino Linotype" w:eastAsia="Palatino Linotype" w:hAnsi="Palatino Linotype" w:cs="Palatino Linotype"/>
                <w:b/>
                <w:i/>
                <w:sz w:val="20"/>
                <w:szCs w:val="20"/>
                <w:u w:val="single"/>
              </w:rPr>
              <w:t>civicos</w:t>
            </w:r>
            <w:proofErr w:type="spellEnd"/>
            <w:r>
              <w:rPr>
                <w:rFonts w:ascii="Palatino Linotype" w:eastAsia="Palatino Linotype" w:hAnsi="Palatino Linotype" w:cs="Palatino Linotype"/>
                <w:b/>
                <w:i/>
                <w:sz w:val="20"/>
                <w:szCs w:val="20"/>
                <w:u w:val="single"/>
              </w:rPr>
              <w:t xml:space="preserve"> todos los lunes</w:t>
            </w:r>
            <w:r>
              <w:rPr>
                <w:rFonts w:ascii="Palatino Linotype" w:eastAsia="Palatino Linotype" w:hAnsi="Palatino Linotype" w:cs="Palatino Linotype"/>
                <w:i/>
                <w:sz w:val="20"/>
                <w:szCs w:val="20"/>
              </w:rPr>
              <w:t xml:space="preserve">. De no contar con el documento de </w:t>
            </w:r>
            <w:proofErr w:type="spellStart"/>
            <w:r>
              <w:rPr>
                <w:rFonts w:ascii="Palatino Linotype" w:eastAsia="Palatino Linotype" w:hAnsi="Palatino Linotype" w:cs="Palatino Linotype"/>
                <w:i/>
                <w:sz w:val="20"/>
                <w:szCs w:val="20"/>
              </w:rPr>
              <w:t>autorizacion</w:t>
            </w:r>
            <w:proofErr w:type="spellEnd"/>
            <w:r>
              <w:rPr>
                <w:rFonts w:ascii="Palatino Linotype" w:eastAsia="Palatino Linotype" w:hAnsi="Palatino Linotype" w:cs="Palatino Linotype"/>
                <w:i/>
                <w:sz w:val="20"/>
                <w:szCs w:val="20"/>
              </w:rPr>
              <w:t xml:space="preserve">, entonces el </w:t>
            </w:r>
            <w:r>
              <w:rPr>
                <w:rFonts w:ascii="Palatino Linotype" w:eastAsia="Palatino Linotype" w:hAnsi="Palatino Linotype" w:cs="Palatino Linotype"/>
                <w:b/>
                <w:i/>
                <w:sz w:val="20"/>
                <w:szCs w:val="20"/>
                <w:u w:val="single"/>
              </w:rPr>
              <w:t xml:space="preserve">correo </w:t>
            </w:r>
            <w:proofErr w:type="spellStart"/>
            <w:r>
              <w:rPr>
                <w:rFonts w:ascii="Palatino Linotype" w:eastAsia="Palatino Linotype" w:hAnsi="Palatino Linotype" w:cs="Palatino Linotype"/>
                <w:b/>
                <w:i/>
                <w:sz w:val="20"/>
                <w:szCs w:val="20"/>
                <w:u w:val="single"/>
              </w:rPr>
              <w:t>electronico</w:t>
            </w:r>
            <w:proofErr w:type="spellEnd"/>
            <w:r>
              <w:rPr>
                <w:rFonts w:ascii="Palatino Linotype" w:eastAsia="Palatino Linotype" w:hAnsi="Palatino Linotype" w:cs="Palatino Linotype"/>
                <w:b/>
                <w:i/>
                <w:sz w:val="20"/>
                <w:szCs w:val="20"/>
                <w:u w:val="single"/>
              </w:rPr>
              <w:t xml:space="preserve"> </w:t>
            </w:r>
            <w:proofErr w:type="spellStart"/>
            <w:r>
              <w:rPr>
                <w:rFonts w:ascii="Palatino Linotype" w:eastAsia="Palatino Linotype" w:hAnsi="Palatino Linotype" w:cs="Palatino Linotype"/>
                <w:b/>
                <w:i/>
                <w:sz w:val="20"/>
                <w:szCs w:val="20"/>
                <w:u w:val="single"/>
              </w:rPr>
              <w:t>intitucional</w:t>
            </w:r>
            <w:proofErr w:type="spellEnd"/>
            <w:r>
              <w:rPr>
                <w:rFonts w:ascii="Palatino Linotype" w:eastAsia="Palatino Linotype" w:hAnsi="Palatino Linotype" w:cs="Palatino Linotype"/>
                <w:b/>
                <w:i/>
                <w:sz w:val="20"/>
                <w:szCs w:val="20"/>
                <w:u w:val="single"/>
              </w:rPr>
              <w:t xml:space="preserve"> </w:t>
            </w:r>
            <w:proofErr w:type="spellStart"/>
            <w:r>
              <w:rPr>
                <w:rFonts w:ascii="Palatino Linotype" w:eastAsia="Palatino Linotype" w:hAnsi="Palatino Linotype" w:cs="Palatino Linotype"/>
                <w:b/>
                <w:i/>
                <w:sz w:val="20"/>
                <w:szCs w:val="20"/>
                <w:u w:val="single"/>
              </w:rPr>
              <w:t>Lic</w:t>
            </w:r>
            <w:proofErr w:type="spellEnd"/>
            <w:r>
              <w:rPr>
                <w:rFonts w:ascii="Palatino Linotype" w:eastAsia="Palatino Linotype" w:hAnsi="Palatino Linotype" w:cs="Palatino Linotype"/>
                <w:b/>
                <w:i/>
                <w:sz w:val="20"/>
                <w:szCs w:val="20"/>
                <w:u w:val="single"/>
              </w:rPr>
              <w:t xml:space="preserve">, Franco Edgardo </w:t>
            </w:r>
            <w:proofErr w:type="spellStart"/>
            <w:r>
              <w:rPr>
                <w:rFonts w:ascii="Palatino Linotype" w:eastAsia="Palatino Linotype" w:hAnsi="Palatino Linotype" w:cs="Palatino Linotype"/>
                <w:b/>
                <w:i/>
                <w:sz w:val="20"/>
                <w:szCs w:val="20"/>
                <w:u w:val="single"/>
              </w:rPr>
              <w:t>Chavez</w:t>
            </w:r>
            <w:proofErr w:type="spellEnd"/>
            <w:r>
              <w:rPr>
                <w:rFonts w:ascii="Palatino Linotype" w:eastAsia="Palatino Linotype" w:hAnsi="Palatino Linotype" w:cs="Palatino Linotype"/>
                <w:b/>
                <w:i/>
                <w:sz w:val="20"/>
                <w:szCs w:val="20"/>
                <w:u w:val="single"/>
              </w:rPr>
              <w:t xml:space="preserve"> </w:t>
            </w:r>
            <w:proofErr w:type="spellStart"/>
            <w:r>
              <w:rPr>
                <w:rFonts w:ascii="Palatino Linotype" w:eastAsia="Palatino Linotype" w:hAnsi="Palatino Linotype" w:cs="Palatino Linotype"/>
                <w:b/>
                <w:i/>
                <w:sz w:val="20"/>
                <w:szCs w:val="20"/>
                <w:u w:val="single"/>
              </w:rPr>
              <w:t>Enriquez</w:t>
            </w:r>
            <w:proofErr w:type="spellEnd"/>
            <w:r>
              <w:rPr>
                <w:rFonts w:ascii="Palatino Linotype" w:eastAsia="Palatino Linotype" w:hAnsi="Palatino Linotype" w:cs="Palatino Linotype"/>
                <w:b/>
                <w:i/>
                <w:sz w:val="20"/>
                <w:szCs w:val="20"/>
                <w:u w:val="single"/>
              </w:rPr>
              <w:t xml:space="preserve"> titular del </w:t>
            </w:r>
            <w:proofErr w:type="spellStart"/>
            <w:r>
              <w:rPr>
                <w:rFonts w:ascii="Palatino Linotype" w:eastAsia="Palatino Linotype" w:hAnsi="Palatino Linotype" w:cs="Palatino Linotype"/>
                <w:b/>
                <w:i/>
                <w:sz w:val="20"/>
                <w:szCs w:val="20"/>
                <w:u w:val="single"/>
              </w:rPr>
              <w:t>Organo</w:t>
            </w:r>
            <w:proofErr w:type="spellEnd"/>
            <w:r>
              <w:rPr>
                <w:rFonts w:ascii="Palatino Linotype" w:eastAsia="Palatino Linotype" w:hAnsi="Palatino Linotype" w:cs="Palatino Linotype"/>
                <w:b/>
                <w:i/>
                <w:sz w:val="20"/>
                <w:szCs w:val="20"/>
                <w:u w:val="single"/>
              </w:rPr>
              <w:t xml:space="preserve"> Interno de Control, donde tiene conocimiento de dicho calendario e </w:t>
            </w:r>
            <w:proofErr w:type="spellStart"/>
            <w:r>
              <w:rPr>
                <w:rFonts w:ascii="Palatino Linotype" w:eastAsia="Palatino Linotype" w:hAnsi="Palatino Linotype" w:cs="Palatino Linotype"/>
                <w:b/>
                <w:i/>
                <w:sz w:val="20"/>
                <w:szCs w:val="20"/>
                <w:u w:val="single"/>
              </w:rPr>
              <w:t>instruccion</w:t>
            </w:r>
            <w:proofErr w:type="spellEnd"/>
            <w:r>
              <w:rPr>
                <w:rFonts w:ascii="Palatino Linotype" w:eastAsia="Palatino Linotype" w:hAnsi="Palatino Linotype" w:cs="Palatino Linotype"/>
                <w:i/>
                <w:sz w:val="20"/>
                <w:szCs w:val="20"/>
              </w:rPr>
              <w:t xml:space="preserve">. De no contar con el documento de </w:t>
            </w:r>
            <w:proofErr w:type="spellStart"/>
            <w:r>
              <w:rPr>
                <w:rFonts w:ascii="Palatino Linotype" w:eastAsia="Palatino Linotype" w:hAnsi="Palatino Linotype" w:cs="Palatino Linotype"/>
                <w:i/>
                <w:sz w:val="20"/>
                <w:szCs w:val="20"/>
              </w:rPr>
              <w:t>autorizacion</w:t>
            </w:r>
            <w:proofErr w:type="spellEnd"/>
            <w:r>
              <w:rPr>
                <w:rFonts w:ascii="Palatino Linotype" w:eastAsia="Palatino Linotype" w:hAnsi="Palatino Linotype" w:cs="Palatino Linotype"/>
                <w:i/>
                <w:sz w:val="20"/>
                <w:szCs w:val="20"/>
              </w:rPr>
              <w:t xml:space="preserve"> por el titular del </w:t>
            </w:r>
            <w:proofErr w:type="spellStart"/>
            <w:r>
              <w:rPr>
                <w:rFonts w:ascii="Palatino Linotype" w:eastAsia="Palatino Linotype" w:hAnsi="Palatino Linotype" w:cs="Palatino Linotype"/>
                <w:i/>
                <w:sz w:val="20"/>
                <w:szCs w:val="20"/>
              </w:rPr>
              <w:t>Organo</w:t>
            </w:r>
            <w:proofErr w:type="spellEnd"/>
            <w:r>
              <w:rPr>
                <w:rFonts w:ascii="Palatino Linotype" w:eastAsia="Palatino Linotype" w:hAnsi="Palatino Linotype" w:cs="Palatino Linotype"/>
                <w:i/>
                <w:sz w:val="20"/>
                <w:szCs w:val="20"/>
              </w:rPr>
              <w:t xml:space="preserve"> Interno de Control, a la Lic. Cynthia Robledo Mancera y el correo </w:t>
            </w:r>
            <w:proofErr w:type="spellStart"/>
            <w:r>
              <w:rPr>
                <w:rFonts w:ascii="Palatino Linotype" w:eastAsia="Palatino Linotype" w:hAnsi="Palatino Linotype" w:cs="Palatino Linotype"/>
                <w:i/>
                <w:sz w:val="20"/>
                <w:szCs w:val="20"/>
              </w:rPr>
              <w:t>electronico</w:t>
            </w:r>
            <w:proofErr w:type="spellEnd"/>
            <w:r>
              <w:rPr>
                <w:rFonts w:ascii="Palatino Linotype" w:eastAsia="Palatino Linotype" w:hAnsi="Palatino Linotype" w:cs="Palatino Linotype"/>
                <w:i/>
                <w:sz w:val="20"/>
                <w:szCs w:val="20"/>
              </w:rPr>
              <w:t xml:space="preserve"> institucional, entonces solicito por este medio que la Lic. Cynthia Robledo Mancera </w:t>
            </w:r>
            <w:r>
              <w:rPr>
                <w:rFonts w:ascii="Palatino Linotype" w:eastAsia="Palatino Linotype" w:hAnsi="Palatino Linotype" w:cs="Palatino Linotype"/>
                <w:b/>
                <w:i/>
                <w:sz w:val="20"/>
                <w:szCs w:val="20"/>
                <w:u w:val="single"/>
              </w:rPr>
              <w:t xml:space="preserve">documento simple donde detalla quien cuando y como se le autorizo calendario anual </w:t>
            </w:r>
            <w:proofErr w:type="gramStart"/>
            <w:r>
              <w:rPr>
                <w:rFonts w:ascii="Palatino Linotype" w:eastAsia="Palatino Linotype" w:hAnsi="Palatino Linotype" w:cs="Palatino Linotype"/>
                <w:b/>
                <w:i/>
                <w:sz w:val="20"/>
                <w:szCs w:val="20"/>
                <w:u w:val="single"/>
              </w:rPr>
              <w:t>2023 ,</w:t>
            </w:r>
            <w:proofErr w:type="gramEnd"/>
            <w:r>
              <w:rPr>
                <w:rFonts w:ascii="Palatino Linotype" w:eastAsia="Palatino Linotype" w:hAnsi="Palatino Linotype" w:cs="Palatino Linotype"/>
                <w:b/>
                <w:i/>
                <w:sz w:val="20"/>
                <w:szCs w:val="20"/>
                <w:u w:val="single"/>
              </w:rPr>
              <w:t xml:space="preserve"> </w:t>
            </w:r>
            <w:proofErr w:type="spellStart"/>
            <w:r>
              <w:rPr>
                <w:rFonts w:ascii="Palatino Linotype" w:eastAsia="Palatino Linotype" w:hAnsi="Palatino Linotype" w:cs="Palatino Linotype"/>
                <w:b/>
                <w:i/>
                <w:sz w:val="20"/>
                <w:szCs w:val="20"/>
                <w:u w:val="single"/>
              </w:rPr>
              <w:t>instruccion</w:t>
            </w:r>
            <w:proofErr w:type="spellEnd"/>
            <w:r>
              <w:rPr>
                <w:rFonts w:ascii="Palatino Linotype" w:eastAsia="Palatino Linotype" w:hAnsi="Palatino Linotype" w:cs="Palatino Linotype"/>
                <w:b/>
                <w:i/>
                <w:sz w:val="20"/>
                <w:szCs w:val="20"/>
                <w:u w:val="single"/>
              </w:rPr>
              <w:t xml:space="preserve"> y </w:t>
            </w:r>
            <w:proofErr w:type="spellStart"/>
            <w:r>
              <w:rPr>
                <w:rFonts w:ascii="Palatino Linotype" w:eastAsia="Palatino Linotype" w:hAnsi="Palatino Linotype" w:cs="Palatino Linotype"/>
                <w:b/>
                <w:i/>
                <w:sz w:val="20"/>
                <w:szCs w:val="20"/>
                <w:u w:val="single"/>
              </w:rPr>
              <w:t>asignacion</w:t>
            </w:r>
            <w:proofErr w:type="spellEnd"/>
            <w:r>
              <w:rPr>
                <w:rFonts w:ascii="Palatino Linotype" w:eastAsia="Palatino Linotype" w:hAnsi="Palatino Linotype" w:cs="Palatino Linotype"/>
                <w:b/>
                <w:i/>
                <w:sz w:val="20"/>
                <w:szCs w:val="20"/>
                <w:u w:val="single"/>
              </w:rPr>
              <w:t xml:space="preserve"> a las unidades administrativas, para que realicen los actos </w:t>
            </w:r>
            <w:proofErr w:type="spellStart"/>
            <w:r>
              <w:rPr>
                <w:rFonts w:ascii="Palatino Linotype" w:eastAsia="Palatino Linotype" w:hAnsi="Palatino Linotype" w:cs="Palatino Linotype"/>
                <w:b/>
                <w:i/>
                <w:sz w:val="20"/>
                <w:szCs w:val="20"/>
                <w:u w:val="single"/>
              </w:rPr>
              <w:t>civicos</w:t>
            </w:r>
            <w:proofErr w:type="spellEnd"/>
            <w:r>
              <w:rPr>
                <w:rFonts w:ascii="Palatino Linotype" w:eastAsia="Palatino Linotype" w:hAnsi="Palatino Linotype" w:cs="Palatino Linotype"/>
                <w:b/>
                <w:i/>
                <w:sz w:val="20"/>
                <w:szCs w:val="20"/>
                <w:u w:val="single"/>
              </w:rPr>
              <w:t xml:space="preserve"> todos los lunes</w:t>
            </w:r>
            <w:r>
              <w:rPr>
                <w:rFonts w:ascii="Palatino Linotype" w:eastAsia="Palatino Linotype" w:hAnsi="Palatino Linotype" w:cs="Palatino Linotype"/>
                <w:i/>
                <w:sz w:val="20"/>
                <w:szCs w:val="20"/>
              </w:rPr>
              <w:t>. Dejando de aplicar sus funciones de acuerdo al Manual General de Organización.” (Sic).</w:t>
            </w:r>
          </w:p>
        </w:tc>
      </w:tr>
    </w:tbl>
    <w:p w14:paraId="3820AE74" w14:textId="77777777" w:rsidR="00C9333D" w:rsidRDefault="00C9333D">
      <w:pPr>
        <w:spacing w:after="0" w:line="360" w:lineRule="auto"/>
        <w:jc w:val="both"/>
        <w:rPr>
          <w:rFonts w:ascii="Palatino Linotype" w:eastAsia="Palatino Linotype" w:hAnsi="Palatino Linotype" w:cs="Palatino Linotype"/>
          <w:sz w:val="24"/>
          <w:szCs w:val="24"/>
        </w:rPr>
      </w:pPr>
    </w:p>
    <w:p w14:paraId="58D17AF8"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solicitó aclaración a las solicitudes de información, en los términos siguientes:</w:t>
      </w:r>
    </w:p>
    <w:p w14:paraId="77676C55" w14:textId="77777777" w:rsidR="00C9333D" w:rsidRDefault="00C9333D">
      <w:pPr>
        <w:spacing w:after="0" w:line="360" w:lineRule="auto"/>
        <w:jc w:val="both"/>
        <w:rPr>
          <w:rFonts w:ascii="Palatino Linotype" w:eastAsia="Palatino Linotype" w:hAnsi="Palatino Linotype" w:cs="Palatino Linotype"/>
        </w:rPr>
      </w:pPr>
    </w:p>
    <w:p w14:paraId="55B3FCD4" w14:textId="77777777" w:rsidR="00C9333D" w:rsidRDefault="003A128B">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“Con fundamento en el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358A2687" w14:textId="77777777" w:rsidR="003D3358" w:rsidRDefault="003D3358">
      <w:pPr>
        <w:spacing w:after="0"/>
        <w:ind w:left="567" w:right="567"/>
        <w:jc w:val="both"/>
        <w:rPr>
          <w:rFonts w:ascii="Palatino Linotype" w:eastAsia="Palatino Linotype" w:hAnsi="Palatino Linotype" w:cs="Palatino Linotype"/>
          <w:i/>
        </w:rPr>
      </w:pPr>
    </w:p>
    <w:p w14:paraId="74F725E8" w14:textId="77777777" w:rsidR="00C9333D" w:rsidRDefault="003A128B">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Se realiza el requerimiento de aclaración, complementación o corrección de datos de la solicitud por notificar </w:t>
      </w:r>
      <w:proofErr w:type="gramStart"/>
      <w:r>
        <w:rPr>
          <w:rFonts w:ascii="Palatino Linotype" w:eastAsia="Palatino Linotype" w:hAnsi="Palatino Linotype" w:cs="Palatino Linotype"/>
          <w:i/>
        </w:rPr>
        <w:t>de acuerdo al</w:t>
      </w:r>
      <w:proofErr w:type="gramEnd"/>
      <w:r>
        <w:rPr>
          <w:rFonts w:ascii="Palatino Linotype" w:eastAsia="Palatino Linotype" w:hAnsi="Palatino Linotype" w:cs="Palatino Linotype"/>
          <w:i/>
        </w:rPr>
        <w:t xml:space="preserve"> Artículo 159 de la Ley de Transparencia y Acceso a la Información Pública del Estado de México y Municipios.</w:t>
      </w:r>
    </w:p>
    <w:p w14:paraId="48762DC4" w14:textId="77777777" w:rsidR="00C9333D" w:rsidRDefault="003A128B">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8C69509" w14:textId="77777777" w:rsidR="00C9333D" w:rsidRDefault="003A128B">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14:paraId="75507C7E" w14:textId="77777777" w:rsidR="00C9333D" w:rsidRDefault="003A128B">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LIC. JOSE LUIS MARTÍNEZ TÉLLEZ “(Sic).</w:t>
      </w:r>
    </w:p>
    <w:p w14:paraId="2BC4E24A" w14:textId="77777777" w:rsidR="00C9333D" w:rsidRDefault="00C9333D">
      <w:pPr>
        <w:spacing w:after="0" w:line="360" w:lineRule="auto"/>
        <w:jc w:val="both"/>
        <w:rPr>
          <w:rFonts w:ascii="Palatino Linotype" w:eastAsia="Palatino Linotype" w:hAnsi="Palatino Linotype" w:cs="Palatino Linotype"/>
          <w:sz w:val="24"/>
          <w:szCs w:val="24"/>
        </w:rPr>
      </w:pPr>
    </w:p>
    <w:p w14:paraId="3B29F5BE"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a las solicitudes de aclaración,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preciso en la aclaración a las solicitudes de información, lo siguiente:</w:t>
      </w:r>
    </w:p>
    <w:p w14:paraId="53C55117" w14:textId="77777777" w:rsidR="00C9333D" w:rsidRDefault="00C9333D">
      <w:pPr>
        <w:spacing w:after="0" w:line="360" w:lineRule="auto"/>
        <w:jc w:val="both"/>
        <w:rPr>
          <w:rFonts w:ascii="Palatino Linotype" w:eastAsia="Palatino Linotype" w:hAnsi="Palatino Linotype" w:cs="Palatino Linotype"/>
          <w:sz w:val="24"/>
          <w:szCs w:val="24"/>
        </w:rPr>
      </w:pPr>
    </w:p>
    <w:p w14:paraId="53C4BBBE" w14:textId="77777777" w:rsidR="00C9333D" w:rsidRDefault="003A128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00010/UTNEZA/IP/2023:</w:t>
      </w:r>
    </w:p>
    <w:p w14:paraId="3D634070" w14:textId="77777777" w:rsidR="00C9333D" w:rsidRDefault="003A128B">
      <w:pPr>
        <w:spacing w:after="0"/>
        <w:ind w:left="709"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i/>
          <w:color w:val="000000"/>
        </w:rPr>
        <w:t xml:space="preserve">De acuerdo al Manual General de Organización de fecha junio 2012, publicado en la Gaceta de Gobierno N.18 de fecha 30 de julio de 2012, pagina 83 y 83 en donde especifica que el 205F11001 Departamento de Fomento Cultural y Deportivo tiene como FUNCION implementar y coordinar el establecimiento de las estrategias y actividades que permitan la conmemoración de las fechas cívicas importantes, para fortalecer la identidad nacional y la vida cívica de la comunidad. </w:t>
      </w:r>
      <w:r>
        <w:rPr>
          <w:rFonts w:ascii="Palatino Linotype" w:eastAsia="Palatino Linotype" w:hAnsi="Palatino Linotype" w:cs="Palatino Linotype"/>
          <w:b/>
          <w:i/>
          <w:color w:val="000000"/>
          <w:u w:val="single"/>
        </w:rPr>
        <w:t xml:space="preserve">La Lic. Cynthia Robledo Mancera, Jefa del Departamento de Fomento Cultural y Deportivo </w:t>
      </w:r>
      <w:proofErr w:type="spellStart"/>
      <w:r>
        <w:rPr>
          <w:rFonts w:ascii="Palatino Linotype" w:eastAsia="Palatino Linotype" w:hAnsi="Palatino Linotype" w:cs="Palatino Linotype"/>
          <w:b/>
          <w:i/>
          <w:color w:val="000000"/>
          <w:u w:val="single"/>
        </w:rPr>
        <w:t>envio</w:t>
      </w:r>
      <w:proofErr w:type="spellEnd"/>
      <w:r>
        <w:rPr>
          <w:rFonts w:ascii="Palatino Linotype" w:eastAsia="Palatino Linotype" w:hAnsi="Palatino Linotype" w:cs="Palatino Linotype"/>
          <w:b/>
          <w:i/>
          <w:color w:val="000000"/>
          <w:u w:val="single"/>
        </w:rPr>
        <w:t xml:space="preserve"> a las Direcciones, Subdirecciones, Jefaturas, y </w:t>
      </w:r>
      <w:proofErr w:type="spellStart"/>
      <w:r>
        <w:rPr>
          <w:rFonts w:ascii="Palatino Linotype" w:eastAsia="Palatino Linotype" w:hAnsi="Palatino Linotype" w:cs="Palatino Linotype"/>
          <w:b/>
          <w:i/>
          <w:color w:val="000000"/>
          <w:u w:val="single"/>
        </w:rPr>
        <w:t>demas</w:t>
      </w:r>
      <w:proofErr w:type="spellEnd"/>
      <w:r>
        <w:rPr>
          <w:rFonts w:ascii="Palatino Linotype" w:eastAsia="Palatino Linotype" w:hAnsi="Palatino Linotype" w:cs="Palatino Linotype"/>
          <w:b/>
          <w:i/>
          <w:color w:val="000000"/>
          <w:u w:val="single"/>
        </w:rPr>
        <w:t xml:space="preserve"> unidades administrativas el calendario Anual 2023, asignando por fecha a cada unidad administrativa como responsable de gestionar y coordinar el Acto </w:t>
      </w:r>
      <w:proofErr w:type="spellStart"/>
      <w:r>
        <w:rPr>
          <w:rFonts w:ascii="Palatino Linotype" w:eastAsia="Palatino Linotype" w:hAnsi="Palatino Linotype" w:cs="Palatino Linotype"/>
          <w:b/>
          <w:i/>
          <w:color w:val="000000"/>
          <w:u w:val="single"/>
        </w:rPr>
        <w:t>Civico</w:t>
      </w:r>
      <w:proofErr w:type="spellEnd"/>
      <w:r>
        <w:rPr>
          <w:rFonts w:ascii="Palatino Linotype" w:eastAsia="Palatino Linotype" w:hAnsi="Palatino Linotype" w:cs="Palatino Linotype"/>
          <w:b/>
          <w:i/>
          <w:color w:val="000000"/>
          <w:u w:val="single"/>
        </w:rPr>
        <w:t xml:space="preserve"> con Honores a la Bandera, NO CUMPLIENDO CON SUS FUNCIONES</w:t>
      </w:r>
      <w:r>
        <w:rPr>
          <w:rFonts w:ascii="Palatino Linotype" w:eastAsia="Palatino Linotype" w:hAnsi="Palatino Linotype" w:cs="Palatino Linotype"/>
          <w:i/>
          <w:color w:val="000000"/>
        </w:rPr>
        <w:t xml:space="preserve"> Por lo anterior, solicito </w:t>
      </w:r>
      <w:r>
        <w:rPr>
          <w:rFonts w:ascii="Palatino Linotype" w:eastAsia="Palatino Linotype" w:hAnsi="Palatino Linotype" w:cs="Palatino Linotype"/>
          <w:b/>
          <w:i/>
          <w:color w:val="000000"/>
          <w:u w:val="single"/>
        </w:rPr>
        <w:t>¿</w:t>
      </w:r>
      <w:proofErr w:type="spellStart"/>
      <w:r>
        <w:rPr>
          <w:rFonts w:ascii="Palatino Linotype" w:eastAsia="Palatino Linotype" w:hAnsi="Palatino Linotype" w:cs="Palatino Linotype"/>
          <w:b/>
          <w:i/>
          <w:color w:val="000000"/>
          <w:u w:val="single"/>
        </w:rPr>
        <w:t>como</w:t>
      </w:r>
      <w:proofErr w:type="spellEnd"/>
      <w:r>
        <w:rPr>
          <w:rFonts w:ascii="Palatino Linotype" w:eastAsia="Palatino Linotype" w:hAnsi="Palatino Linotype" w:cs="Palatino Linotype"/>
          <w:b/>
          <w:i/>
          <w:color w:val="000000"/>
          <w:u w:val="single"/>
        </w:rPr>
        <w:t xml:space="preserve"> se le autorizo la EVACION de sus funciones? ¿Qué servidor </w:t>
      </w:r>
      <w:proofErr w:type="spellStart"/>
      <w:r>
        <w:rPr>
          <w:rFonts w:ascii="Palatino Linotype" w:eastAsia="Palatino Linotype" w:hAnsi="Palatino Linotype" w:cs="Palatino Linotype"/>
          <w:b/>
          <w:i/>
          <w:color w:val="000000"/>
          <w:u w:val="single"/>
        </w:rPr>
        <w:t>publico</w:t>
      </w:r>
      <w:proofErr w:type="spellEnd"/>
      <w:r>
        <w:rPr>
          <w:rFonts w:ascii="Palatino Linotype" w:eastAsia="Palatino Linotype" w:hAnsi="Palatino Linotype" w:cs="Palatino Linotype"/>
          <w:b/>
          <w:i/>
          <w:color w:val="000000"/>
          <w:u w:val="single"/>
        </w:rPr>
        <w:t xml:space="preserve"> superior a la Lic. Cynthia Robledo Mancera le autorizo el calendario anual 2023 asignando fecha a cada unidad administrativa como responsable de gestionar y coordinar el Acto </w:t>
      </w:r>
      <w:proofErr w:type="spellStart"/>
      <w:r>
        <w:rPr>
          <w:rFonts w:ascii="Palatino Linotype" w:eastAsia="Palatino Linotype" w:hAnsi="Palatino Linotype" w:cs="Palatino Linotype"/>
          <w:b/>
          <w:i/>
          <w:color w:val="000000"/>
          <w:u w:val="single"/>
        </w:rPr>
        <w:t>Civico</w:t>
      </w:r>
      <w:proofErr w:type="spellEnd"/>
      <w:r>
        <w:rPr>
          <w:rFonts w:ascii="Palatino Linotype" w:eastAsia="Palatino Linotype" w:hAnsi="Palatino Linotype" w:cs="Palatino Linotype"/>
          <w:b/>
          <w:i/>
          <w:color w:val="000000"/>
          <w:u w:val="single"/>
        </w:rPr>
        <w:t xml:space="preserve"> con Honores a la Bandera?</w:t>
      </w:r>
      <w:r>
        <w:rPr>
          <w:rFonts w:ascii="Palatino Linotype" w:eastAsia="Palatino Linotype" w:hAnsi="Palatino Linotype" w:cs="Palatino Linotype"/>
          <w:b/>
          <w:i/>
          <w:u w:val="single"/>
        </w:rPr>
        <w:t>”</w:t>
      </w:r>
      <w:r>
        <w:rPr>
          <w:rFonts w:ascii="Palatino Linotype" w:eastAsia="Palatino Linotype" w:hAnsi="Palatino Linotype" w:cs="Palatino Linotype"/>
          <w:i/>
        </w:rPr>
        <w:t xml:space="preserve"> [Sic]</w:t>
      </w:r>
    </w:p>
    <w:p w14:paraId="23ABEF6B" w14:textId="77777777" w:rsidR="00C9333D" w:rsidRDefault="00C9333D">
      <w:pPr>
        <w:spacing w:after="0" w:line="360" w:lineRule="auto"/>
        <w:jc w:val="both"/>
        <w:rPr>
          <w:rFonts w:ascii="Palatino Linotype" w:eastAsia="Palatino Linotype" w:hAnsi="Palatino Linotype" w:cs="Palatino Linotype"/>
          <w:b/>
          <w:sz w:val="28"/>
          <w:szCs w:val="28"/>
        </w:rPr>
      </w:pPr>
    </w:p>
    <w:p w14:paraId="160C9079" w14:textId="77777777" w:rsidR="00C9333D" w:rsidRDefault="003A128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00011/UTNEZA/IP/2023:</w:t>
      </w:r>
    </w:p>
    <w:p w14:paraId="7B0F3910" w14:textId="77777777" w:rsidR="00C9333D" w:rsidRDefault="003A128B">
      <w:pPr>
        <w:spacing w:after="0" w:line="240" w:lineRule="auto"/>
        <w:ind w:left="567" w:right="567"/>
        <w:jc w:val="both"/>
        <w:rPr>
          <w:rFonts w:ascii="Palatino Linotype" w:eastAsia="Palatino Linotype" w:hAnsi="Palatino Linotype" w:cs="Palatino Linotype"/>
          <w:b/>
          <w:i/>
          <w:color w:val="000000"/>
          <w:u w:val="single"/>
        </w:rPr>
      </w:pPr>
      <w:r>
        <w:rPr>
          <w:rFonts w:ascii="Palatino Linotype" w:eastAsia="Palatino Linotype" w:hAnsi="Palatino Linotype" w:cs="Palatino Linotype"/>
          <w:i/>
          <w:color w:val="000000"/>
        </w:rPr>
        <w:t xml:space="preserve">La Lic. Cynthia Robledo Mancera, Jefa del Departamento de Fomento Cultural y Deportivo </w:t>
      </w:r>
      <w:proofErr w:type="spellStart"/>
      <w:r>
        <w:rPr>
          <w:rFonts w:ascii="Palatino Linotype" w:eastAsia="Palatino Linotype" w:hAnsi="Palatino Linotype" w:cs="Palatino Linotype"/>
          <w:i/>
          <w:color w:val="000000"/>
        </w:rPr>
        <w:t>envio</w:t>
      </w:r>
      <w:proofErr w:type="spellEnd"/>
      <w:r>
        <w:rPr>
          <w:rFonts w:ascii="Palatino Linotype" w:eastAsia="Palatino Linotype" w:hAnsi="Palatino Linotype" w:cs="Palatino Linotype"/>
          <w:i/>
          <w:color w:val="000000"/>
        </w:rPr>
        <w:t xml:space="preserve"> a las Direcciones, Subdirecciones, Jefaturas, y </w:t>
      </w:r>
      <w:proofErr w:type="spellStart"/>
      <w:r>
        <w:rPr>
          <w:rFonts w:ascii="Palatino Linotype" w:eastAsia="Palatino Linotype" w:hAnsi="Palatino Linotype" w:cs="Palatino Linotype"/>
          <w:i/>
          <w:color w:val="000000"/>
        </w:rPr>
        <w:t>demas</w:t>
      </w:r>
      <w:proofErr w:type="spellEnd"/>
      <w:r>
        <w:rPr>
          <w:rFonts w:ascii="Palatino Linotype" w:eastAsia="Palatino Linotype" w:hAnsi="Palatino Linotype" w:cs="Palatino Linotype"/>
          <w:i/>
          <w:color w:val="000000"/>
        </w:rPr>
        <w:t xml:space="preserve"> unidades administrativas el calendario Anual 2023, asignando por fecha a cada unidad administrativa como responsable de gestionar y coordinar el Acto </w:t>
      </w:r>
      <w:proofErr w:type="spellStart"/>
      <w:r>
        <w:rPr>
          <w:rFonts w:ascii="Palatino Linotype" w:eastAsia="Palatino Linotype" w:hAnsi="Palatino Linotype" w:cs="Palatino Linotype"/>
          <w:i/>
          <w:color w:val="000000"/>
        </w:rPr>
        <w:t>Civico</w:t>
      </w:r>
      <w:proofErr w:type="spellEnd"/>
      <w:r>
        <w:rPr>
          <w:rFonts w:ascii="Palatino Linotype" w:eastAsia="Palatino Linotype" w:hAnsi="Palatino Linotype" w:cs="Palatino Linotype"/>
          <w:i/>
          <w:color w:val="000000"/>
        </w:rPr>
        <w:t xml:space="preserve"> con Honores a la Bandera, DESLINDANDOSE DE SUS FUNCIONES de acuerdo al Manual General de Organización de fecha junio 2012, publicado en la Gaceta de Gobierno N.18 de fecha 30 de julio de 2012, pagina 83 y 83 en donde especifica que el 205F11001 Departamento de Fomento Cultural y Deportivo CUAL DICE QUE TIENE COMO FUNCION implementar y coordinar el establecimiento de las estrategias y actividades que permitan la conmemoración de las fechas cívicas importantes, para fortalecer la identidad nacional y la vida cívica de la comunidad. Por lo anterior, </w:t>
      </w:r>
      <w:r>
        <w:rPr>
          <w:rFonts w:ascii="Palatino Linotype" w:eastAsia="Palatino Linotype" w:hAnsi="Palatino Linotype" w:cs="Palatino Linotype"/>
          <w:b/>
          <w:i/>
          <w:color w:val="000000"/>
          <w:u w:val="single"/>
        </w:rPr>
        <w:t xml:space="preserve">solicito se especifique que procedimiento realiza el </w:t>
      </w:r>
      <w:proofErr w:type="spellStart"/>
      <w:r>
        <w:rPr>
          <w:rFonts w:ascii="Palatino Linotype" w:eastAsia="Palatino Linotype" w:hAnsi="Palatino Linotype" w:cs="Palatino Linotype"/>
          <w:b/>
          <w:i/>
          <w:color w:val="000000"/>
          <w:u w:val="single"/>
        </w:rPr>
        <w:t>Lic</w:t>
      </w:r>
      <w:proofErr w:type="spellEnd"/>
      <w:r>
        <w:rPr>
          <w:rFonts w:ascii="Palatino Linotype" w:eastAsia="Palatino Linotype" w:hAnsi="Palatino Linotype" w:cs="Palatino Linotype"/>
          <w:b/>
          <w:i/>
          <w:color w:val="000000"/>
          <w:u w:val="single"/>
        </w:rPr>
        <w:t xml:space="preserve">, Franco Edgardo </w:t>
      </w:r>
      <w:proofErr w:type="spellStart"/>
      <w:r>
        <w:rPr>
          <w:rFonts w:ascii="Palatino Linotype" w:eastAsia="Palatino Linotype" w:hAnsi="Palatino Linotype" w:cs="Palatino Linotype"/>
          <w:b/>
          <w:i/>
          <w:color w:val="000000"/>
          <w:u w:val="single"/>
        </w:rPr>
        <w:t>Chavez</w:t>
      </w:r>
      <w:proofErr w:type="spellEnd"/>
      <w:r>
        <w:rPr>
          <w:rFonts w:ascii="Palatino Linotype" w:eastAsia="Palatino Linotype" w:hAnsi="Palatino Linotype" w:cs="Palatino Linotype"/>
          <w:b/>
          <w:i/>
          <w:color w:val="000000"/>
          <w:u w:val="single"/>
        </w:rPr>
        <w:t xml:space="preserve"> </w:t>
      </w:r>
      <w:proofErr w:type="spellStart"/>
      <w:r>
        <w:rPr>
          <w:rFonts w:ascii="Palatino Linotype" w:eastAsia="Palatino Linotype" w:hAnsi="Palatino Linotype" w:cs="Palatino Linotype"/>
          <w:b/>
          <w:i/>
          <w:color w:val="000000"/>
          <w:u w:val="single"/>
        </w:rPr>
        <w:t>Enriquez</w:t>
      </w:r>
      <w:proofErr w:type="spellEnd"/>
      <w:r>
        <w:rPr>
          <w:rFonts w:ascii="Palatino Linotype" w:eastAsia="Palatino Linotype" w:hAnsi="Palatino Linotype" w:cs="Palatino Linotype"/>
          <w:b/>
          <w:i/>
          <w:color w:val="000000"/>
          <w:u w:val="single"/>
        </w:rPr>
        <w:t xml:space="preserve"> titular del </w:t>
      </w:r>
      <w:proofErr w:type="spellStart"/>
      <w:r>
        <w:rPr>
          <w:rFonts w:ascii="Palatino Linotype" w:eastAsia="Palatino Linotype" w:hAnsi="Palatino Linotype" w:cs="Palatino Linotype"/>
          <w:b/>
          <w:i/>
          <w:color w:val="000000"/>
          <w:u w:val="single"/>
        </w:rPr>
        <w:t>Organo</w:t>
      </w:r>
      <w:proofErr w:type="spellEnd"/>
      <w:r>
        <w:rPr>
          <w:rFonts w:ascii="Palatino Linotype" w:eastAsia="Palatino Linotype" w:hAnsi="Palatino Linotype" w:cs="Palatino Linotype"/>
          <w:b/>
          <w:i/>
          <w:color w:val="000000"/>
          <w:u w:val="single"/>
        </w:rPr>
        <w:t xml:space="preserve"> Interno de Control donde da seguimiento a la EVACIÓN de sus funciones de acuerdo al Manual General de Organización de la Lic. Cynthia Robledo Mancera.</w:t>
      </w:r>
    </w:p>
    <w:p w14:paraId="120D031E" w14:textId="77777777" w:rsidR="00C9333D" w:rsidRDefault="00C9333D">
      <w:pPr>
        <w:spacing w:after="0" w:line="240" w:lineRule="auto"/>
        <w:ind w:left="567" w:right="567"/>
        <w:jc w:val="both"/>
        <w:rPr>
          <w:rFonts w:ascii="Palatino Linotype" w:eastAsia="Palatino Linotype" w:hAnsi="Palatino Linotype" w:cs="Palatino Linotype"/>
          <w:b/>
          <w:i/>
          <w:sz w:val="44"/>
          <w:szCs w:val="44"/>
          <w:u w:val="single"/>
        </w:rPr>
      </w:pPr>
    </w:p>
    <w:p w14:paraId="183D4362" w14:textId="77777777" w:rsidR="00C9333D" w:rsidRDefault="003A128B">
      <w:pPr>
        <w:spacing w:after="0" w:line="360" w:lineRule="auto"/>
        <w:ind w:right="-28"/>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sz w:val="24"/>
          <w:szCs w:val="24"/>
        </w:rPr>
        <w:t xml:space="preserve">Mediante respuesta,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color w:val="000000"/>
          <w:sz w:val="24"/>
          <w:szCs w:val="24"/>
        </w:rPr>
        <w:t xml:space="preserve">, a través del Sistema de Acceso a la Información Mexiquense (SAIMEX), hace entrega de lo siguiente: </w:t>
      </w:r>
    </w:p>
    <w:p w14:paraId="014EC3E6" w14:textId="77777777" w:rsidR="00C9333D" w:rsidRDefault="00C9333D">
      <w:pPr>
        <w:spacing w:after="0" w:line="360" w:lineRule="auto"/>
        <w:ind w:right="49"/>
        <w:jc w:val="both"/>
        <w:rPr>
          <w:rFonts w:ascii="Palatino Linotype" w:eastAsia="Palatino Linotype" w:hAnsi="Palatino Linotype" w:cs="Palatino Linotype"/>
          <w:sz w:val="24"/>
          <w:szCs w:val="24"/>
        </w:rPr>
      </w:pPr>
    </w:p>
    <w:p w14:paraId="45BDF1FF" w14:textId="77777777" w:rsidR="00C9333D" w:rsidRDefault="003A128B">
      <w:pPr>
        <w:numPr>
          <w:ilvl w:val="0"/>
          <w:numId w:val="3"/>
        </w:num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Respuesta 010 SAIMEX 2023.pdf: </w:t>
      </w:r>
      <w:r>
        <w:rPr>
          <w:rFonts w:ascii="Palatino Linotype" w:eastAsia="Palatino Linotype" w:hAnsi="Palatino Linotype" w:cs="Palatino Linotype"/>
          <w:color w:val="000000"/>
          <w:sz w:val="24"/>
          <w:szCs w:val="24"/>
        </w:rPr>
        <w:t xml:space="preserve">Documento consistente en número de memorándum 200301010000L/026/2023, de fecha treinta de marzo de dos mil veintitrés, a través del cual el Director de Difusión y Extensión Universitaria, señaló que de acuerdo al Manual General de Organización tiene como función implementar y coordinar el establecimiento de las estrategias y actividades que permitan la conmemoración de las fechas cívicas </w:t>
      </w:r>
      <w:r>
        <w:rPr>
          <w:rFonts w:ascii="Palatino Linotype" w:eastAsia="Palatino Linotype" w:hAnsi="Palatino Linotype" w:cs="Palatino Linotype"/>
          <w:color w:val="000000"/>
          <w:sz w:val="24"/>
          <w:szCs w:val="24"/>
        </w:rPr>
        <w:lastRenderedPageBreak/>
        <w:t xml:space="preserve">importantes, para fomentar la identidad nacional y la vida cívica de la comunidad, por lo anterior </w:t>
      </w:r>
      <w:r>
        <w:rPr>
          <w:rFonts w:ascii="Palatino Linotype" w:eastAsia="Palatino Linotype" w:hAnsi="Palatino Linotype" w:cs="Palatino Linotype"/>
          <w:color w:val="000000"/>
          <w:sz w:val="24"/>
          <w:szCs w:val="24"/>
          <w:u w:val="single"/>
        </w:rPr>
        <w:t>la Jefa del Departamento de Fomento Cultural y Deportivo, en coordinación con cada una de las áreas administrativas de acuerdo al calendario anual 2023 autorizado por su Jefe inmediato superior, Director de Difusión y Extensión Universitaria, realiza los actos cívicos con honores a la bandera</w:t>
      </w:r>
      <w:r>
        <w:rPr>
          <w:rFonts w:ascii="Palatino Linotype" w:eastAsia="Palatino Linotype" w:hAnsi="Palatino Linotype" w:cs="Palatino Linotype"/>
          <w:color w:val="000000"/>
          <w:sz w:val="24"/>
          <w:szCs w:val="24"/>
        </w:rPr>
        <w:t>.</w:t>
      </w:r>
    </w:p>
    <w:p w14:paraId="22F99A42" w14:textId="77777777" w:rsidR="00C9333D" w:rsidRDefault="00C9333D">
      <w:pPr>
        <w:pBdr>
          <w:top w:val="nil"/>
          <w:left w:val="nil"/>
          <w:bottom w:val="nil"/>
          <w:right w:val="nil"/>
          <w:between w:val="nil"/>
        </w:pBdr>
        <w:spacing w:after="0" w:line="360" w:lineRule="auto"/>
        <w:ind w:left="720" w:right="51"/>
        <w:jc w:val="both"/>
        <w:rPr>
          <w:rFonts w:ascii="Palatino Linotype" w:eastAsia="Palatino Linotype" w:hAnsi="Palatino Linotype" w:cs="Palatino Linotype"/>
          <w:color w:val="000000"/>
          <w:sz w:val="24"/>
          <w:szCs w:val="24"/>
        </w:rPr>
      </w:pPr>
    </w:p>
    <w:p w14:paraId="5C9F9404" w14:textId="77777777" w:rsidR="00C9333D" w:rsidRDefault="003A128B">
      <w:pPr>
        <w:numPr>
          <w:ilvl w:val="0"/>
          <w:numId w:val="3"/>
        </w:num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Respuesta 011 SAIMEX 2023.pdf: </w:t>
      </w:r>
      <w:r>
        <w:rPr>
          <w:rFonts w:ascii="Palatino Linotype" w:eastAsia="Palatino Linotype" w:hAnsi="Palatino Linotype" w:cs="Palatino Linotype"/>
          <w:color w:val="000000"/>
          <w:sz w:val="24"/>
          <w:szCs w:val="24"/>
        </w:rPr>
        <w:t xml:space="preserve">Documento consistente en número de oficio 210C0301000400S/D/129/2023, de fecha veintisiete de marzo de dos mil veintitrés, a través del cual el Titular del Órgano Interno de Control, señaló que de acuerdo al artículo 35, del Reglamento Interior de la Secretaría de Contraloría del Gobierno del Estado de México, publicado el 22 de noviembre de 2018, </w:t>
      </w:r>
      <w:r>
        <w:rPr>
          <w:rFonts w:ascii="Palatino Linotype" w:eastAsia="Palatino Linotype" w:hAnsi="Palatino Linotype" w:cs="Palatino Linotype"/>
          <w:i/>
          <w:color w:val="000000"/>
          <w:sz w:val="24"/>
          <w:szCs w:val="24"/>
        </w:rPr>
        <w:t>“… Los órganos internos de control, así como las Áreas de Auditoría, de Quejas y de Responsabilidades, o en su caso los servidores públicos que realicen las funciones que correspondan a dichas áreas, de las dependencias y organismos auxiliares, serán considerados y dependerán jerárquicamente y funcionalmente de la Secretaría, quienes observarán las políticas, normas, lineamientos, procedimientos y demás disposiciones aplicables, así como los programas de trabajo dela Secretaría…”</w:t>
      </w:r>
      <w:r>
        <w:rPr>
          <w:rFonts w:ascii="Palatino Linotype" w:eastAsia="Palatino Linotype" w:hAnsi="Palatino Linotype" w:cs="Palatino Linotype"/>
          <w:color w:val="000000"/>
          <w:sz w:val="24"/>
          <w:szCs w:val="24"/>
        </w:rPr>
        <w:t xml:space="preserve"> ese Órgano Interno de Control depende directamente de la Secretaría de la Contraloría del Gobierno del Estado de México,  por lo anterior se encuentra imposibilitado de poder atender su requerimiento en los términos solicitados. Además proporcionó la página </w:t>
      </w:r>
      <w:r>
        <w:rPr>
          <w:rFonts w:ascii="Palatino Linotype" w:eastAsia="Palatino Linotype" w:hAnsi="Palatino Linotype" w:cs="Palatino Linotype"/>
          <w:color w:val="000000"/>
          <w:sz w:val="24"/>
          <w:szCs w:val="24"/>
        </w:rPr>
        <w:lastRenderedPageBreak/>
        <w:t>web  http:</w:t>
      </w:r>
      <w:hyperlink r:id="rId8">
        <w:r>
          <w:rPr>
            <w:rFonts w:ascii="Palatino Linotype" w:eastAsia="Palatino Linotype" w:hAnsi="Palatino Linotype" w:cs="Palatino Linotype"/>
            <w:color w:val="0563C1"/>
            <w:sz w:val="24"/>
            <w:szCs w:val="24"/>
            <w:u w:val="single"/>
          </w:rPr>
          <w:t>www.ipomex.org.mx/ipo/lgt/índice/secogem.web</w:t>
        </w:r>
      </w:hyperlink>
      <w:r>
        <w:rPr>
          <w:rFonts w:ascii="Palatino Linotype" w:eastAsia="Palatino Linotype" w:hAnsi="Palatino Linotype" w:cs="Palatino Linotype"/>
          <w:color w:val="000000"/>
          <w:sz w:val="24"/>
          <w:szCs w:val="24"/>
        </w:rPr>
        <w:t xml:space="preserve"> , a través de la cual se podrá consultar la información de acceso al público, como son las auditorías, inspecciones, evaluaciones, etc., realizadas por el Órgano Interno de Control.   </w:t>
      </w:r>
    </w:p>
    <w:p w14:paraId="70FE4693" w14:textId="77777777" w:rsidR="00C9333D" w:rsidRDefault="00C9333D">
      <w:pPr>
        <w:spacing w:after="0" w:line="360" w:lineRule="auto"/>
        <w:ind w:right="-28"/>
        <w:jc w:val="both"/>
        <w:rPr>
          <w:rFonts w:ascii="Palatino Linotype" w:eastAsia="Palatino Linotype" w:hAnsi="Palatino Linotype" w:cs="Palatino Linotype"/>
          <w:sz w:val="24"/>
          <w:szCs w:val="24"/>
        </w:rPr>
      </w:pPr>
    </w:p>
    <w:p w14:paraId="65E66F89"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las respuestas del Sujeto Obligado,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los medios de impugnación citados al rubro, expresando lo siguiente:</w:t>
      </w:r>
    </w:p>
    <w:p w14:paraId="5451B79B" w14:textId="77777777" w:rsidR="00C9333D" w:rsidRDefault="00C9333D">
      <w:pPr>
        <w:spacing w:after="0" w:line="360" w:lineRule="auto"/>
        <w:jc w:val="both"/>
        <w:rPr>
          <w:rFonts w:ascii="Palatino Linotype" w:eastAsia="Palatino Linotype" w:hAnsi="Palatino Linotype" w:cs="Palatino Linotype"/>
          <w:sz w:val="24"/>
          <w:szCs w:val="24"/>
        </w:rPr>
      </w:pPr>
    </w:p>
    <w:p w14:paraId="5DFD912B" w14:textId="77777777" w:rsidR="00C9333D" w:rsidRDefault="003A128B">
      <w:pPr>
        <w:pBdr>
          <w:top w:val="nil"/>
          <w:left w:val="nil"/>
          <w:bottom w:val="nil"/>
          <w:right w:val="nil"/>
          <w:between w:val="nil"/>
        </w:pBdr>
        <w:spacing w:after="0" w:line="240" w:lineRule="auto"/>
        <w:rPr>
          <w:color w:val="000000"/>
        </w:rPr>
      </w:pPr>
      <w:r>
        <w:rPr>
          <w:rFonts w:ascii="Palatino Linotype" w:eastAsia="Palatino Linotype" w:hAnsi="Palatino Linotype" w:cs="Palatino Linotype"/>
          <w:b/>
          <w:color w:val="000000"/>
        </w:rPr>
        <w:t>01870/INFOEM/IP/RR/2023:</w:t>
      </w:r>
    </w:p>
    <w:p w14:paraId="63B712FC" w14:textId="77777777" w:rsidR="00C9333D" w:rsidRDefault="00C9333D">
      <w:pPr>
        <w:pBdr>
          <w:top w:val="nil"/>
          <w:left w:val="nil"/>
          <w:bottom w:val="nil"/>
          <w:right w:val="nil"/>
          <w:between w:val="nil"/>
        </w:pBdr>
        <w:spacing w:after="0" w:line="240" w:lineRule="auto"/>
        <w:rPr>
          <w:color w:val="000000"/>
        </w:rPr>
      </w:pPr>
    </w:p>
    <w:p w14:paraId="01602AC3" w14:textId="77777777" w:rsidR="00C9333D" w:rsidRDefault="003A128B">
      <w:pPr>
        <w:numPr>
          <w:ilvl w:val="0"/>
          <w:numId w:val="1"/>
        </w:numPr>
        <w:spacing w:after="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p>
    <w:p w14:paraId="61552CD1" w14:textId="77777777" w:rsidR="00C9333D" w:rsidRDefault="003A128B">
      <w:pPr>
        <w:spacing w:after="0" w:line="360" w:lineRule="auto"/>
        <w:ind w:left="851" w:right="851"/>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t xml:space="preserve"> “incompetencia por el sujeto obligado” [sic]</w:t>
      </w:r>
    </w:p>
    <w:p w14:paraId="1BA52DB0" w14:textId="77777777" w:rsidR="00C9333D" w:rsidRDefault="003A128B">
      <w:pPr>
        <w:numPr>
          <w:ilvl w:val="0"/>
          <w:numId w:val="1"/>
        </w:numPr>
        <w:spacing w:after="0"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b/>
          <w:u w:val="single"/>
        </w:rPr>
        <w:t>Razones o Motivos de Inconformidad</w:t>
      </w:r>
      <w:r>
        <w:rPr>
          <w:rFonts w:ascii="Palatino Linotype" w:eastAsia="Palatino Linotype" w:hAnsi="Palatino Linotype" w:cs="Palatino Linotype"/>
          <w:u w:val="single"/>
        </w:rPr>
        <w:t xml:space="preserve">: </w:t>
      </w:r>
    </w:p>
    <w:p w14:paraId="2AD67D20" w14:textId="77777777" w:rsidR="00C9333D" w:rsidRDefault="003A128B">
      <w:pPr>
        <w:spacing w:after="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“solicito el documento oficial firmado por la autoridad superior a la Lic. Cynthia Robledo Mancera, donde se le autoriza dicho calendario, </w:t>
      </w:r>
      <w:proofErr w:type="spellStart"/>
      <w:r>
        <w:rPr>
          <w:rFonts w:ascii="Palatino Linotype" w:eastAsia="Palatino Linotype" w:hAnsi="Palatino Linotype" w:cs="Palatino Linotype"/>
          <w:i/>
        </w:rPr>
        <w:t>instruccion</w:t>
      </w:r>
      <w:proofErr w:type="spellEnd"/>
      <w:r>
        <w:rPr>
          <w:rFonts w:ascii="Palatino Linotype" w:eastAsia="Palatino Linotype" w:hAnsi="Palatino Linotype" w:cs="Palatino Linotype"/>
          <w:i/>
        </w:rPr>
        <w:t xml:space="preserve"> y </w:t>
      </w:r>
      <w:proofErr w:type="spellStart"/>
      <w:r>
        <w:rPr>
          <w:rFonts w:ascii="Palatino Linotype" w:eastAsia="Palatino Linotype" w:hAnsi="Palatino Linotype" w:cs="Palatino Linotype"/>
          <w:i/>
        </w:rPr>
        <w:t>asignacion</w:t>
      </w:r>
      <w:proofErr w:type="spellEnd"/>
      <w:r>
        <w:rPr>
          <w:rFonts w:ascii="Palatino Linotype" w:eastAsia="Palatino Linotype" w:hAnsi="Palatino Linotype" w:cs="Palatino Linotype"/>
          <w:i/>
        </w:rPr>
        <w:t xml:space="preserve"> a las unidades administrativas, para que realicen los actos </w:t>
      </w:r>
      <w:proofErr w:type="spellStart"/>
      <w:r>
        <w:rPr>
          <w:rFonts w:ascii="Palatino Linotype" w:eastAsia="Palatino Linotype" w:hAnsi="Palatino Linotype" w:cs="Palatino Linotype"/>
          <w:i/>
        </w:rPr>
        <w:t>civicos</w:t>
      </w:r>
      <w:proofErr w:type="spellEnd"/>
      <w:r>
        <w:rPr>
          <w:rFonts w:ascii="Palatino Linotype" w:eastAsia="Palatino Linotype" w:hAnsi="Palatino Linotype" w:cs="Palatino Linotype"/>
          <w:i/>
        </w:rPr>
        <w:t xml:space="preserve"> todos los lunes. De no contar con el documento de </w:t>
      </w:r>
      <w:proofErr w:type="spellStart"/>
      <w:r>
        <w:rPr>
          <w:rFonts w:ascii="Palatino Linotype" w:eastAsia="Palatino Linotype" w:hAnsi="Palatino Linotype" w:cs="Palatino Linotype"/>
          <w:i/>
        </w:rPr>
        <w:t>autorizacion</w:t>
      </w:r>
      <w:proofErr w:type="spellEnd"/>
      <w:r>
        <w:rPr>
          <w:rFonts w:ascii="Palatino Linotype" w:eastAsia="Palatino Linotype" w:hAnsi="Palatino Linotype" w:cs="Palatino Linotype"/>
          <w:i/>
        </w:rPr>
        <w:t xml:space="preserve">, entonces el correo </w:t>
      </w:r>
      <w:proofErr w:type="spellStart"/>
      <w:r>
        <w:rPr>
          <w:rFonts w:ascii="Palatino Linotype" w:eastAsia="Palatino Linotype" w:hAnsi="Palatino Linotype" w:cs="Palatino Linotype"/>
          <w:i/>
        </w:rPr>
        <w:t>electronico</w:t>
      </w:r>
      <w:proofErr w:type="spellEnd"/>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intitucional</w:t>
      </w:r>
      <w:proofErr w:type="spellEnd"/>
      <w:r>
        <w:rPr>
          <w:rFonts w:ascii="Palatino Linotype" w:eastAsia="Palatino Linotype" w:hAnsi="Palatino Linotype" w:cs="Palatino Linotype"/>
          <w:i/>
        </w:rPr>
        <w:t xml:space="preserve"> por la autoridad superior a la Lic. Cynthia Robledo Mancera, donde se le autoriza dicho calendario e </w:t>
      </w:r>
      <w:proofErr w:type="spellStart"/>
      <w:r>
        <w:rPr>
          <w:rFonts w:ascii="Palatino Linotype" w:eastAsia="Palatino Linotype" w:hAnsi="Palatino Linotype" w:cs="Palatino Linotype"/>
          <w:i/>
        </w:rPr>
        <w:t>instruccion</w:t>
      </w:r>
      <w:proofErr w:type="spellEnd"/>
      <w:r>
        <w:rPr>
          <w:rFonts w:ascii="Palatino Linotype" w:eastAsia="Palatino Linotype" w:hAnsi="Palatino Linotype" w:cs="Palatino Linotype"/>
          <w:i/>
        </w:rPr>
        <w:t xml:space="preserve">. De no contar con el documento de </w:t>
      </w:r>
      <w:proofErr w:type="spellStart"/>
      <w:r>
        <w:rPr>
          <w:rFonts w:ascii="Palatino Linotype" w:eastAsia="Palatino Linotype" w:hAnsi="Palatino Linotype" w:cs="Palatino Linotype"/>
          <w:i/>
        </w:rPr>
        <w:t>autorizacion</w:t>
      </w:r>
      <w:proofErr w:type="spellEnd"/>
      <w:r>
        <w:rPr>
          <w:rFonts w:ascii="Palatino Linotype" w:eastAsia="Palatino Linotype" w:hAnsi="Palatino Linotype" w:cs="Palatino Linotype"/>
          <w:i/>
        </w:rPr>
        <w:t xml:space="preserve"> por la autoridad superior a la Lic. Cynthia Robledo Mancera y el correo </w:t>
      </w:r>
      <w:proofErr w:type="spellStart"/>
      <w:r>
        <w:rPr>
          <w:rFonts w:ascii="Palatino Linotype" w:eastAsia="Palatino Linotype" w:hAnsi="Palatino Linotype" w:cs="Palatino Linotype"/>
          <w:i/>
        </w:rPr>
        <w:t>electronico</w:t>
      </w:r>
      <w:proofErr w:type="spellEnd"/>
      <w:r>
        <w:rPr>
          <w:rFonts w:ascii="Palatino Linotype" w:eastAsia="Palatino Linotype" w:hAnsi="Palatino Linotype" w:cs="Palatino Linotype"/>
          <w:i/>
        </w:rPr>
        <w:t xml:space="preserve"> institucional, entonces solicito por este medio que la Lic. Cynthia Robledo Mancera documento simple donde detalla quien cuando y como se le autorizo calendario anual </w:t>
      </w:r>
      <w:proofErr w:type="gramStart"/>
      <w:r>
        <w:rPr>
          <w:rFonts w:ascii="Palatino Linotype" w:eastAsia="Palatino Linotype" w:hAnsi="Palatino Linotype" w:cs="Palatino Linotype"/>
          <w:i/>
        </w:rPr>
        <w:t>2023 ,</w:t>
      </w:r>
      <w:proofErr w:type="gramEnd"/>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instruccion</w:t>
      </w:r>
      <w:proofErr w:type="spellEnd"/>
      <w:r>
        <w:rPr>
          <w:rFonts w:ascii="Palatino Linotype" w:eastAsia="Palatino Linotype" w:hAnsi="Palatino Linotype" w:cs="Palatino Linotype"/>
          <w:i/>
        </w:rPr>
        <w:t xml:space="preserve"> y </w:t>
      </w:r>
      <w:proofErr w:type="spellStart"/>
      <w:r>
        <w:rPr>
          <w:rFonts w:ascii="Palatino Linotype" w:eastAsia="Palatino Linotype" w:hAnsi="Palatino Linotype" w:cs="Palatino Linotype"/>
          <w:i/>
        </w:rPr>
        <w:t>asignacion</w:t>
      </w:r>
      <w:proofErr w:type="spellEnd"/>
      <w:r>
        <w:rPr>
          <w:rFonts w:ascii="Palatino Linotype" w:eastAsia="Palatino Linotype" w:hAnsi="Palatino Linotype" w:cs="Palatino Linotype"/>
          <w:i/>
        </w:rPr>
        <w:t xml:space="preserve"> a las unidades </w:t>
      </w:r>
      <w:r>
        <w:rPr>
          <w:rFonts w:ascii="Palatino Linotype" w:eastAsia="Palatino Linotype" w:hAnsi="Palatino Linotype" w:cs="Palatino Linotype"/>
          <w:i/>
        </w:rPr>
        <w:lastRenderedPageBreak/>
        <w:t xml:space="preserve">administrativas, para que realicen los actos </w:t>
      </w:r>
      <w:proofErr w:type="spellStart"/>
      <w:r>
        <w:rPr>
          <w:rFonts w:ascii="Palatino Linotype" w:eastAsia="Palatino Linotype" w:hAnsi="Palatino Linotype" w:cs="Palatino Linotype"/>
          <w:i/>
        </w:rPr>
        <w:t>civicos</w:t>
      </w:r>
      <w:proofErr w:type="spellEnd"/>
      <w:r>
        <w:rPr>
          <w:rFonts w:ascii="Palatino Linotype" w:eastAsia="Palatino Linotype" w:hAnsi="Palatino Linotype" w:cs="Palatino Linotype"/>
          <w:i/>
        </w:rPr>
        <w:t xml:space="preserve"> todos los lunes. Dejando de aplicar sus funciones de acuerdo al Manual General de Organización.” [sic]</w:t>
      </w:r>
    </w:p>
    <w:p w14:paraId="018AF358" w14:textId="77777777" w:rsidR="00C9333D" w:rsidRDefault="00C9333D">
      <w:pPr>
        <w:spacing w:after="0" w:line="360" w:lineRule="auto"/>
        <w:ind w:left="851" w:right="851"/>
        <w:jc w:val="both"/>
        <w:rPr>
          <w:rFonts w:ascii="Palatino Linotype" w:eastAsia="Palatino Linotype" w:hAnsi="Palatino Linotype" w:cs="Palatino Linotype"/>
          <w:i/>
        </w:rPr>
      </w:pPr>
    </w:p>
    <w:p w14:paraId="4AA62BB8" w14:textId="77777777" w:rsidR="00C9333D" w:rsidRDefault="003A128B">
      <w:p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01872/INFOEM/IP/RR/2023:</w:t>
      </w:r>
    </w:p>
    <w:p w14:paraId="63E806E3" w14:textId="77777777" w:rsidR="00C9333D" w:rsidRDefault="00C9333D">
      <w:pPr>
        <w:pBdr>
          <w:top w:val="nil"/>
          <w:left w:val="nil"/>
          <w:bottom w:val="nil"/>
          <w:right w:val="nil"/>
          <w:between w:val="nil"/>
        </w:pBdr>
        <w:spacing w:after="0" w:line="240" w:lineRule="auto"/>
        <w:rPr>
          <w:color w:val="000000"/>
        </w:rPr>
      </w:pPr>
    </w:p>
    <w:p w14:paraId="575D1DFC" w14:textId="77777777" w:rsidR="00C9333D" w:rsidRDefault="003A128B">
      <w:pPr>
        <w:numPr>
          <w:ilvl w:val="0"/>
          <w:numId w:val="2"/>
        </w:numPr>
        <w:spacing w:after="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p>
    <w:p w14:paraId="2A543F7D" w14:textId="77777777" w:rsidR="00C9333D" w:rsidRDefault="003A128B">
      <w:pPr>
        <w:spacing w:after="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“negatividad a permitir la consulta directa de la información de acuerdo al Manual General de Organización de la Universidad Tecnológica de Nezahualcóyotl publicado en la Gaceta de Gobierno del Estado de México el 30 de julio de 2012” [sic]</w:t>
      </w:r>
    </w:p>
    <w:p w14:paraId="7D146A4F" w14:textId="77777777" w:rsidR="00C9333D" w:rsidRDefault="003A128B">
      <w:pPr>
        <w:numPr>
          <w:ilvl w:val="0"/>
          <w:numId w:val="2"/>
        </w:numPr>
        <w:spacing w:after="0"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b/>
          <w:u w:val="single"/>
        </w:rPr>
        <w:t>Razones o Motivos de Inconformidad</w:t>
      </w:r>
      <w:r>
        <w:rPr>
          <w:rFonts w:ascii="Palatino Linotype" w:eastAsia="Palatino Linotype" w:hAnsi="Palatino Linotype" w:cs="Palatino Linotype"/>
          <w:u w:val="single"/>
        </w:rPr>
        <w:t xml:space="preserve">: </w:t>
      </w:r>
    </w:p>
    <w:p w14:paraId="133F58FB" w14:textId="77777777" w:rsidR="00C9333D" w:rsidRDefault="003A128B">
      <w:pPr>
        <w:spacing w:after="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“De acuerdo al Manual General de Organización de la Universidad Tecnológica de Nezahualcóyotl publicado en la Gaceta de Gobierno del Estado de México el 30 de julio de 2012,donde especifica las funciones de Contraloría Interna ahora denominada Órgano Interno de Control, en la </w:t>
      </w:r>
      <w:proofErr w:type="spellStart"/>
      <w:r>
        <w:rPr>
          <w:rFonts w:ascii="Palatino Linotype" w:eastAsia="Palatino Linotype" w:hAnsi="Palatino Linotype" w:cs="Palatino Linotype"/>
          <w:i/>
        </w:rPr>
        <w:t>pagina</w:t>
      </w:r>
      <w:proofErr w:type="spellEnd"/>
      <w:r>
        <w:rPr>
          <w:rFonts w:ascii="Palatino Linotype" w:eastAsia="Palatino Linotype" w:hAnsi="Palatino Linotype" w:cs="Palatino Linotype"/>
          <w:i/>
        </w:rPr>
        <w:t xml:space="preserve"> 34 se especifica la FUNCIÖN, Recibir, atender, tramitar y dar seguimientos a las quejas y denuncias que se interpongan contra los servidores públicos de la Universidad a través de los sistemas informáticos establecidos para este proceso. Por lo anterior solicito se ESPECIFIQUE que PROCEDIMIENTO realiza el Lic. Franco Edgardo Chávez </w:t>
      </w:r>
      <w:proofErr w:type="spellStart"/>
      <w:r>
        <w:rPr>
          <w:rFonts w:ascii="Palatino Linotype" w:eastAsia="Palatino Linotype" w:hAnsi="Palatino Linotype" w:cs="Palatino Linotype"/>
          <w:i/>
        </w:rPr>
        <w:t>Enriquez</w:t>
      </w:r>
      <w:proofErr w:type="spellEnd"/>
      <w:r>
        <w:rPr>
          <w:rFonts w:ascii="Palatino Linotype" w:eastAsia="Palatino Linotype" w:hAnsi="Palatino Linotype" w:cs="Palatino Linotype"/>
          <w:i/>
        </w:rPr>
        <w:t xml:space="preserve"> titular del </w:t>
      </w:r>
      <w:proofErr w:type="spellStart"/>
      <w:r>
        <w:rPr>
          <w:rFonts w:ascii="Palatino Linotype" w:eastAsia="Palatino Linotype" w:hAnsi="Palatino Linotype" w:cs="Palatino Linotype"/>
          <w:i/>
        </w:rPr>
        <w:t>Organo</w:t>
      </w:r>
      <w:proofErr w:type="spellEnd"/>
      <w:r>
        <w:rPr>
          <w:rFonts w:ascii="Palatino Linotype" w:eastAsia="Palatino Linotype" w:hAnsi="Palatino Linotype" w:cs="Palatino Linotype"/>
          <w:i/>
        </w:rPr>
        <w:t xml:space="preserve"> Interno de Control donde da seguimiento a la EVACION de sus funciones de acuerdo al Manual General de Organización de la Lic. Cynthia Robledo Mancera.” [sic]</w:t>
      </w:r>
    </w:p>
    <w:p w14:paraId="00454777" w14:textId="77777777" w:rsidR="00C9333D" w:rsidRDefault="00C9333D">
      <w:pPr>
        <w:spacing w:after="0" w:line="360" w:lineRule="auto"/>
        <w:jc w:val="both"/>
        <w:rPr>
          <w:rFonts w:ascii="Palatino Linotype" w:eastAsia="Palatino Linotype" w:hAnsi="Palatino Linotype" w:cs="Palatino Linotype"/>
          <w:sz w:val="24"/>
          <w:szCs w:val="24"/>
        </w:rPr>
      </w:pPr>
    </w:p>
    <w:p w14:paraId="7CD34F22" w14:textId="77777777" w:rsidR="00C9333D" w:rsidRDefault="003A128B">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Ahora bien,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resultó</w:t>
      </w:r>
      <w:r>
        <w:rPr>
          <w:rFonts w:ascii="Palatino Linotype" w:eastAsia="Palatino Linotype" w:hAnsi="Palatino Linotype" w:cs="Palatino Linotype"/>
          <w:color w:val="000000"/>
          <w:sz w:val="24"/>
          <w:szCs w:val="24"/>
        </w:rPr>
        <w:t xml:space="preserve"> omisa de emitir sus manifestaciones, por lo que respecta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también resultó omiso de emitir su informe justificado. </w:t>
      </w:r>
    </w:p>
    <w:p w14:paraId="518FC051" w14:textId="77777777" w:rsidR="00C9333D" w:rsidRDefault="00C9333D">
      <w:pPr>
        <w:spacing w:after="0" w:line="360" w:lineRule="auto"/>
        <w:jc w:val="both"/>
        <w:rPr>
          <w:rFonts w:ascii="Palatino Linotype" w:eastAsia="Palatino Linotype" w:hAnsi="Palatino Linotype" w:cs="Palatino Linotype"/>
          <w:color w:val="000000"/>
          <w:sz w:val="24"/>
          <w:szCs w:val="24"/>
        </w:rPr>
      </w:pPr>
    </w:p>
    <w:p w14:paraId="12D1BA1F" w14:textId="77777777" w:rsidR="00C9333D" w:rsidRDefault="003A128B">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w:t>
      </w:r>
      <w:r>
        <w:rPr>
          <w:rFonts w:ascii="Palatino Linotype" w:eastAsia="Palatino Linotype" w:hAnsi="Palatino Linotype" w:cs="Palatino Linotype"/>
          <w:color w:val="000000"/>
          <w:sz w:val="24"/>
          <w:szCs w:val="24"/>
        </w:rPr>
        <w:t>, el Comisionado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Ponente consideró </w:t>
      </w:r>
      <w:r>
        <w:rPr>
          <w:rFonts w:ascii="Palatino Linotype" w:eastAsia="Palatino Linotype" w:hAnsi="Palatino Linotype" w:cs="Palatino Linotype"/>
          <w:sz w:val="24"/>
          <w:szCs w:val="24"/>
        </w:rPr>
        <w:t xml:space="preserve">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y determinó MODIFICAR las respuestas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14:paraId="12DDF0CF" w14:textId="77777777" w:rsidR="00C9333D" w:rsidRDefault="00C9333D">
      <w:pPr>
        <w:spacing w:line="276" w:lineRule="auto"/>
        <w:ind w:right="900"/>
        <w:jc w:val="both"/>
        <w:rPr>
          <w:rFonts w:ascii="Palatino Linotype" w:eastAsia="Palatino Linotype" w:hAnsi="Palatino Linotype" w:cs="Palatino Linotype"/>
          <w:i/>
        </w:rPr>
      </w:pPr>
    </w:p>
    <w:p w14:paraId="676BFBDB" w14:textId="77777777" w:rsidR="00C9333D" w:rsidRDefault="003A128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haga entrega a la Recurrente en términos del Considerando CUARTO de esta resolución, previa búsqueda exhaustiva y razonable, en versión pública, a través del Sistema de Acceso a la Información Mexiquense (SAIMEX), documentos donde conste lo siguiente:</w:t>
      </w:r>
    </w:p>
    <w:p w14:paraId="34A9E56A" w14:textId="77777777" w:rsidR="00C9333D" w:rsidRDefault="00C9333D">
      <w:pPr>
        <w:tabs>
          <w:tab w:val="left" w:pos="4962"/>
        </w:tabs>
        <w:spacing w:after="0" w:line="276" w:lineRule="auto"/>
        <w:ind w:left="851" w:right="758"/>
        <w:jc w:val="both"/>
        <w:rPr>
          <w:rFonts w:ascii="Palatino Linotype" w:eastAsia="Palatino Linotype" w:hAnsi="Palatino Linotype" w:cs="Palatino Linotype"/>
          <w:i/>
        </w:rPr>
      </w:pPr>
    </w:p>
    <w:p w14:paraId="74D2D9B6" w14:textId="77777777" w:rsidR="00C9333D" w:rsidRDefault="003A128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1. Documento con el que se autorizó el calendario anual 2023 y/o el acto cívico a la servidora pública descrita en la solicitud de información.</w:t>
      </w:r>
    </w:p>
    <w:p w14:paraId="57F722E3" w14:textId="77777777" w:rsidR="00C9333D" w:rsidRDefault="003A128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2. Procedimientos iniciados por el Órgano Interno de Control con motivo de la evasión de funciones, por llevar a cabo la actividad del acto cívico referida en la solicitud de información, en el periodo que comprende del primero de enero al veintiuno de marzo del dos mil veintitrés</w:t>
      </w:r>
    </w:p>
    <w:p w14:paraId="3F023D66" w14:textId="77777777" w:rsidR="00C9333D" w:rsidRDefault="00C9333D">
      <w:pPr>
        <w:tabs>
          <w:tab w:val="left" w:pos="4962"/>
        </w:tabs>
        <w:spacing w:after="0" w:line="276" w:lineRule="auto"/>
        <w:ind w:left="851" w:right="758"/>
        <w:jc w:val="both"/>
        <w:rPr>
          <w:rFonts w:ascii="Palatino Linotype" w:eastAsia="Palatino Linotype" w:hAnsi="Palatino Linotype" w:cs="Palatino Linotype"/>
          <w:i/>
        </w:rPr>
      </w:pPr>
    </w:p>
    <w:p w14:paraId="53FA5136" w14:textId="77777777" w:rsidR="00C9333D" w:rsidRDefault="003A128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0A78AE" w14:textId="77777777" w:rsidR="00C9333D" w:rsidRDefault="00C9333D">
      <w:pPr>
        <w:tabs>
          <w:tab w:val="left" w:pos="4962"/>
        </w:tabs>
        <w:spacing w:after="0" w:line="276" w:lineRule="auto"/>
        <w:ind w:left="851" w:right="758"/>
        <w:jc w:val="both"/>
        <w:rPr>
          <w:rFonts w:ascii="Palatino Linotype" w:eastAsia="Palatino Linotype" w:hAnsi="Palatino Linotype" w:cs="Palatino Linotype"/>
          <w:i/>
        </w:rPr>
      </w:pPr>
    </w:p>
    <w:p w14:paraId="3DC492EA" w14:textId="77777777" w:rsidR="00C9333D" w:rsidRDefault="003A128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el caso de que los procedimientos iniciados derivado de la evasión de funciones descrita en la solicitud de información, se encuentren en trámite y/o no hayan </w:t>
      </w:r>
      <w:r>
        <w:rPr>
          <w:rFonts w:ascii="Palatino Linotype" w:eastAsia="Palatino Linotype" w:hAnsi="Palatino Linotype" w:cs="Palatino Linotype"/>
          <w:i/>
        </w:rPr>
        <w:lastRenderedPageBreak/>
        <w:t>causado estado, deberá notificar a la Recurrente el Acuerdo de Clasificación de la información Reservada que apruebe su Comité de Transparencia, debidamente fundado y motivado.</w:t>
      </w:r>
    </w:p>
    <w:p w14:paraId="3944DD78" w14:textId="77777777" w:rsidR="00C9333D" w:rsidRDefault="00C9333D">
      <w:pPr>
        <w:tabs>
          <w:tab w:val="left" w:pos="4962"/>
        </w:tabs>
        <w:spacing w:after="0" w:line="276" w:lineRule="auto"/>
        <w:ind w:left="851" w:right="758"/>
        <w:jc w:val="both"/>
        <w:rPr>
          <w:rFonts w:ascii="Palatino Linotype" w:eastAsia="Palatino Linotype" w:hAnsi="Palatino Linotype" w:cs="Palatino Linotype"/>
          <w:i/>
        </w:rPr>
      </w:pPr>
    </w:p>
    <w:p w14:paraId="21F122DB" w14:textId="77777777" w:rsidR="00C9333D" w:rsidRDefault="003A128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Para el que en caso de que después de haber realizado una búsqueda exhaustiva y razonable, no se haya iniciado procedimiento por la información requerida en el punto 2, se deberá hacer del conocimiento a la Recurrente de manera motivada, en concordancia con el párrafo segundo del artículo 19 de la Ley de Transparencia y Acceso a la Información Pública del Estado de México y Municipios.”</w:t>
      </w:r>
    </w:p>
    <w:p w14:paraId="3AD2F25E" w14:textId="77777777" w:rsidR="00C9333D" w:rsidRDefault="00C9333D">
      <w:pPr>
        <w:spacing w:after="240" w:line="360" w:lineRule="auto"/>
        <w:jc w:val="both"/>
        <w:rPr>
          <w:rFonts w:ascii="Palatino Linotype" w:eastAsia="Palatino Linotype" w:hAnsi="Palatino Linotype" w:cs="Palatino Linotype"/>
          <w:color w:val="000000"/>
        </w:rPr>
      </w:pPr>
      <w:bookmarkStart w:id="2" w:name="_heading=h.1fob9te" w:colFirst="0" w:colLast="0"/>
      <w:bookmarkEnd w:id="2"/>
    </w:p>
    <w:p w14:paraId="49A8CC93" w14:textId="77777777" w:rsidR="00C9333D" w:rsidRDefault="003A128B">
      <w:pPr>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II. Razones del Voto Disidente.</w:t>
      </w:r>
    </w:p>
    <w:p w14:paraId="6BBD07BB" w14:textId="77777777" w:rsidR="00C9333D" w:rsidRDefault="00C9333D">
      <w:pPr>
        <w:spacing w:after="0" w:line="360" w:lineRule="auto"/>
        <w:jc w:val="both"/>
        <w:rPr>
          <w:rFonts w:ascii="Palatino Linotype" w:eastAsia="Palatino Linotype" w:hAnsi="Palatino Linotype" w:cs="Palatino Linotype"/>
          <w:sz w:val="24"/>
          <w:szCs w:val="24"/>
        </w:rPr>
      </w:pPr>
    </w:p>
    <w:p w14:paraId="4DDE7317"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lo anterior, el presente VOTO DISIDENTE es en relación al punto dos del resolutivo segundo en el que se ordena el documento en el que consten los procedimientos iniciados por el Órgano Interno de Control con motivo de la evasión de funciones, por llevar a cabo la actividad del acto cívico referida en la solicitud de información, en el periodo que comprende del primero de enero al veintiuno de marzo del dos mil veintitrés, lo anterior toda vez que no hay que perder de vista que si bien pide información del procedimiento que lleva a cabo el Titular del Órgano de Control Interno sobre el seguimiento de evasión de funciones, dicho procedimiento se encuentra relacionado con una determinada servidora pública. </w:t>
      </w:r>
    </w:p>
    <w:p w14:paraId="69F21165" w14:textId="77777777" w:rsidR="00C9333D" w:rsidRDefault="00C9333D">
      <w:pPr>
        <w:spacing w:after="0" w:line="360" w:lineRule="auto"/>
        <w:jc w:val="both"/>
        <w:rPr>
          <w:rFonts w:ascii="Palatino Linotype" w:eastAsia="Palatino Linotype" w:hAnsi="Palatino Linotype" w:cs="Palatino Linotype"/>
          <w:sz w:val="24"/>
          <w:szCs w:val="24"/>
        </w:rPr>
      </w:pPr>
    </w:p>
    <w:p w14:paraId="069239F2" w14:textId="77777777" w:rsidR="00C9333D" w:rsidRDefault="003A128B">
      <w:pPr>
        <w:spacing w:after="0" w:line="36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sz w:val="24"/>
          <w:szCs w:val="24"/>
        </w:rPr>
        <w:t xml:space="preserve">Por ello, se debió analiza la naturaleza de la información y la procedencia de la clasificación del pronunciamiento, siendo necesario mencionar que el realizar un </w:t>
      </w:r>
      <w:r>
        <w:rPr>
          <w:rFonts w:ascii="Palatino Linotype" w:eastAsia="Palatino Linotype" w:hAnsi="Palatino Linotype" w:cs="Palatino Linotype"/>
          <w:sz w:val="24"/>
          <w:szCs w:val="24"/>
        </w:rPr>
        <w:lastRenderedPageBreak/>
        <w:t xml:space="preserve">pronunciamiento sobre la existencia de un procedimiento de posibles responsabilidades en trámite vinculados a determinados servidores públicos, podría afectar a los posibles responsables identificados en el presente caso, </w:t>
      </w:r>
      <w:r>
        <w:rPr>
          <w:rFonts w:ascii="Palatino Linotype" w:eastAsia="Palatino Linotype" w:hAnsi="Palatino Linotype" w:cs="Palatino Linotype"/>
          <w:b/>
          <w:sz w:val="24"/>
          <w:szCs w:val="24"/>
          <w:u w:val="single"/>
        </w:rPr>
        <w:t xml:space="preserve">ya que se daría a conocer la existencia de una investigación en su contra, lo cual, generaría una percepción negativa de estos, sin que se hubiere probado su responsabilidad o culpabilidad, lo cual dañaría, su honor y su derecho a la presunción inocencia e inclusive su actividad profesional. </w:t>
      </w:r>
    </w:p>
    <w:p w14:paraId="32C59BC2" w14:textId="77777777" w:rsidR="00C9333D" w:rsidRDefault="00C9333D">
      <w:pPr>
        <w:spacing w:after="0" w:line="360" w:lineRule="auto"/>
        <w:jc w:val="both"/>
        <w:rPr>
          <w:rFonts w:ascii="Palatino Linotype" w:eastAsia="Palatino Linotype" w:hAnsi="Palatino Linotype" w:cs="Palatino Linotype"/>
          <w:b/>
          <w:sz w:val="24"/>
          <w:szCs w:val="24"/>
          <w:u w:val="single"/>
        </w:rPr>
      </w:pPr>
    </w:p>
    <w:p w14:paraId="61F526B5"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otras palabras, dar a conocer la existencia de un procedimiento de posibles responsabilidades en trámite, vulneraría la protección de su privacidad, honor y presunción de inocencia, ya que podría generar un juicio a priori por parte de la sociedad, sin que se tenga una determinación firme, donde haya quedada acreditada su responsabilidad.</w:t>
      </w:r>
    </w:p>
    <w:p w14:paraId="14DAE7AA" w14:textId="77777777" w:rsidR="00C9333D" w:rsidRDefault="00C9333D">
      <w:pPr>
        <w:spacing w:after="0" w:line="360" w:lineRule="auto"/>
        <w:jc w:val="both"/>
        <w:rPr>
          <w:rFonts w:ascii="Palatino Linotype" w:eastAsia="Palatino Linotype" w:hAnsi="Palatino Linotype" w:cs="Palatino Linotype"/>
          <w:sz w:val="24"/>
          <w:szCs w:val="24"/>
        </w:rPr>
      </w:pPr>
    </w:p>
    <w:p w14:paraId="2CF62C8A"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del </w:t>
      </w:r>
      <w:r>
        <w:rPr>
          <w:rFonts w:ascii="Palatino Linotype" w:eastAsia="Palatino Linotype" w:hAnsi="Palatino Linotype" w:cs="Palatino Linotype"/>
          <w:b/>
          <w:sz w:val="24"/>
          <w:szCs w:val="24"/>
        </w:rPr>
        <w:t>derecho a la privacidad</w:t>
      </w:r>
      <w:r>
        <w:rPr>
          <w:rFonts w:ascii="Palatino Linotype" w:eastAsia="Palatino Linotype" w:hAnsi="Palatino Linotype" w:cs="Palatino Linotype"/>
          <w:sz w:val="24"/>
          <w:szCs w:val="24"/>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7B17846B"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503FF85A" w14:textId="77777777" w:rsidR="00C9333D" w:rsidRDefault="003A128B">
      <w:pPr>
        <w:tabs>
          <w:tab w:val="left" w:pos="3962"/>
        </w:tabs>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DERECHO A LA PRIVACIDAD O INTIMIDAD. ESTÁ PROTEGIDO POR EL ARTÍCULO 16, PRIMER PÁRRAFO, DE LA CONSTITUCIÓN POLÍTICA DE LOS ESTADOS UNIDOS MEXICANOS</w:t>
      </w:r>
      <w:r>
        <w:rPr>
          <w:rFonts w:ascii="Palatino Linotype" w:eastAsia="Palatino Linotype" w:hAnsi="Palatino Linotype" w:cs="Palatino Linotype"/>
          <w:i/>
        </w:rPr>
        <w:t xml:space="preserve">. Dicho numeral </w:t>
      </w:r>
      <w:r>
        <w:rPr>
          <w:rFonts w:ascii="Palatino Linotype" w:eastAsia="Palatino Linotype" w:hAnsi="Palatino Linotype" w:cs="Palatino Linotype"/>
          <w:i/>
        </w:rPr>
        <w:lastRenderedPageBreak/>
        <w:t>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41277BB9" w14:textId="77777777" w:rsidR="00C9333D" w:rsidRDefault="00C9333D">
      <w:pPr>
        <w:tabs>
          <w:tab w:val="left" w:pos="3962"/>
        </w:tabs>
        <w:spacing w:line="276" w:lineRule="auto"/>
        <w:ind w:left="851" w:right="902"/>
        <w:jc w:val="both"/>
        <w:rPr>
          <w:rFonts w:ascii="Palatino Linotype" w:eastAsia="Palatino Linotype" w:hAnsi="Palatino Linotype" w:cs="Palatino Linotype"/>
          <w:i/>
        </w:rPr>
      </w:pPr>
    </w:p>
    <w:p w14:paraId="22C238AF"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10054833"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35AF8FF7"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decir, en el artículo 16, primer párrafo constitucional, se da el reconocimiento de un derecho a la privacidad de las personas que implica no ser sujeto de injerencias arbitrarias, intromisiones o molestias en el ámbito reservado de su vida o intimidad, </w:t>
      </w:r>
      <w:r>
        <w:rPr>
          <w:rFonts w:ascii="Palatino Linotype" w:eastAsia="Palatino Linotype" w:hAnsi="Palatino Linotype" w:cs="Palatino Linotype"/>
          <w:sz w:val="24"/>
          <w:szCs w:val="24"/>
        </w:rPr>
        <w:lastRenderedPageBreak/>
        <w:t>ni de ataques a su honra o a su reputación, por lo que toda persona tiene derecho a la protección de la ley contra tales injerencias o ataques.</w:t>
      </w:r>
    </w:p>
    <w:p w14:paraId="2B32BC7E"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5475E55F"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hace al </w:t>
      </w:r>
      <w:r>
        <w:rPr>
          <w:rFonts w:ascii="Palatino Linotype" w:eastAsia="Palatino Linotype" w:hAnsi="Palatino Linotype" w:cs="Palatino Linotype"/>
          <w:b/>
          <w:sz w:val="24"/>
          <w:szCs w:val="24"/>
        </w:rPr>
        <w:t>derecho al honor</w:t>
      </w:r>
      <w:r>
        <w:rPr>
          <w:rFonts w:ascii="Palatino Linotype" w:eastAsia="Palatino Linotype" w:hAnsi="Palatino Linotype" w:cs="Palatino Linotype"/>
          <w:sz w:val="24"/>
          <w:szCs w:val="24"/>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49ED3ECF"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2D8F681D" w14:textId="77777777" w:rsidR="00C9333D" w:rsidRDefault="003A128B">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“DERECHO FUNDAMENTAL AL HONOR. SU DIMENSIÓN SUBJETIVA Y OBJETIVA. </w:t>
      </w:r>
      <w:r>
        <w:rPr>
          <w:rFonts w:ascii="Palatino Linotype" w:eastAsia="Palatino Linotype" w:hAnsi="Palatino Linotype" w:cs="Palatino Linotype"/>
          <w:i/>
        </w:rPr>
        <w:t xml:space="preserve">A juicio de esta Primera Sala de la Suprema Corte de Justicia de la Nación, es posible definir al honor como el </w:t>
      </w:r>
      <w:r>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Pr>
          <w:rFonts w:ascii="Palatino Linotype" w:eastAsia="Palatino Linotype" w:hAnsi="Palatino Linotype" w:cs="Palatino Linotype"/>
          <w:i/>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7199DD00" w14:textId="77777777" w:rsidR="00C9333D" w:rsidRDefault="00C9333D">
      <w:pPr>
        <w:spacing w:line="276" w:lineRule="auto"/>
        <w:ind w:left="851" w:right="902"/>
        <w:jc w:val="both"/>
        <w:rPr>
          <w:rFonts w:ascii="Palatino Linotype" w:eastAsia="Palatino Linotype" w:hAnsi="Palatino Linotype" w:cs="Palatino Linotype"/>
        </w:rPr>
      </w:pPr>
    </w:p>
    <w:p w14:paraId="36C0393E"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Como se observa, el honor es el concepto que la persona tiene de sí misma o que los demás se han formado de ella, en virtud de su proceder o de la expresión de su calidad ética y social. </w:t>
      </w:r>
    </w:p>
    <w:p w14:paraId="0760DD43" w14:textId="77777777" w:rsidR="00C9333D" w:rsidRDefault="00C9333D">
      <w:pPr>
        <w:spacing w:after="0" w:line="360" w:lineRule="auto"/>
        <w:jc w:val="both"/>
        <w:rPr>
          <w:rFonts w:ascii="Palatino Linotype" w:eastAsia="Palatino Linotype" w:hAnsi="Palatino Linotype" w:cs="Palatino Linotype"/>
          <w:sz w:val="24"/>
          <w:szCs w:val="24"/>
        </w:rPr>
      </w:pPr>
    </w:p>
    <w:p w14:paraId="2A150FBC" w14:textId="77777777" w:rsidR="00C9333D" w:rsidRDefault="003A128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Pr>
          <w:rFonts w:ascii="Palatino Linotype" w:eastAsia="Palatino Linotype" w:hAnsi="Palatino Linotype" w:cs="Palatino Linotype"/>
          <w:b/>
          <w:sz w:val="24"/>
          <w:szCs w:val="24"/>
        </w:rPr>
        <w:t>En el aspecto objetivo, el honor es lesionado por todo aquello que afecta a la reputación que la persona merece.</w:t>
      </w:r>
    </w:p>
    <w:p w14:paraId="05096236" w14:textId="77777777" w:rsidR="00C9333D" w:rsidRDefault="00C9333D">
      <w:pPr>
        <w:spacing w:after="0" w:line="360" w:lineRule="auto"/>
        <w:jc w:val="both"/>
        <w:rPr>
          <w:rFonts w:ascii="Palatino Linotype" w:eastAsia="Palatino Linotype" w:hAnsi="Palatino Linotype" w:cs="Palatino Linotype"/>
          <w:sz w:val="24"/>
          <w:szCs w:val="24"/>
        </w:rPr>
      </w:pPr>
    </w:p>
    <w:p w14:paraId="54096CF6"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08A5EDD1" w14:textId="77777777" w:rsidR="00C9333D" w:rsidRDefault="00C9333D">
      <w:pPr>
        <w:spacing w:after="0" w:line="360" w:lineRule="auto"/>
        <w:jc w:val="both"/>
        <w:rPr>
          <w:rFonts w:ascii="Palatino Linotype" w:eastAsia="Palatino Linotype" w:hAnsi="Palatino Linotype" w:cs="Palatino Linotype"/>
          <w:sz w:val="24"/>
          <w:szCs w:val="24"/>
        </w:rPr>
      </w:pPr>
    </w:p>
    <w:p w14:paraId="60A1133C" w14:textId="77777777" w:rsidR="00C9333D" w:rsidRDefault="003A128B">
      <w:pPr>
        <w:tabs>
          <w:tab w:val="left" w:pos="7938"/>
        </w:tabs>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Pr>
          <w:rFonts w:ascii="Palatino Linotype" w:eastAsia="Palatino Linotype" w:hAnsi="Palatino Linotype" w:cs="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Pr>
          <w:rFonts w:ascii="Palatino Linotype" w:eastAsia="Palatino Linotype" w:hAnsi="Palatino Linotype" w:cs="Palatino Linotype"/>
          <w:i/>
        </w:rPr>
        <w:t>personae</w:t>
      </w:r>
      <w:proofErr w:type="spellEnd"/>
      <w:r>
        <w:rPr>
          <w:rFonts w:ascii="Palatino Linotype" w:eastAsia="Palatino Linotype" w:hAnsi="Palatino Linotype" w:cs="Palatino Linotype"/>
          <w:i/>
        </w:rPr>
        <w:t xml:space="preserv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w:t>
      </w:r>
      <w:r>
        <w:rPr>
          <w:rFonts w:ascii="Palatino Linotype" w:eastAsia="Palatino Linotype" w:hAnsi="Palatino Linotype" w:cs="Palatino Linotype"/>
          <w:i/>
        </w:rPr>
        <w:lastRenderedPageBreak/>
        <w:t>obligación de protección deriva de disposiciones contenidas en dos tipos de ordenamientos superiores -Constitución y tratados internacionales- con los que cuenta el Estado Mexicano.”(Sic)</w:t>
      </w:r>
    </w:p>
    <w:p w14:paraId="1E6BDA5D" w14:textId="77777777" w:rsidR="00C9333D" w:rsidRDefault="00C9333D">
      <w:pPr>
        <w:tabs>
          <w:tab w:val="left" w:pos="7938"/>
        </w:tabs>
        <w:spacing w:line="276" w:lineRule="auto"/>
        <w:ind w:left="851" w:right="902"/>
        <w:jc w:val="both"/>
        <w:rPr>
          <w:rFonts w:ascii="Palatino Linotype" w:eastAsia="Palatino Linotype" w:hAnsi="Palatino Linotype" w:cs="Palatino Linotype"/>
          <w:b/>
          <w:sz w:val="24"/>
          <w:szCs w:val="24"/>
        </w:rPr>
      </w:pPr>
    </w:p>
    <w:p w14:paraId="2AA4D50A"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Tocante a la </w:t>
      </w:r>
      <w:r>
        <w:rPr>
          <w:rFonts w:ascii="Palatino Linotype" w:eastAsia="Palatino Linotype" w:hAnsi="Palatino Linotype" w:cs="Palatino Linotype"/>
          <w:b/>
          <w:sz w:val="24"/>
          <w:szCs w:val="24"/>
        </w:rPr>
        <w:t xml:space="preserve">presunción de inocencia, </w:t>
      </w:r>
      <w:r>
        <w:rPr>
          <w:rFonts w:ascii="Palatino Linotype" w:eastAsia="Palatino Linotype" w:hAnsi="Palatino Linotype" w:cs="Palatino Linotype"/>
          <w:sz w:val="24"/>
          <w:szCs w:val="24"/>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108D9D67"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23DC37CF"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5255CD4D"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40B1D94A" w14:textId="77777777" w:rsidR="00C9333D" w:rsidRDefault="003A128B">
      <w:pPr>
        <w:tabs>
          <w:tab w:val="left" w:pos="3962"/>
        </w:tabs>
        <w:spacing w:after="0" w:line="276" w:lineRule="auto"/>
        <w:ind w:left="992"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PRESUNCIÓN DE INOCENCIA COMO REGLA DE TRATO PROCESAL</w:t>
      </w:r>
      <w:r>
        <w:rPr>
          <w:rFonts w:ascii="Palatino Linotype" w:eastAsia="Palatino Linotype" w:hAnsi="Palatino Linotype" w:cs="Palatino Linotype"/>
          <w:i/>
        </w:rPr>
        <w:t xml:space="preserve">.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w:t>
      </w:r>
      <w:r>
        <w:rPr>
          <w:rFonts w:ascii="Palatino Linotype" w:eastAsia="Palatino Linotype" w:hAnsi="Palatino Linotype" w:cs="Palatino Linotype"/>
          <w:i/>
        </w:rPr>
        <w:lastRenderedPageBreak/>
        <w:t>que impliquen una equiparación de hecho entre imputado y culpable, es decir, conlleva la prohibición de cualquier tipo de resolución judicial que suponga la anticipación de la pena.”</w:t>
      </w:r>
    </w:p>
    <w:p w14:paraId="01E9CF51" w14:textId="77777777" w:rsidR="00C9333D" w:rsidRDefault="00C9333D">
      <w:pPr>
        <w:tabs>
          <w:tab w:val="left" w:pos="3962"/>
        </w:tabs>
        <w:spacing w:line="276" w:lineRule="auto"/>
        <w:ind w:left="992" w:right="902"/>
        <w:jc w:val="both"/>
        <w:rPr>
          <w:rFonts w:ascii="Palatino Linotype" w:eastAsia="Palatino Linotype" w:hAnsi="Palatino Linotype" w:cs="Palatino Linotype"/>
        </w:rPr>
      </w:pPr>
    </w:p>
    <w:p w14:paraId="01C30B54"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32965223"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4BD9D12A"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7E3A2340"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17675D24" w14:textId="77777777" w:rsidR="00C9333D" w:rsidRDefault="003A128B">
      <w:pPr>
        <w:spacing w:after="0" w:line="276" w:lineRule="auto"/>
        <w:ind w:left="851" w:right="1134"/>
        <w:jc w:val="both"/>
        <w:rPr>
          <w:rFonts w:ascii="Palatino Linotype" w:eastAsia="Palatino Linotype" w:hAnsi="Palatino Linotype" w:cs="Palatino Linotype"/>
          <w:i/>
        </w:rPr>
      </w:pPr>
      <w:r>
        <w:rPr>
          <w:rFonts w:ascii="Palatino Linotype" w:eastAsia="Palatino Linotype" w:hAnsi="Palatino Linotype" w:cs="Palatino Linotype"/>
          <w:b/>
          <w:i/>
        </w:rPr>
        <w:t xml:space="preserve">“PRESUNCIÓN DE INOCENCIA. ALCANCES DE ESE PRINCIPIO CONSTITUCIONAL. </w:t>
      </w:r>
      <w:r>
        <w:rPr>
          <w:rFonts w:ascii="Palatino Linotype" w:eastAsia="Palatino Linotype" w:hAnsi="Palatino Linotype" w:cs="Palatino Linotype"/>
          <w:i/>
        </w:rPr>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w:t>
      </w:r>
      <w:r>
        <w:rPr>
          <w:rFonts w:ascii="Palatino Linotype" w:eastAsia="Palatino Linotype" w:hAnsi="Palatino Linotype" w:cs="Palatino Linotype"/>
          <w:i/>
        </w:rPr>
        <w:lastRenderedPageBreak/>
        <w:t>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736CF089" w14:textId="77777777" w:rsidR="00C9333D" w:rsidRDefault="00C9333D">
      <w:pPr>
        <w:spacing w:after="120"/>
        <w:ind w:left="851" w:right="1134"/>
        <w:jc w:val="both"/>
        <w:rPr>
          <w:rFonts w:ascii="Palatino Linotype" w:eastAsia="Palatino Linotype" w:hAnsi="Palatino Linotype" w:cs="Palatino Linotype"/>
          <w:i/>
        </w:rPr>
      </w:pPr>
    </w:p>
    <w:p w14:paraId="3554BC65" w14:textId="77777777" w:rsidR="00C9333D" w:rsidRDefault="003A128B">
      <w:pPr>
        <w:tabs>
          <w:tab w:val="left" w:pos="3962"/>
        </w:tabs>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0ECC35A7" w14:textId="77777777" w:rsidR="00C9333D" w:rsidRDefault="00C9333D">
      <w:pPr>
        <w:tabs>
          <w:tab w:val="left" w:pos="3962"/>
        </w:tabs>
        <w:spacing w:after="0" w:line="360" w:lineRule="auto"/>
        <w:jc w:val="both"/>
        <w:rPr>
          <w:rFonts w:ascii="Palatino Linotype" w:eastAsia="Palatino Linotype" w:hAnsi="Palatino Linotype" w:cs="Palatino Linotype"/>
          <w:sz w:val="24"/>
          <w:szCs w:val="24"/>
        </w:rPr>
      </w:pPr>
    </w:p>
    <w:p w14:paraId="4B32FBAB" w14:textId="77777777" w:rsidR="00C9333D" w:rsidRDefault="003A128B">
      <w:pPr>
        <w:tabs>
          <w:tab w:val="left" w:pos="3962"/>
        </w:tabs>
        <w:spacing w:after="0" w:line="36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sz w:val="24"/>
          <w:szCs w:val="24"/>
        </w:rPr>
        <w:t xml:space="preserve">Conforme a lo expuesto, </w:t>
      </w:r>
      <w:r>
        <w:rPr>
          <w:rFonts w:ascii="Palatino Linotype" w:eastAsia="Palatino Linotype" w:hAnsi="Palatino Linotype" w:cs="Palatino Linotype"/>
          <w:b/>
          <w:sz w:val="24"/>
          <w:szCs w:val="24"/>
          <w:u w:val="single"/>
        </w:rPr>
        <w:t>pronunciarse sobre la existencia de un procedimiento en trámite de probable responsabilidad, generaría un juicio a priori o un juicio negativo en contra de los servidores públicos referidos en la solicitud por parte de la sociedad, sin que se hayan reunido los elementos para establecer si son o no responsables, vulnerando así la protección de su intimidad, su honor, la buena imagen y su Derecho a la presunción de inocencia.</w:t>
      </w:r>
    </w:p>
    <w:p w14:paraId="7DEDAB34" w14:textId="77777777" w:rsidR="00C9333D" w:rsidRDefault="00C9333D">
      <w:pPr>
        <w:tabs>
          <w:tab w:val="left" w:pos="3962"/>
        </w:tabs>
        <w:spacing w:after="0" w:line="360" w:lineRule="auto"/>
        <w:jc w:val="both"/>
        <w:rPr>
          <w:rFonts w:ascii="Palatino Linotype" w:eastAsia="Palatino Linotype" w:hAnsi="Palatino Linotype" w:cs="Palatino Linotype"/>
          <w:b/>
          <w:sz w:val="24"/>
          <w:szCs w:val="24"/>
          <w:u w:val="single"/>
        </w:rPr>
      </w:pPr>
    </w:p>
    <w:p w14:paraId="21CDF329" w14:textId="77777777" w:rsidR="00C9333D" w:rsidRDefault="003A128B">
      <w:pPr>
        <w:tabs>
          <w:tab w:val="left" w:pos="3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Bajo lo previo, se considera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 xml:space="preserve">el pronunciamiento en sentido afirmativo o negativo, sobre la existencia de algún procedimiento en trámite de </w:t>
      </w:r>
      <w:r>
        <w:rPr>
          <w:rFonts w:ascii="Palatino Linotype" w:eastAsia="Palatino Linotype" w:hAnsi="Palatino Linotype" w:cs="Palatino Linotype"/>
          <w:b/>
          <w:sz w:val="24"/>
          <w:szCs w:val="24"/>
          <w:u w:val="single"/>
        </w:rPr>
        <w:lastRenderedPageBreak/>
        <w:t>responsabilidad por faltas graves o no graves que se hubiera iniciado en contra de la servidor público referida, debería clasificarse en términos del artículo 143, fracción I, de la Ley de Transparencia y Acceso a la Información Pública del Estado de México y Municipios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que es del tenor literal siguiente:</w:t>
      </w:r>
    </w:p>
    <w:p w14:paraId="74F63CBD" w14:textId="77777777" w:rsidR="00C9333D" w:rsidRDefault="00C9333D">
      <w:pPr>
        <w:tabs>
          <w:tab w:val="left" w:pos="3962"/>
        </w:tabs>
        <w:spacing w:after="0" w:line="360" w:lineRule="auto"/>
        <w:jc w:val="both"/>
        <w:rPr>
          <w:rFonts w:ascii="Palatino Linotype" w:eastAsia="Palatino Linotype" w:hAnsi="Palatino Linotype" w:cs="Palatino Linotype"/>
          <w:b/>
          <w:sz w:val="24"/>
          <w:szCs w:val="24"/>
          <w:u w:val="single"/>
        </w:rPr>
      </w:pPr>
    </w:p>
    <w:p w14:paraId="25851E7D" w14:textId="77777777" w:rsidR="00C9333D" w:rsidRDefault="003A128B">
      <w:pPr>
        <w:tabs>
          <w:tab w:val="left" w:pos="3962"/>
        </w:tabs>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EEF76C0" w14:textId="77777777" w:rsidR="00C9333D" w:rsidRDefault="003A128B">
      <w:pPr>
        <w:tabs>
          <w:tab w:val="left" w:pos="3962"/>
        </w:tabs>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3AB9FAE" w14:textId="77777777" w:rsidR="00C9333D" w:rsidRDefault="00C9333D">
      <w:pPr>
        <w:spacing w:after="0" w:line="360" w:lineRule="auto"/>
        <w:jc w:val="both"/>
        <w:rPr>
          <w:rFonts w:ascii="Palatino Linotype" w:eastAsia="Palatino Linotype" w:hAnsi="Palatino Linotype" w:cs="Palatino Linotype"/>
        </w:rPr>
      </w:pPr>
    </w:p>
    <w:p w14:paraId="2A19C0D6" w14:textId="77777777" w:rsidR="00C9333D" w:rsidRDefault="003A128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de lo anterior, se estima necesario traer a colación el contenido del artículo 142, fracción IV, de la Ley de Transparencia y Acceso a la Información Pública del Estado de México y Municipios, a saber: </w:t>
      </w:r>
    </w:p>
    <w:p w14:paraId="3907976D" w14:textId="77777777" w:rsidR="00C9333D" w:rsidRDefault="00C9333D">
      <w:pPr>
        <w:spacing w:after="0" w:line="360" w:lineRule="auto"/>
        <w:jc w:val="both"/>
        <w:rPr>
          <w:rFonts w:ascii="Palatino Linotype" w:eastAsia="Palatino Linotype" w:hAnsi="Palatino Linotype" w:cs="Palatino Linotype"/>
          <w:sz w:val="24"/>
          <w:szCs w:val="24"/>
        </w:rPr>
      </w:pPr>
    </w:p>
    <w:p w14:paraId="73490796" w14:textId="77777777" w:rsidR="00C9333D" w:rsidRDefault="003A128B">
      <w:pPr>
        <w:spacing w:after="0" w:line="36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142.</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Bajo ninguna circunstancia podrá invocarse el carácter de reservado </w:t>
      </w:r>
      <w:r>
        <w:rPr>
          <w:rFonts w:ascii="Palatino Linotype" w:eastAsia="Palatino Linotype" w:hAnsi="Palatino Linotype" w:cs="Palatino Linotype"/>
          <w:i/>
        </w:rPr>
        <w:t xml:space="preserve">cuando: </w:t>
      </w:r>
    </w:p>
    <w:p w14:paraId="53B50146" w14:textId="77777777" w:rsidR="00C9333D" w:rsidRDefault="003A128B">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1FEB6F7" w14:textId="77777777" w:rsidR="00C9333D" w:rsidRDefault="003A128B">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Se trate de información </w:t>
      </w:r>
      <w:r>
        <w:rPr>
          <w:rFonts w:ascii="Palatino Linotype" w:eastAsia="Palatino Linotype" w:hAnsi="Palatino Linotype" w:cs="Palatino Linotype"/>
          <w:b/>
          <w:i/>
          <w:u w:val="single"/>
        </w:rPr>
        <w:t>relacionada con actos de corrupción</w:t>
      </w:r>
      <w:r>
        <w:rPr>
          <w:rFonts w:ascii="Palatino Linotype" w:eastAsia="Palatino Linotype" w:hAnsi="Palatino Linotype" w:cs="Palatino Linotype"/>
          <w:i/>
        </w:rPr>
        <w:t xml:space="preserve"> de conformidad con las disposiciones jurídicas aplicables.”</w:t>
      </w:r>
    </w:p>
    <w:p w14:paraId="03BE0816" w14:textId="77777777" w:rsidR="00C9333D" w:rsidRDefault="00C9333D">
      <w:pPr>
        <w:spacing w:after="0" w:line="360" w:lineRule="auto"/>
        <w:ind w:left="1134" w:right="900"/>
        <w:jc w:val="both"/>
        <w:rPr>
          <w:rFonts w:ascii="Palatino Linotype" w:eastAsia="Palatino Linotype" w:hAnsi="Palatino Linotype" w:cs="Palatino Linotype"/>
          <w:i/>
          <w:sz w:val="24"/>
          <w:szCs w:val="24"/>
        </w:rPr>
      </w:pPr>
    </w:p>
    <w:p w14:paraId="2C48EC1D"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Del precepto citado se desprende que aquella información que se relacione con actos de corrupción, no puede actualizar alguno de los supuestos de clasificación como información reservada establecidos en el artículo 140 de la Ley de Transparencia y Acceso a la Información Pública del Estado de México y Municipios, situación que en su caso también debió haber sido analizada en la resolución. </w:t>
      </w:r>
    </w:p>
    <w:p w14:paraId="2D8B8751" w14:textId="77777777" w:rsidR="00C9333D" w:rsidRDefault="003A128B">
      <w:pPr>
        <w:spacing w:after="0" w:line="36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sz w:val="24"/>
          <w:szCs w:val="24"/>
        </w:rPr>
        <w:lastRenderedPageBreak/>
        <w:t xml:space="preserve">Por tal motivo, se considera que también se debió haber analizado que para el caso de que existiera algún expediente relacionado con faltas administrativas en trámite, en contra de la servidor público referida en la solicitud de acceso a la información pública, y que estuvieran relacionados con alguna excepción de las establecidas en el artículo 142 de la Ley de Transparencia y Acceso a la Información Pública del Estado de México y Municipios, tales como actos de corrupción, se </w:t>
      </w:r>
      <w:r>
        <w:rPr>
          <w:rFonts w:ascii="Palatino Linotype" w:eastAsia="Palatino Linotype" w:hAnsi="Palatino Linotype" w:cs="Palatino Linotype"/>
          <w:b/>
          <w:sz w:val="24"/>
          <w:szCs w:val="24"/>
          <w:u w:val="single"/>
        </w:rPr>
        <w:t xml:space="preserve">debió ordenar la entrega el soporte documental correspondiente que dieron cuenta de la existencia de dichos procedimientos y el estado que guardan, en versión pública de ser necesario. </w:t>
      </w:r>
    </w:p>
    <w:p w14:paraId="5CD2ED84" w14:textId="77777777" w:rsidR="00C9333D" w:rsidRDefault="00C9333D">
      <w:pPr>
        <w:spacing w:after="0" w:line="360" w:lineRule="auto"/>
        <w:jc w:val="both"/>
        <w:rPr>
          <w:rFonts w:ascii="Palatino Linotype" w:eastAsia="Palatino Linotype" w:hAnsi="Palatino Linotype" w:cs="Palatino Linotype"/>
          <w:b/>
          <w:sz w:val="24"/>
          <w:szCs w:val="24"/>
          <w:u w:val="single"/>
        </w:rPr>
      </w:pPr>
    </w:p>
    <w:p w14:paraId="22EEB88C"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se debió precisar en la resolución que conforme al criterio mayoritario del pleno sólo pueden ser dadas a conocer las responsabilidades administrativas por faltas graves condenatorias, de conformidad con la  Ley del Sistema Anticorrupción del Estado de México y Municipios que establece que </w:t>
      </w:r>
      <w:r>
        <w:rPr>
          <w:rFonts w:ascii="Palatino Linotype" w:eastAsia="Palatino Linotype" w:hAnsi="Palatino Linotype" w:cs="Palatino Linotype"/>
          <w:b/>
          <w:sz w:val="24"/>
          <w:szCs w:val="24"/>
          <w:u w:val="single"/>
        </w:rPr>
        <w:t>las sanciones no graves no serán públicas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u w:val="single"/>
        </w:rPr>
        <w:t>así como las graves absolutorias</w:t>
      </w:r>
      <w:r>
        <w:rPr>
          <w:rFonts w:ascii="Palatino Linotype" w:eastAsia="Palatino Linotype" w:hAnsi="Palatino Linotype" w:cs="Palatino Linotype"/>
          <w:sz w:val="24"/>
          <w:szCs w:val="24"/>
        </w:rPr>
        <w:t xml:space="preserve">, en virtud de que dichas faltas, </w:t>
      </w:r>
      <w:r>
        <w:rPr>
          <w:rFonts w:ascii="Palatino Linotype" w:eastAsia="Palatino Linotype" w:hAnsi="Palatino Linotype" w:cs="Palatino Linotype"/>
          <w:b/>
          <w:sz w:val="24"/>
          <w:szCs w:val="24"/>
        </w:rPr>
        <w:t xml:space="preserve">no tienen una trascendencia social, </w:t>
      </w:r>
      <w:r>
        <w:rPr>
          <w:rFonts w:ascii="Palatino Linotype" w:eastAsia="Palatino Linotype" w:hAnsi="Palatino Linotype" w:cs="Palatino Linotype"/>
          <w:sz w:val="24"/>
          <w:szCs w:val="24"/>
        </w:rPr>
        <w:t>pues no existe un daño externo, sino que únicamente le atañe al servidor público en cuestión.</w:t>
      </w:r>
    </w:p>
    <w:p w14:paraId="3B2A934C" w14:textId="77777777" w:rsidR="00C9333D" w:rsidRDefault="00C9333D">
      <w:pPr>
        <w:spacing w:after="0" w:line="360" w:lineRule="auto"/>
        <w:jc w:val="both"/>
        <w:rPr>
          <w:rFonts w:ascii="Palatino Linotype" w:eastAsia="Palatino Linotype" w:hAnsi="Palatino Linotype" w:cs="Palatino Linotype"/>
          <w:sz w:val="24"/>
          <w:szCs w:val="24"/>
        </w:rPr>
      </w:pPr>
    </w:p>
    <w:p w14:paraId="6B61AC8A"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entendido, es evidente que en caso de existir procedimientos concluidos instaurados en contra de la servidor pública </w:t>
      </w:r>
      <w:r>
        <w:rPr>
          <w:rFonts w:ascii="Palatino Linotype" w:eastAsia="Palatino Linotype" w:hAnsi="Palatino Linotype" w:cs="Palatino Linotype"/>
          <w:b/>
          <w:sz w:val="24"/>
          <w:szCs w:val="24"/>
        </w:rPr>
        <w:t>por faltas graves absolutorias</w:t>
      </w:r>
      <w:r>
        <w:rPr>
          <w:rFonts w:ascii="Palatino Linotype" w:eastAsia="Palatino Linotype" w:hAnsi="Palatino Linotype" w:cs="Palatino Linotype"/>
          <w:sz w:val="24"/>
          <w:szCs w:val="24"/>
        </w:rPr>
        <w:t xml:space="preserve"> y</w:t>
      </w:r>
      <w:r>
        <w:rPr>
          <w:rFonts w:ascii="Palatino Linotype" w:eastAsia="Palatino Linotype" w:hAnsi="Palatino Linotype" w:cs="Palatino Linotype"/>
          <w:b/>
          <w:sz w:val="24"/>
          <w:szCs w:val="24"/>
        </w:rPr>
        <w:t xml:space="preserve"> no graves condenatorias o absolutorias</w:t>
      </w:r>
      <w:r>
        <w:rPr>
          <w:rFonts w:ascii="Palatino Linotype" w:eastAsia="Palatino Linotype" w:hAnsi="Palatino Linotype" w:cs="Palatino Linotype"/>
          <w:sz w:val="24"/>
          <w:szCs w:val="24"/>
        </w:rPr>
        <w:t xml:space="preserve">, dicha información tiene el carácter de confidencial, y por tanto debe clasificarse el pronunciamiento en términos del </w:t>
      </w:r>
      <w:r>
        <w:rPr>
          <w:rFonts w:ascii="Palatino Linotype" w:eastAsia="Palatino Linotype" w:hAnsi="Palatino Linotype" w:cs="Palatino Linotype"/>
          <w:sz w:val="24"/>
          <w:szCs w:val="24"/>
        </w:rPr>
        <w:lastRenderedPageBreak/>
        <w:t xml:space="preserve">artículo 113, fracción I de la Ley de Transparencia y Acceso a la Información Pública del Estado de México y Municipios. </w:t>
      </w:r>
    </w:p>
    <w:p w14:paraId="1D25137C" w14:textId="77777777" w:rsidR="00C9333D" w:rsidRDefault="00C9333D">
      <w:pPr>
        <w:spacing w:after="0" w:line="360" w:lineRule="auto"/>
        <w:jc w:val="both"/>
        <w:rPr>
          <w:rFonts w:ascii="Palatino Linotype" w:eastAsia="Palatino Linotype" w:hAnsi="Palatino Linotype" w:cs="Palatino Linotype"/>
          <w:sz w:val="24"/>
          <w:szCs w:val="24"/>
        </w:rPr>
      </w:pPr>
    </w:p>
    <w:p w14:paraId="32693E82"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w:t>
      </w:r>
      <w:r w:rsidR="00085EFB">
        <w:rPr>
          <w:rFonts w:ascii="Palatino Linotype" w:eastAsia="Palatino Linotype" w:hAnsi="Palatino Linotype" w:cs="Palatino Linotype"/>
          <w:sz w:val="24"/>
          <w:szCs w:val="24"/>
        </w:rPr>
        <w:t xml:space="preserve">o obstante, en caso de que se encontraran </w:t>
      </w:r>
      <w:r>
        <w:rPr>
          <w:rFonts w:ascii="Palatino Linotype" w:eastAsia="Palatino Linotype" w:hAnsi="Palatino Linotype" w:cs="Palatino Linotype"/>
          <w:sz w:val="24"/>
          <w:szCs w:val="24"/>
        </w:rPr>
        <w:t xml:space="preserve">procedimientos concluidos </w:t>
      </w:r>
      <w:r w:rsidR="00085EFB">
        <w:rPr>
          <w:rFonts w:ascii="Palatino Linotype" w:eastAsia="Palatino Linotype" w:hAnsi="Palatino Linotype" w:cs="Palatino Linotype"/>
          <w:sz w:val="24"/>
          <w:szCs w:val="24"/>
        </w:rPr>
        <w:t>que se relacionaran</w:t>
      </w:r>
      <w:r>
        <w:rPr>
          <w:rFonts w:ascii="Palatino Linotype" w:eastAsia="Palatino Linotype" w:hAnsi="Palatino Linotype" w:cs="Palatino Linotype"/>
          <w:sz w:val="24"/>
          <w:szCs w:val="24"/>
        </w:rPr>
        <w:t xml:space="preserve"> con faltas administrativas </w:t>
      </w:r>
      <w:r>
        <w:rPr>
          <w:rFonts w:ascii="Palatino Linotype" w:eastAsia="Palatino Linotype" w:hAnsi="Palatino Linotype" w:cs="Palatino Linotype"/>
          <w:b/>
          <w:sz w:val="24"/>
          <w:szCs w:val="24"/>
        </w:rPr>
        <w:t>graves condenatorias</w:t>
      </w:r>
      <w:r>
        <w:rPr>
          <w:rFonts w:ascii="Palatino Linotype" w:eastAsia="Palatino Linotype" w:hAnsi="Palatino Linotype" w:cs="Palatino Linotype"/>
          <w:sz w:val="24"/>
          <w:szCs w:val="24"/>
        </w:rPr>
        <w:t xml:space="preserve"> y estas han quedado firmes, es decir, que el procedimiento ya no acepta recurso o medio de defensa alguno, es procedente entregar el soporte documental 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que dé cuenta de las sanciones impuestas, en versión pública para el caso de que el mismo contenga datos personales susceptibles de protegerse, reiterando que en dicho supuesto, no se vulnera el derecho del servidor público referido, aun cuando este sea plenamente identificable.</w:t>
      </w:r>
    </w:p>
    <w:p w14:paraId="0A8FDF7D" w14:textId="77777777" w:rsidR="00C9333D" w:rsidRDefault="00C9333D">
      <w:pPr>
        <w:spacing w:after="0" w:line="360" w:lineRule="auto"/>
        <w:jc w:val="both"/>
        <w:rPr>
          <w:rFonts w:ascii="Palatino Linotype" w:eastAsia="Palatino Linotype" w:hAnsi="Palatino Linotype" w:cs="Palatino Linotype"/>
          <w:sz w:val="24"/>
          <w:szCs w:val="24"/>
        </w:rPr>
      </w:pPr>
    </w:p>
    <w:p w14:paraId="4C7D8538"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ya que proporcionar la información de referencia, garantizaría la rendición de cuentas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relativo a su actuación, teniendo como consecuencia que los ciudadanos tengan confianza en sus autoridades, al poder conocer información derivada de los procedimientos administrativos que hayan concluido con resolución en donde se determine que un servidor público tuvo responsabilidades graves, relacionadas al ejercicio de las funciones.</w:t>
      </w:r>
    </w:p>
    <w:p w14:paraId="066C81C6" w14:textId="77777777" w:rsidR="00C9333D" w:rsidRDefault="00C9333D">
      <w:pPr>
        <w:spacing w:after="0" w:line="360" w:lineRule="auto"/>
        <w:jc w:val="both"/>
        <w:rPr>
          <w:rFonts w:ascii="Palatino Linotype" w:eastAsia="Palatino Linotype" w:hAnsi="Palatino Linotype" w:cs="Palatino Linotype"/>
          <w:sz w:val="24"/>
          <w:szCs w:val="24"/>
        </w:rPr>
      </w:pPr>
    </w:p>
    <w:p w14:paraId="0BBB46E6" w14:textId="77777777" w:rsidR="00C9333D" w:rsidRDefault="003A12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Además, que, con dicha información, se estaría revelando que el desempeño del servidor público, en caso de haber sido sancionado, no fue conforme a derecho.</w:t>
      </w:r>
    </w:p>
    <w:p w14:paraId="4CE5BE0D" w14:textId="77777777" w:rsidR="003D3358" w:rsidRDefault="003D3358">
      <w:pPr>
        <w:spacing w:after="0" w:line="360" w:lineRule="auto"/>
        <w:jc w:val="both"/>
        <w:rPr>
          <w:rFonts w:ascii="Palatino Linotype" w:eastAsia="Palatino Linotype" w:hAnsi="Palatino Linotype" w:cs="Palatino Linotype"/>
          <w:sz w:val="24"/>
          <w:szCs w:val="24"/>
        </w:rPr>
      </w:pPr>
    </w:p>
    <w:p w14:paraId="2A9BA159" w14:textId="77777777" w:rsidR="00C9333D" w:rsidRDefault="003A128B">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comparte el sentido de la resolución, al no haberse analizado los supuestos antes referidos, por lo que se formula el presente voto disidente.</w:t>
      </w:r>
    </w:p>
    <w:p w14:paraId="2F89AB39" w14:textId="77777777" w:rsidR="00C9333D" w:rsidRDefault="00C9333D">
      <w:pPr>
        <w:spacing w:before="240" w:after="240" w:line="360" w:lineRule="auto"/>
        <w:ind w:right="139"/>
        <w:jc w:val="both"/>
        <w:rPr>
          <w:rFonts w:ascii="Palatino Linotype" w:eastAsia="Palatino Linotype" w:hAnsi="Palatino Linotype" w:cs="Palatino Linotype"/>
          <w:sz w:val="24"/>
          <w:szCs w:val="24"/>
        </w:rPr>
      </w:pPr>
    </w:p>
    <w:p w14:paraId="4F7A8605" w14:textId="77777777" w:rsidR="00C9333D" w:rsidRDefault="00C9333D">
      <w:pPr>
        <w:spacing w:after="0" w:line="360" w:lineRule="auto"/>
        <w:jc w:val="both"/>
        <w:rPr>
          <w:rFonts w:ascii="Palatino Linotype" w:eastAsia="Palatino Linotype" w:hAnsi="Palatino Linotype" w:cs="Palatino Linotype"/>
          <w:sz w:val="24"/>
          <w:szCs w:val="24"/>
        </w:rPr>
      </w:pPr>
    </w:p>
    <w:p w14:paraId="2A743F44" w14:textId="77777777" w:rsidR="00C9333D" w:rsidRDefault="00C9333D">
      <w:pPr>
        <w:spacing w:before="240" w:after="240" w:line="360" w:lineRule="auto"/>
        <w:ind w:right="139"/>
        <w:jc w:val="both"/>
        <w:rPr>
          <w:rFonts w:ascii="Palatino Linotype" w:eastAsia="Palatino Linotype" w:hAnsi="Palatino Linotype" w:cs="Palatino Linotype"/>
          <w:sz w:val="24"/>
          <w:szCs w:val="24"/>
        </w:rPr>
      </w:pPr>
    </w:p>
    <w:p w14:paraId="48ABD830" w14:textId="77777777" w:rsidR="00C9333D" w:rsidRDefault="00C9333D">
      <w:pPr>
        <w:spacing w:before="240" w:after="240" w:line="360" w:lineRule="auto"/>
        <w:ind w:right="139"/>
        <w:jc w:val="both"/>
        <w:rPr>
          <w:rFonts w:ascii="Palatino Linotype" w:eastAsia="Palatino Linotype" w:hAnsi="Palatino Linotype" w:cs="Palatino Linotype"/>
          <w:sz w:val="24"/>
          <w:szCs w:val="24"/>
        </w:rPr>
      </w:pPr>
    </w:p>
    <w:p w14:paraId="03918408" w14:textId="77777777" w:rsidR="00C9333D" w:rsidRDefault="00C9333D">
      <w:pPr>
        <w:spacing w:before="240" w:after="240" w:line="360" w:lineRule="auto"/>
        <w:ind w:right="139"/>
        <w:jc w:val="both"/>
        <w:rPr>
          <w:rFonts w:ascii="Palatino Linotype" w:eastAsia="Palatino Linotype" w:hAnsi="Palatino Linotype" w:cs="Palatino Linotype"/>
          <w:sz w:val="24"/>
          <w:szCs w:val="24"/>
        </w:rPr>
      </w:pPr>
    </w:p>
    <w:p w14:paraId="0082CB2D" w14:textId="77777777" w:rsidR="00C9333D" w:rsidRDefault="00C9333D"/>
    <w:p w14:paraId="34B92D87" w14:textId="77777777" w:rsidR="00C9333D" w:rsidRDefault="00C9333D"/>
    <w:p w14:paraId="3F146604" w14:textId="77777777" w:rsidR="00C9333D" w:rsidRDefault="00C9333D"/>
    <w:p w14:paraId="0C9A81DC" w14:textId="77777777" w:rsidR="00C9333D" w:rsidRDefault="00C9333D"/>
    <w:p w14:paraId="1E747AFD" w14:textId="77777777" w:rsidR="00C9333D" w:rsidRDefault="00C9333D"/>
    <w:p w14:paraId="759EF9DF" w14:textId="77777777" w:rsidR="00C9333D" w:rsidRDefault="00C9333D"/>
    <w:p w14:paraId="6EE4E887" w14:textId="77777777" w:rsidR="00C9333D" w:rsidRDefault="00C9333D"/>
    <w:p w14:paraId="5EB98172" w14:textId="77777777" w:rsidR="00C9333D" w:rsidRDefault="00C9333D"/>
    <w:p w14:paraId="0DA7DCBE" w14:textId="77777777" w:rsidR="00C9333D" w:rsidRDefault="00C9333D"/>
    <w:p w14:paraId="7BCC0ED5" w14:textId="77777777" w:rsidR="00C9333D" w:rsidRDefault="00C9333D"/>
    <w:p w14:paraId="5E61E8DA" w14:textId="77777777" w:rsidR="00C9333D" w:rsidRDefault="00C9333D"/>
    <w:p w14:paraId="6D2EED8D" w14:textId="77777777" w:rsidR="00C9333D" w:rsidRDefault="00C9333D"/>
    <w:p w14:paraId="3C5C2BD1" w14:textId="77777777" w:rsidR="00C9333D" w:rsidRDefault="00C9333D"/>
    <w:sectPr w:rsidR="00C9333D">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4BA5" w14:textId="77777777" w:rsidR="00C828CE" w:rsidRDefault="00C828CE">
      <w:pPr>
        <w:spacing w:after="0" w:line="240" w:lineRule="auto"/>
      </w:pPr>
      <w:r>
        <w:separator/>
      </w:r>
    </w:p>
  </w:endnote>
  <w:endnote w:type="continuationSeparator" w:id="0">
    <w:p w14:paraId="763F1060" w14:textId="77777777" w:rsidR="00C828CE" w:rsidRDefault="00C8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6FE3" w14:textId="77777777" w:rsidR="003D3358" w:rsidRDefault="003D3358">
    <w:pPr>
      <w:pStyle w:val="Piedepgina"/>
    </w:pPr>
  </w:p>
  <w:p w14:paraId="0C662857" w14:textId="77777777" w:rsidR="003D3358" w:rsidRDefault="003D3358">
    <w:pPr>
      <w:pStyle w:val="Piedepgina"/>
    </w:pPr>
  </w:p>
  <w:p w14:paraId="444F12A6" w14:textId="77777777" w:rsidR="003D3358" w:rsidRDefault="003D33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1792" w14:textId="77777777" w:rsidR="00C828CE" w:rsidRDefault="00C828CE">
      <w:pPr>
        <w:spacing w:after="0" w:line="240" w:lineRule="auto"/>
      </w:pPr>
      <w:r>
        <w:separator/>
      </w:r>
    </w:p>
  </w:footnote>
  <w:footnote w:type="continuationSeparator" w:id="0">
    <w:p w14:paraId="1D5A16A4" w14:textId="77777777" w:rsidR="00C828CE" w:rsidRDefault="00C82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563C" w14:textId="77777777" w:rsidR="00C9333D" w:rsidRDefault="00C9333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C9333D" w14:paraId="22019E8E" w14:textId="77777777">
      <w:trPr>
        <w:trHeight w:val="1843"/>
      </w:trPr>
      <w:tc>
        <w:tcPr>
          <w:tcW w:w="3686" w:type="dxa"/>
          <w:vAlign w:val="bottom"/>
        </w:tcPr>
        <w:p w14:paraId="21CF2B71" w14:textId="77777777" w:rsidR="00C9333D" w:rsidRDefault="003A128B">
          <w:pPr>
            <w:pBdr>
              <w:top w:val="nil"/>
              <w:left w:val="nil"/>
              <w:bottom w:val="nil"/>
              <w:right w:val="nil"/>
              <w:between w:val="nil"/>
            </w:pBdr>
            <w:tabs>
              <w:tab w:val="center" w:pos="4252"/>
              <w:tab w:val="right" w:pos="8504"/>
              <w:tab w:val="center" w:pos="2614"/>
            </w:tabs>
            <w:ind w:left="-255"/>
            <w:rPr>
              <w:color w:val="000000"/>
            </w:rPr>
          </w:pPr>
          <w:r>
            <w:rPr>
              <w:noProof/>
            </w:rPr>
            <w:drawing>
              <wp:anchor distT="0" distB="0" distL="0" distR="0" simplePos="0" relativeHeight="251658240" behindDoc="1" locked="0" layoutInCell="1" hidden="0" allowOverlap="1" wp14:anchorId="1C314D8B" wp14:editId="2A788817">
                <wp:simplePos x="0" y="0"/>
                <wp:positionH relativeFrom="column">
                  <wp:posOffset>-495299</wp:posOffset>
                </wp:positionH>
                <wp:positionV relativeFrom="paragraph">
                  <wp:posOffset>-125094</wp:posOffset>
                </wp:positionV>
                <wp:extent cx="7510145" cy="98837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tc>
      <w:tc>
        <w:tcPr>
          <w:tcW w:w="5528" w:type="dxa"/>
          <w:vAlign w:val="center"/>
        </w:tcPr>
        <w:p w14:paraId="23C25A41" w14:textId="77777777" w:rsidR="00C9333D" w:rsidRDefault="00C9333D">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14:paraId="720D3F09" w14:textId="77777777" w:rsidR="00C9333D" w:rsidRDefault="003A128B">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Disidente.</w:t>
          </w:r>
        </w:p>
        <w:p w14:paraId="2F49B46A" w14:textId="77777777" w:rsidR="00C9333D" w:rsidRDefault="003A128B" w:rsidP="003D3358">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 xml:space="preserve">01870/INFOEM/IP/RR/2023 y </w:t>
          </w:r>
          <w:proofErr w:type="spellStart"/>
          <w:r>
            <w:rPr>
              <w:rFonts w:ascii="Palatino Linotype" w:eastAsia="Palatino Linotype" w:hAnsi="Palatino Linotype" w:cs="Palatino Linotype"/>
              <w:color w:val="000000"/>
            </w:rPr>
            <w:t>y</w:t>
          </w:r>
          <w:proofErr w:type="spellEnd"/>
          <w:r>
            <w:rPr>
              <w:rFonts w:ascii="Palatino Linotype" w:eastAsia="Palatino Linotype" w:hAnsi="Palatino Linotype" w:cs="Palatino Linotype"/>
              <w:color w:val="000000"/>
            </w:rPr>
            <w:t xml:space="preserve">     01872/INFOEM/IP/RR/2023.</w:t>
          </w:r>
        </w:p>
        <w:p w14:paraId="62CE5E39" w14:textId="37C6A046" w:rsidR="003D3358" w:rsidRDefault="003D3358" w:rsidP="003D3358">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14:paraId="332C7777" w14:textId="77777777" w:rsidR="00C9333D" w:rsidRDefault="00C9333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E31"/>
    <w:multiLevelType w:val="multilevel"/>
    <w:tmpl w:val="45006D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4D7F68"/>
    <w:multiLevelType w:val="multilevel"/>
    <w:tmpl w:val="35BA6A9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F16967"/>
    <w:multiLevelType w:val="multilevel"/>
    <w:tmpl w:val="CD863E9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658530">
    <w:abstractNumId w:val="0"/>
  </w:num>
  <w:num w:numId="2" w16cid:durableId="390006601">
    <w:abstractNumId w:val="2"/>
  </w:num>
  <w:num w:numId="3" w16cid:durableId="150216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3D"/>
    <w:rsid w:val="00085EFB"/>
    <w:rsid w:val="003A128B"/>
    <w:rsid w:val="003D3358"/>
    <w:rsid w:val="008F55E7"/>
    <w:rsid w:val="00C828CE"/>
    <w:rsid w:val="00C9333D"/>
    <w:rsid w:val="00DD5B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F0FE"/>
  <w15:docId w15:val="{B6A02E07-1201-4827-89C5-198985EE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3D33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3358"/>
  </w:style>
  <w:style w:type="paragraph" w:styleId="Piedepgina">
    <w:name w:val="footer"/>
    <w:basedOn w:val="Normal"/>
    <w:link w:val="PiedepginaCar"/>
    <w:uiPriority w:val="99"/>
    <w:unhideWhenUsed/>
    <w:rsid w:val="003D33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pomex.org.mx/ipo/lgt/%C3%ADndice/secogem.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ZLSY1bT4/bYZsP0JvfMm+Pn6Kg==">CgMxLjAyCGguZ2pkZ3hzMgloLjMwajB6bGwyCWguMWZvYjl0ZTgAciExdW1Ea0tSMzd6MjhCR2FzRzJXZ1V3bG9JZjBMc3E2N0c=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5310</Words>
  <Characters>29208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Itzel Aurora Hernandez Alvarado</cp:lastModifiedBy>
  <cp:revision>3</cp:revision>
  <dcterms:created xsi:type="dcterms:W3CDTF">2023-12-11T18:11:00Z</dcterms:created>
  <dcterms:modified xsi:type="dcterms:W3CDTF">2025-01-12T03:45:00Z</dcterms:modified>
</cp:coreProperties>
</file>