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FB1" w:rsidRDefault="003E6385">
      <w:pPr>
        <w:spacing w:before="240" w:after="0" w:line="360" w:lineRule="auto"/>
        <w:jc w:val="both"/>
        <w:rPr>
          <w:rFonts w:ascii="Palatino Linotype" w:eastAsia="Palatino Linotype" w:hAnsi="Palatino Linotype" w:cs="Palatino Linotype"/>
          <w:b/>
          <w:sz w:val="24"/>
          <w:szCs w:val="24"/>
        </w:rPr>
      </w:pPr>
      <w:bookmarkStart w:id="0" w:name="_GoBack"/>
      <w:bookmarkEnd w:id="0"/>
      <w:r>
        <w:rPr>
          <w:rFonts w:ascii="Palatino Linotype" w:eastAsia="Palatino Linotype" w:hAnsi="Palatino Linotype" w:cs="Palatino Linotype"/>
          <w:b/>
          <w:sz w:val="24"/>
          <w:szCs w:val="24"/>
        </w:rPr>
        <w:t>VOTO DISIDENTE QUE FORMULA LA COMISIONADA GUADALUPE RAMÍREZ PEÑA, EN RELACIÓN CON LA RESOLUCIÓN DICTADA POR EL PLENO DEL INSTITUTO DE TRANSPARENCIA, ACCESO A LA INFORMACIÓN PÚBLICA Y PROTECCIÓN DE DATOS PERSONALES DEL ESTADO DE MÉXICO Y MUNICIPIOS, EN LA D</w:t>
      </w:r>
      <w:r>
        <w:rPr>
          <w:rFonts w:ascii="Palatino Linotype" w:eastAsia="Palatino Linotype" w:hAnsi="Palatino Linotype" w:cs="Palatino Linotype"/>
          <w:b/>
          <w:sz w:val="24"/>
          <w:szCs w:val="24"/>
        </w:rPr>
        <w:t xml:space="preserve">ÉCIMA NOVENA SESIÓN ORDINARIA DEL VEINTICUATRO DE MAYO DE DOS MIL VEINTITRÉS, EN EL RECURSO DE REVISIÓN 14705/INFOEM/IP/RR/2022. </w:t>
      </w:r>
    </w:p>
    <w:p w:rsidR="00145FB1" w:rsidRDefault="00145FB1">
      <w:pPr>
        <w:spacing w:after="0" w:line="360" w:lineRule="auto"/>
        <w:jc w:val="both"/>
        <w:rPr>
          <w:rFonts w:ascii="Palatino Linotype" w:eastAsia="Palatino Linotype" w:hAnsi="Palatino Linotype" w:cs="Palatino Linotype"/>
          <w:sz w:val="24"/>
          <w:szCs w:val="24"/>
        </w:rPr>
      </w:pPr>
    </w:p>
    <w:p w:rsidR="00145FB1" w:rsidRDefault="003E6385">
      <w:pPr>
        <w:spacing w:after="0" w:line="360" w:lineRule="auto"/>
        <w:jc w:val="both"/>
        <w:rPr>
          <w:rFonts w:ascii="Palatino Linotype" w:eastAsia="Palatino Linotype" w:hAnsi="Palatino Linotype" w:cs="Palatino Linotype"/>
          <w:color w:val="FFFF00"/>
          <w:sz w:val="24"/>
          <w:szCs w:val="24"/>
          <w:highlight w:val="red"/>
        </w:rPr>
      </w:pPr>
      <w:r>
        <w:rPr>
          <w:rFonts w:ascii="Palatino Linotype" w:eastAsia="Palatino Linotype" w:hAnsi="Palatino Linotype" w:cs="Palatino Linotype"/>
          <w:sz w:val="24"/>
          <w:szCs w:val="24"/>
        </w:rPr>
        <w:t xml:space="preserve">Con fundamento en lo dispuesto por el artículo </w:t>
      </w:r>
      <w:r>
        <w:rPr>
          <w:rFonts w:ascii="Palatino Linotype" w:eastAsia="Palatino Linotype" w:hAnsi="Palatino Linotype" w:cs="Palatino Linotype"/>
          <w:color w:val="000000"/>
          <w:sz w:val="24"/>
          <w:szCs w:val="24"/>
        </w:rPr>
        <w:t xml:space="preserve">14, fracciones X y XI, </w:t>
      </w:r>
      <w:r>
        <w:rPr>
          <w:rFonts w:ascii="Palatino Linotype" w:eastAsia="Palatino Linotype" w:hAnsi="Palatino Linotype" w:cs="Palatino Linotype"/>
          <w:sz w:val="24"/>
          <w:szCs w:val="24"/>
        </w:rPr>
        <w:t>del Reglamento del Instituto de Transparencia, Acceso a</w:t>
      </w:r>
      <w:r>
        <w:rPr>
          <w:rFonts w:ascii="Palatino Linotype" w:eastAsia="Palatino Linotype" w:hAnsi="Palatino Linotype" w:cs="Palatino Linotype"/>
          <w:sz w:val="24"/>
          <w:szCs w:val="24"/>
        </w:rPr>
        <w:t xml:space="preserve"> la Información Pública y Protección de Datos Personales del Estado de México, la Comisionada Guadalupe Ramírez Peña, emite </w:t>
      </w:r>
      <w:r>
        <w:rPr>
          <w:rFonts w:ascii="Palatino Linotype" w:eastAsia="Palatino Linotype" w:hAnsi="Palatino Linotype" w:cs="Palatino Linotype"/>
          <w:b/>
          <w:sz w:val="24"/>
          <w:szCs w:val="24"/>
        </w:rPr>
        <w:t xml:space="preserve">VOTO DISIDENTE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 xml:space="preserve">14705/INFOEM/IP/RR/2022 </w:t>
      </w:r>
      <w:r>
        <w:rPr>
          <w:rFonts w:ascii="Palatino Linotype" w:eastAsia="Palatino Linotype" w:hAnsi="Palatino Linotype" w:cs="Palatino Linotype"/>
          <w:sz w:val="24"/>
          <w:szCs w:val="24"/>
        </w:rPr>
        <w:t>pronunciada por el Pleno de</w:t>
      </w:r>
      <w:r>
        <w:rPr>
          <w:rFonts w:ascii="Palatino Linotype" w:eastAsia="Palatino Linotype" w:hAnsi="Palatino Linotype" w:cs="Palatino Linotype"/>
          <w:sz w:val="24"/>
          <w:szCs w:val="24"/>
        </w:rPr>
        <w:t xml:space="preserve"> este Instituto ante el proyecto presentado por el Comisionado Presidente José Martínez Vilchis, conforme siguiente tenor: </w:t>
      </w:r>
    </w:p>
    <w:p w:rsidR="00145FB1" w:rsidRDefault="00145FB1">
      <w:pPr>
        <w:spacing w:after="0" w:line="360" w:lineRule="auto"/>
        <w:jc w:val="both"/>
        <w:rPr>
          <w:rFonts w:ascii="Palatino Linotype" w:eastAsia="Palatino Linotype" w:hAnsi="Palatino Linotype" w:cs="Palatino Linotype"/>
          <w:b/>
          <w:sz w:val="24"/>
          <w:szCs w:val="24"/>
        </w:rPr>
      </w:pPr>
    </w:p>
    <w:p w:rsidR="00145FB1" w:rsidRDefault="003E6385">
      <w:pPr>
        <w:numPr>
          <w:ilvl w:val="0"/>
          <w:numId w:val="2"/>
        </w:numPr>
        <w:spacing w:after="0" w:line="360" w:lineRule="auto"/>
        <w:ind w:left="567" w:hanging="14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145FB1" w:rsidRDefault="00145FB1">
      <w:pPr>
        <w:spacing w:after="0" w:line="360" w:lineRule="auto"/>
        <w:ind w:left="567"/>
        <w:jc w:val="both"/>
        <w:rPr>
          <w:rFonts w:ascii="Palatino Linotype" w:eastAsia="Palatino Linotype" w:hAnsi="Palatino Linotype" w:cs="Palatino Linotype"/>
          <w:b/>
          <w:sz w:val="24"/>
          <w:szCs w:val="24"/>
        </w:rPr>
      </w:pPr>
    </w:p>
    <w:p w:rsidR="00145FB1" w:rsidRDefault="003E638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solicitó al </w:t>
      </w:r>
      <w:r>
        <w:rPr>
          <w:rFonts w:ascii="Palatino Linotype" w:eastAsia="Palatino Linotype" w:hAnsi="Palatino Linotype" w:cs="Palatino Linotype"/>
          <w:b/>
          <w:sz w:val="24"/>
          <w:szCs w:val="24"/>
        </w:rPr>
        <w:t xml:space="preserve">SUJETO OBLIGADO el </w:t>
      </w:r>
      <w:r>
        <w:rPr>
          <w:rFonts w:ascii="Palatino Linotype" w:eastAsia="Palatino Linotype" w:hAnsi="Palatino Linotype" w:cs="Palatino Linotype"/>
          <w:sz w:val="24"/>
          <w:szCs w:val="24"/>
        </w:rPr>
        <w:t>Ayuntamiento de Zinacantepec</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le prop</w:t>
      </w:r>
      <w:r>
        <w:rPr>
          <w:rFonts w:ascii="Palatino Linotype" w:eastAsia="Palatino Linotype" w:hAnsi="Palatino Linotype" w:cs="Palatino Linotype"/>
          <w:sz w:val="24"/>
          <w:szCs w:val="24"/>
        </w:rPr>
        <w:t>orcionara lo siguiente:</w:t>
      </w:r>
    </w:p>
    <w:p w:rsidR="00145FB1" w:rsidRDefault="00145FB1">
      <w:pPr>
        <w:spacing w:after="0" w:line="360" w:lineRule="auto"/>
        <w:jc w:val="both"/>
        <w:rPr>
          <w:rFonts w:ascii="Palatino Linotype" w:eastAsia="Palatino Linotype" w:hAnsi="Palatino Linotype" w:cs="Palatino Linotype"/>
          <w:sz w:val="24"/>
          <w:szCs w:val="24"/>
        </w:rPr>
      </w:pPr>
    </w:p>
    <w:p w:rsidR="00145FB1" w:rsidRDefault="003E6385">
      <w:pPr>
        <w:spacing w:after="0" w:line="240" w:lineRule="auto"/>
        <w:ind w:left="851" w:right="99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“Solicito información de todos los bienes inmuebles propiedad del Gobierno del Estado de México en el municipio de Zinacantepec, indicando en la misma información si el bien inmueble es terreno o terreno y construcción o edificio.”</w:t>
      </w:r>
      <w:r>
        <w:rPr>
          <w:rFonts w:ascii="Palatino Linotype" w:eastAsia="Palatino Linotype" w:hAnsi="Palatino Linotype" w:cs="Palatino Linotype"/>
          <w:i/>
        </w:rPr>
        <w:t xml:space="preserve"> (Sic)</w:t>
      </w:r>
    </w:p>
    <w:p w:rsidR="00145FB1" w:rsidRDefault="00145FB1">
      <w:pPr>
        <w:spacing w:after="0" w:line="360" w:lineRule="auto"/>
        <w:jc w:val="both"/>
        <w:rPr>
          <w:rFonts w:ascii="Palatino Linotype" w:eastAsia="Palatino Linotype" w:hAnsi="Palatino Linotype" w:cs="Palatino Linotype"/>
          <w:b/>
          <w:sz w:val="24"/>
          <w:szCs w:val="24"/>
        </w:rPr>
      </w:pPr>
    </w:p>
    <w:p w:rsidR="00145FB1" w:rsidRDefault="003E6385">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otorgó</w:t>
      </w:r>
      <w:r>
        <w:rPr>
          <w:rFonts w:ascii="Palatino Linotype" w:eastAsia="Palatino Linotype" w:hAnsi="Palatino Linotype" w:cs="Palatino Linotype"/>
          <w:color w:val="000000"/>
          <w:sz w:val="24"/>
          <w:szCs w:val="24"/>
        </w:rPr>
        <w:t xml:space="preserve"> respuesta a la solicitud, de la siguiente manera:</w:t>
      </w:r>
    </w:p>
    <w:p w:rsidR="00145FB1" w:rsidRDefault="00145FB1">
      <w:pPr>
        <w:spacing w:after="0" w:line="360" w:lineRule="auto"/>
        <w:jc w:val="both"/>
        <w:rPr>
          <w:rFonts w:ascii="Palatino Linotype" w:eastAsia="Palatino Linotype" w:hAnsi="Palatino Linotype" w:cs="Palatino Linotype"/>
          <w:color w:val="000000"/>
          <w:sz w:val="24"/>
          <w:szCs w:val="24"/>
        </w:rPr>
      </w:pPr>
    </w:p>
    <w:p w:rsidR="00145FB1" w:rsidRDefault="003E6385">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respuesta de solicitud 770--22.pdf: </w:t>
      </w:r>
      <w:r>
        <w:rPr>
          <w:rFonts w:ascii="Palatino Linotype" w:eastAsia="Palatino Linotype" w:hAnsi="Palatino Linotype" w:cs="Palatino Linotype"/>
          <w:color w:val="000000"/>
          <w:sz w:val="24"/>
          <w:szCs w:val="24"/>
        </w:rPr>
        <w:t>Documento en formato PDF, emitido por el Titular de la Unidad de Transparencia Zinacantepec mediante el cual informa al solicitante que el Sujeto Obligado a través de su Secretaría del Ayuntamiento, informó que dentro de los archivos del área de Control Pa</w:t>
      </w:r>
      <w:r>
        <w:rPr>
          <w:rFonts w:ascii="Palatino Linotype" w:eastAsia="Palatino Linotype" w:hAnsi="Palatino Linotype" w:cs="Palatino Linotype"/>
          <w:color w:val="000000"/>
          <w:sz w:val="24"/>
          <w:szCs w:val="24"/>
        </w:rPr>
        <w:t>trimonial adscrita a dicha Secretaría no obran documentos referentes a la solicitud de información que nos compete.</w:t>
      </w:r>
    </w:p>
    <w:p w:rsidR="00145FB1" w:rsidRDefault="00145FB1">
      <w:pPr>
        <w:pBdr>
          <w:top w:val="nil"/>
          <w:left w:val="nil"/>
          <w:bottom w:val="nil"/>
          <w:right w:val="nil"/>
          <w:between w:val="nil"/>
        </w:pBdr>
        <w:tabs>
          <w:tab w:val="left" w:pos="426"/>
        </w:tabs>
        <w:spacing w:after="0" w:line="360" w:lineRule="auto"/>
        <w:ind w:left="567" w:right="616"/>
        <w:jc w:val="both"/>
        <w:rPr>
          <w:rFonts w:ascii="Palatino Linotype" w:eastAsia="Palatino Linotype" w:hAnsi="Palatino Linotype" w:cs="Palatino Linotype"/>
          <w:i/>
          <w:color w:val="000000"/>
        </w:rPr>
      </w:pPr>
    </w:p>
    <w:p w:rsidR="00145FB1" w:rsidRDefault="003E6385">
      <w:pPr>
        <w:spacing w:before="8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medio de impugnación citado al rubro, manifestando como motivo de inconformidad, lo siguiente: </w:t>
      </w:r>
    </w:p>
    <w:p w:rsidR="00145FB1" w:rsidRDefault="003E6385">
      <w:pPr>
        <w:numPr>
          <w:ilvl w:val="0"/>
          <w:numId w:val="1"/>
        </w:numPr>
        <w:spacing w:after="0" w:line="259" w:lineRule="auto"/>
        <w:jc w:val="both"/>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 xml:space="preserve">Acto Impugnado: </w:t>
      </w:r>
      <w:r>
        <w:rPr>
          <w:rFonts w:ascii="Palatino Linotype" w:eastAsia="Palatino Linotype" w:hAnsi="Palatino Linotype" w:cs="Palatino Linotype"/>
          <w:i/>
          <w:color w:val="000000"/>
        </w:rPr>
        <w:t>“No entrega la información solicitada” (Sic).</w:t>
      </w:r>
    </w:p>
    <w:p w:rsidR="00145FB1" w:rsidRDefault="00145FB1">
      <w:pPr>
        <w:spacing w:line="259" w:lineRule="auto"/>
        <w:ind w:left="720"/>
        <w:jc w:val="both"/>
        <w:rPr>
          <w:rFonts w:ascii="Palatino Linotype" w:eastAsia="Palatino Linotype" w:hAnsi="Palatino Linotype" w:cs="Palatino Linotype"/>
          <w:b/>
          <w:sz w:val="26"/>
          <w:szCs w:val="26"/>
        </w:rPr>
      </w:pPr>
    </w:p>
    <w:p w:rsidR="00145FB1" w:rsidRDefault="003E6385">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6"/>
          <w:szCs w:val="26"/>
        </w:rPr>
      </w:pPr>
      <w:r>
        <w:rPr>
          <w:rFonts w:ascii="Palatino Linotype" w:eastAsia="Palatino Linotype" w:hAnsi="Palatino Linotype" w:cs="Palatino Linotype"/>
          <w:b/>
          <w:color w:val="000000"/>
          <w:sz w:val="26"/>
          <w:szCs w:val="26"/>
        </w:rPr>
        <w:t>Razones o Motivos de Inconformidad</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i/>
          <w:color w:val="000000"/>
        </w:rPr>
        <w:t>“No entrega la información solicitada” (Sic)</w:t>
      </w:r>
    </w:p>
    <w:p w:rsidR="00145FB1" w:rsidRDefault="00145FB1">
      <w:pPr>
        <w:pBdr>
          <w:top w:val="nil"/>
          <w:left w:val="nil"/>
          <w:bottom w:val="nil"/>
          <w:right w:val="nil"/>
          <w:between w:val="nil"/>
        </w:pBdr>
        <w:spacing w:after="0" w:line="240" w:lineRule="auto"/>
        <w:ind w:left="708"/>
        <w:rPr>
          <w:rFonts w:ascii="Palatino Linotype" w:eastAsia="Palatino Linotype" w:hAnsi="Palatino Linotype" w:cs="Palatino Linotype"/>
          <w:i/>
          <w:color w:val="000000"/>
          <w:sz w:val="26"/>
          <w:szCs w:val="26"/>
        </w:rPr>
      </w:pPr>
    </w:p>
    <w:p w:rsidR="00145FB1" w:rsidRDefault="00145FB1">
      <w:pPr>
        <w:pBdr>
          <w:top w:val="nil"/>
          <w:left w:val="nil"/>
          <w:bottom w:val="nil"/>
          <w:right w:val="nil"/>
          <w:between w:val="nil"/>
        </w:pBdr>
        <w:spacing w:after="0" w:line="240" w:lineRule="auto"/>
        <w:ind w:left="720"/>
        <w:jc w:val="both"/>
        <w:rPr>
          <w:rFonts w:ascii="Palatino Linotype" w:eastAsia="Palatino Linotype" w:hAnsi="Palatino Linotype" w:cs="Palatino Linotype"/>
          <w:i/>
          <w:color w:val="000000"/>
          <w:sz w:val="26"/>
          <w:szCs w:val="26"/>
        </w:rPr>
      </w:pPr>
    </w:p>
    <w:p w:rsidR="00145FB1" w:rsidRDefault="003E6385">
      <w:pPr>
        <w:widowControl w:val="0"/>
        <w:tabs>
          <w:tab w:val="left" w:pos="1701"/>
          <w:tab w:val="left" w:pos="1843"/>
        </w:tabs>
        <w:spacing w:before="36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Una vez interpuesto el recurso de revisión, de las constancias que obran en el expediente en el SAIMEX, se advierte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rindió informe justificado</w:t>
      </w:r>
      <w:r>
        <w:rPr>
          <w:rFonts w:ascii="Palatino Linotype" w:eastAsia="Palatino Linotype" w:hAnsi="Palatino Linotype" w:cs="Palatino Linotype"/>
          <w:b/>
          <w:i/>
        </w:rPr>
        <w:t xml:space="preserve"> respuesta de solicitud 770--22.pdf: </w:t>
      </w:r>
      <w:r>
        <w:rPr>
          <w:rFonts w:ascii="Palatino Linotype" w:eastAsia="Palatino Linotype" w:hAnsi="Palatino Linotype" w:cs="Palatino Linotype"/>
        </w:rPr>
        <w:t xml:space="preserve">constante de dos fojas, en formato PDF, que contienen </w:t>
      </w:r>
      <w:r>
        <w:rPr>
          <w:rFonts w:ascii="Palatino Linotype" w:eastAsia="Palatino Linotype" w:hAnsi="Palatino Linotype" w:cs="Palatino Linotype"/>
        </w:rPr>
        <w:t>el informe justificado del Sujeto Obligado, remitido por el Titular de la Unidad de Transparencia, en el que manifiesta que en atención a la solicitud de información, el sujeto Obligado con el objetivo de fomentar el principio de máxima publicidad de la in</w:t>
      </w:r>
      <w:r>
        <w:rPr>
          <w:rFonts w:ascii="Palatino Linotype" w:eastAsia="Palatino Linotype" w:hAnsi="Palatino Linotype" w:cs="Palatino Linotype"/>
        </w:rPr>
        <w:t>formación tuvo a bien proporcionar el enlace del sistema IPOMEX, con el fin de que conozca los inmuebles que tiene el Ayuntamiento de Zinacantepec:</w:t>
      </w:r>
    </w:p>
    <w:p w:rsidR="00145FB1" w:rsidRDefault="003E6385">
      <w:pPr>
        <w:widowControl w:val="0"/>
        <w:pBdr>
          <w:top w:val="nil"/>
          <w:left w:val="nil"/>
          <w:bottom w:val="nil"/>
          <w:right w:val="nil"/>
          <w:between w:val="nil"/>
        </w:pBdr>
        <w:tabs>
          <w:tab w:val="left" w:pos="1701"/>
          <w:tab w:val="left" w:pos="1843"/>
        </w:tabs>
        <w:spacing w:after="240" w:line="360" w:lineRule="auto"/>
        <w:ind w:left="720"/>
        <w:jc w:val="both"/>
        <w:rPr>
          <w:rFonts w:ascii="Times New Roman" w:eastAsia="Times New Roman" w:hAnsi="Times New Roman" w:cs="Times New Roman"/>
          <w:color w:val="000000"/>
          <w:sz w:val="24"/>
          <w:szCs w:val="24"/>
        </w:rPr>
      </w:pPr>
      <w:hyperlink r:id="rId8">
        <w:r>
          <w:rPr>
            <w:rFonts w:ascii="Times New Roman" w:eastAsia="Times New Roman" w:hAnsi="Times New Roman" w:cs="Times New Roman"/>
            <w:color w:val="0563C1"/>
            <w:sz w:val="24"/>
            <w:szCs w:val="24"/>
            <w:u w:val="single"/>
          </w:rPr>
          <w:t>https://www.i</w:t>
        </w:r>
        <w:r>
          <w:rPr>
            <w:rFonts w:ascii="Times New Roman" w:eastAsia="Times New Roman" w:hAnsi="Times New Roman" w:cs="Times New Roman"/>
            <w:color w:val="0563C1"/>
            <w:sz w:val="24"/>
            <w:szCs w:val="24"/>
            <w:u w:val="single"/>
          </w:rPr>
          <w:t>pomex.org.mx/ipo3/lgt/indice/ZINACANTEPEC/art_92_xxxviii_d.web</w:t>
        </w:r>
      </w:hyperlink>
      <w:r>
        <w:rPr>
          <w:rFonts w:ascii="Times New Roman" w:eastAsia="Times New Roman" w:hAnsi="Times New Roman" w:cs="Times New Roman"/>
          <w:color w:val="000000"/>
          <w:sz w:val="24"/>
          <w:szCs w:val="24"/>
        </w:rPr>
        <w:t xml:space="preserve"> </w:t>
      </w:r>
    </w:p>
    <w:p w:rsidR="00145FB1" w:rsidRDefault="003E63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al ingresar a dicho vínculo electrónico se despliega lo siguiente:</w:t>
      </w:r>
    </w:p>
    <w:p w:rsidR="00145FB1" w:rsidRDefault="003E6385">
      <w:pPr>
        <w:widowControl w:val="0"/>
        <w:pBdr>
          <w:top w:val="nil"/>
          <w:left w:val="nil"/>
          <w:bottom w:val="nil"/>
          <w:right w:val="nil"/>
          <w:between w:val="nil"/>
        </w:pBdr>
        <w:tabs>
          <w:tab w:val="left" w:pos="1701"/>
          <w:tab w:val="left" w:pos="1843"/>
        </w:tabs>
        <w:spacing w:before="360" w:after="240" w:line="36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noProof/>
          <w:color w:val="000000"/>
          <w:sz w:val="24"/>
          <w:szCs w:val="24"/>
        </w:rPr>
        <w:lastRenderedPageBreak/>
        <w:drawing>
          <wp:inline distT="0" distB="0" distL="0" distR="0">
            <wp:extent cx="5734050" cy="3448050"/>
            <wp:effectExtent l="0" t="0" r="0" b="0"/>
            <wp:docPr id="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b="8290"/>
                    <a:stretch>
                      <a:fillRect/>
                    </a:stretch>
                  </pic:blipFill>
                  <pic:spPr>
                    <a:xfrm>
                      <a:off x="0" y="0"/>
                      <a:ext cx="5734050" cy="3448050"/>
                    </a:xfrm>
                    <a:prstGeom prst="rect">
                      <a:avLst/>
                    </a:prstGeom>
                    <a:ln/>
                  </pic:spPr>
                </pic:pic>
              </a:graphicData>
            </a:graphic>
          </wp:inline>
        </w:drawing>
      </w:r>
    </w:p>
    <w:p w:rsidR="00145FB1" w:rsidRDefault="003E6385">
      <w:pPr>
        <w:tabs>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no realizó manifestaciones, no formuló alegatos, ni ofreció algún medio de prueba. </w:t>
      </w:r>
    </w:p>
    <w:p w:rsidR="00145FB1" w:rsidRDefault="00145FB1">
      <w:pPr>
        <w:spacing w:after="0" w:line="360" w:lineRule="auto"/>
        <w:ind w:right="-6"/>
        <w:jc w:val="both"/>
        <w:rPr>
          <w:rFonts w:ascii="Palatino Linotype" w:eastAsia="Palatino Linotype" w:hAnsi="Palatino Linotype" w:cs="Palatino Linotype"/>
          <w:i/>
        </w:rPr>
      </w:pPr>
    </w:p>
    <w:p w:rsidR="00145FB1" w:rsidRDefault="003E6385">
      <w:pPr>
        <w:spacing w:after="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conforme al criterio mayoritario se </w:t>
      </w:r>
      <w:proofErr w:type="gramStart"/>
      <w:r>
        <w:rPr>
          <w:rFonts w:ascii="Palatino Linotype" w:eastAsia="Palatino Linotype" w:hAnsi="Palatino Linotype" w:cs="Palatino Linotype"/>
          <w:sz w:val="24"/>
          <w:szCs w:val="24"/>
        </w:rPr>
        <w:t>consideró</w:t>
      </w:r>
      <w:proofErr w:type="gramEnd"/>
      <w:r>
        <w:rPr>
          <w:rFonts w:ascii="Palatino Linotype" w:eastAsia="Palatino Linotype" w:hAnsi="Palatino Linotype" w:cs="Palatino Linotype"/>
          <w:sz w:val="24"/>
          <w:szCs w:val="24"/>
        </w:rPr>
        <w:t xml:space="preserve"> que los motivos de inconformidad aducidos por </w:t>
      </w:r>
      <w:r>
        <w:rPr>
          <w:rFonts w:ascii="Palatino Linotype" w:eastAsia="Palatino Linotype" w:hAnsi="Palatino Linotype" w:cs="Palatino Linotype"/>
          <w:b/>
          <w:sz w:val="24"/>
          <w:szCs w:val="24"/>
        </w:rPr>
        <w:t xml:space="preserve">LA PARTE RECURRENTE </w:t>
      </w:r>
      <w:r>
        <w:rPr>
          <w:rFonts w:ascii="Palatino Linotype" w:eastAsia="Palatino Linotype" w:hAnsi="Palatino Linotype" w:cs="Palatino Linotype"/>
          <w:sz w:val="24"/>
          <w:szCs w:val="24"/>
        </w:rPr>
        <w:t>eran fundados, y determinó modificar la res</w:t>
      </w:r>
      <w:r>
        <w:rPr>
          <w:rFonts w:ascii="Palatino Linotype" w:eastAsia="Palatino Linotype" w:hAnsi="Palatino Linotype" w:cs="Palatino Linotype"/>
          <w:sz w:val="24"/>
          <w:szCs w:val="24"/>
        </w:rPr>
        <w:t xml:space="preserve">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ordenando lo siguiente:</w:t>
      </w:r>
    </w:p>
    <w:p w:rsidR="00145FB1" w:rsidRDefault="00145FB1">
      <w:pPr>
        <w:spacing w:after="0" w:line="360" w:lineRule="auto"/>
        <w:ind w:right="-6"/>
        <w:jc w:val="both"/>
        <w:rPr>
          <w:rFonts w:ascii="Palatino Linotype" w:eastAsia="Palatino Linotype" w:hAnsi="Palatino Linotype" w:cs="Palatino Linotype"/>
          <w:sz w:val="24"/>
          <w:szCs w:val="24"/>
        </w:rPr>
      </w:pPr>
    </w:p>
    <w:p w:rsidR="00145FB1" w:rsidRDefault="003E6385">
      <w:pPr>
        <w:pBdr>
          <w:top w:val="nil"/>
          <w:left w:val="nil"/>
          <w:bottom w:val="nil"/>
          <w:right w:val="nil"/>
          <w:between w:val="nil"/>
        </w:pBdr>
        <w:spacing w:after="0" w:line="360" w:lineRule="auto"/>
        <w:ind w:left="1077"/>
        <w:jc w:val="both"/>
        <w:rPr>
          <w:rFonts w:ascii="Palatino Linotype" w:eastAsia="Palatino Linotype" w:hAnsi="Palatino Linotype" w:cs="Palatino Linotype"/>
          <w:b/>
          <w:i/>
        </w:rPr>
      </w:pPr>
      <w:bookmarkStart w:id="1" w:name="_heading=h.1fob9te" w:colFirst="0" w:colLast="0"/>
      <w:bookmarkEnd w:id="1"/>
      <w:r>
        <w:rPr>
          <w:rFonts w:ascii="Palatino Linotype" w:eastAsia="Palatino Linotype" w:hAnsi="Palatino Linotype" w:cs="Palatino Linotype"/>
          <w:b/>
          <w:i/>
        </w:rPr>
        <w:t xml:space="preserve">SEGUNDO. Se ORDENA al SUJETO OBLIGADO que haga entrega al RECURRENTE, en términos del Considerando CUARTO de esta resolución, a </w:t>
      </w:r>
      <w:r>
        <w:rPr>
          <w:rFonts w:ascii="Palatino Linotype" w:eastAsia="Palatino Linotype" w:hAnsi="Palatino Linotype" w:cs="Palatino Linotype"/>
          <w:b/>
          <w:i/>
        </w:rPr>
        <w:lastRenderedPageBreak/>
        <w:t xml:space="preserve">través del Sistema de Acceso a la Información Mexiquense (SAIMEX), de lo siguiente: </w:t>
      </w:r>
    </w:p>
    <w:p w:rsidR="00145FB1" w:rsidRDefault="00145FB1">
      <w:pPr>
        <w:pBdr>
          <w:top w:val="nil"/>
          <w:left w:val="nil"/>
          <w:bottom w:val="nil"/>
          <w:right w:val="nil"/>
          <w:between w:val="nil"/>
        </w:pBdr>
        <w:spacing w:after="0" w:line="360" w:lineRule="auto"/>
        <w:ind w:left="1077"/>
        <w:jc w:val="both"/>
        <w:rPr>
          <w:rFonts w:ascii="Palatino Linotype" w:eastAsia="Palatino Linotype" w:hAnsi="Palatino Linotype" w:cs="Palatino Linotype"/>
          <w:b/>
          <w:i/>
        </w:rPr>
      </w:pPr>
    </w:p>
    <w:p w:rsidR="00145FB1" w:rsidRDefault="003E6385">
      <w:pPr>
        <w:pBdr>
          <w:top w:val="nil"/>
          <w:left w:val="nil"/>
          <w:bottom w:val="nil"/>
          <w:right w:val="nil"/>
          <w:between w:val="nil"/>
        </w:pBdr>
        <w:spacing w:after="0" w:line="360" w:lineRule="auto"/>
        <w:ind w:left="1077"/>
        <w:jc w:val="both"/>
        <w:rPr>
          <w:rFonts w:ascii="Palatino Linotype" w:eastAsia="Palatino Linotype" w:hAnsi="Palatino Linotype" w:cs="Palatino Linotype"/>
          <w:b/>
          <w:i/>
        </w:rPr>
      </w:pPr>
      <w:r>
        <w:rPr>
          <w:rFonts w:ascii="Palatino Linotype" w:eastAsia="Palatino Linotype" w:hAnsi="Palatino Linotype" w:cs="Palatino Linotype"/>
          <w:b/>
          <w:i/>
        </w:rPr>
        <w:t>1.</w:t>
      </w:r>
      <w:r>
        <w:rPr>
          <w:rFonts w:ascii="Palatino Linotype" w:eastAsia="Palatino Linotype" w:hAnsi="Palatino Linotype" w:cs="Palatino Linotype"/>
          <w:b/>
          <w:i/>
        </w:rPr>
        <w:tab/>
        <w:t>El Acuerdo emitido por el Comité de Tra</w:t>
      </w:r>
      <w:r>
        <w:rPr>
          <w:rFonts w:ascii="Palatino Linotype" w:eastAsia="Palatino Linotype" w:hAnsi="Palatino Linotype" w:cs="Palatino Linotype"/>
          <w:b/>
          <w:i/>
        </w:rPr>
        <w:t>nsparencia mediante el cual se declara la incompetencia del Sujeto Obligado.</w:t>
      </w:r>
    </w:p>
    <w:p w:rsidR="00145FB1" w:rsidRDefault="00145FB1">
      <w:pPr>
        <w:pBdr>
          <w:top w:val="nil"/>
          <w:left w:val="nil"/>
          <w:bottom w:val="nil"/>
          <w:right w:val="nil"/>
          <w:between w:val="nil"/>
        </w:pBdr>
        <w:spacing w:after="0" w:line="360" w:lineRule="auto"/>
        <w:ind w:left="1077"/>
        <w:jc w:val="both"/>
        <w:rPr>
          <w:rFonts w:ascii="Palatino Linotype" w:eastAsia="Palatino Linotype" w:hAnsi="Palatino Linotype" w:cs="Palatino Linotype"/>
          <w:b/>
          <w:sz w:val="24"/>
          <w:szCs w:val="24"/>
        </w:rPr>
      </w:pPr>
    </w:p>
    <w:p w:rsidR="00145FB1" w:rsidRDefault="003E6385">
      <w:pPr>
        <w:numPr>
          <w:ilvl w:val="0"/>
          <w:numId w:val="2"/>
        </w:numPr>
        <w:pBdr>
          <w:top w:val="nil"/>
          <w:left w:val="nil"/>
          <w:bottom w:val="nil"/>
          <w:right w:val="nil"/>
          <w:between w:val="nil"/>
        </w:pBdr>
        <w:spacing w:after="0" w:line="360" w:lineRule="auto"/>
        <w:ind w:left="567" w:hanging="283"/>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Razones del Voto Disidente.</w:t>
      </w:r>
    </w:p>
    <w:p w:rsidR="00145FB1" w:rsidRDefault="00145FB1">
      <w:pPr>
        <w:pBdr>
          <w:top w:val="nil"/>
          <w:left w:val="nil"/>
          <w:bottom w:val="nil"/>
          <w:right w:val="nil"/>
          <w:between w:val="nil"/>
        </w:pBdr>
        <w:spacing w:after="0" w:line="360" w:lineRule="auto"/>
        <w:ind w:left="567"/>
        <w:jc w:val="both"/>
        <w:rPr>
          <w:rFonts w:ascii="Palatino Linotype" w:eastAsia="Palatino Linotype" w:hAnsi="Palatino Linotype" w:cs="Palatino Linotype"/>
          <w:b/>
          <w:sz w:val="24"/>
          <w:szCs w:val="24"/>
        </w:rPr>
      </w:pPr>
    </w:p>
    <w:p w:rsidR="00145FB1" w:rsidRDefault="003E6385">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términos generales es de señalar que no comparto el sentido de la resolución, específicamente, del acuerdo de incompetencia que se ordena, por los argumentos que se exponen a continuación:</w:t>
      </w:r>
    </w:p>
    <w:p w:rsidR="00145FB1" w:rsidRDefault="00145FB1">
      <w:pPr>
        <w:spacing w:after="0" w:line="360" w:lineRule="auto"/>
        <w:ind w:right="139"/>
        <w:jc w:val="both"/>
        <w:rPr>
          <w:rFonts w:ascii="Palatino Linotype" w:eastAsia="Palatino Linotype" w:hAnsi="Palatino Linotype" w:cs="Palatino Linotype"/>
          <w:sz w:val="24"/>
          <w:szCs w:val="24"/>
        </w:rPr>
      </w:pPr>
    </w:p>
    <w:p w:rsidR="00145FB1" w:rsidRDefault="003E6385">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Respecto a la Declaración de Incompetencia la Ley de Transparen</w:t>
      </w:r>
      <w:r>
        <w:rPr>
          <w:rFonts w:ascii="Palatino Linotype" w:eastAsia="Palatino Linotype" w:hAnsi="Palatino Linotype" w:cs="Palatino Linotype"/>
          <w:sz w:val="24"/>
          <w:szCs w:val="24"/>
        </w:rPr>
        <w:t xml:space="preserve">cia y Acceso a la Información Pública del Estado de México, establece, en los artículos 49, fracción II y 167, lo siguiente: </w:t>
      </w:r>
    </w:p>
    <w:p w:rsidR="00145FB1" w:rsidRDefault="00145FB1">
      <w:pPr>
        <w:tabs>
          <w:tab w:val="left" w:pos="142"/>
          <w:tab w:val="left" w:pos="284"/>
        </w:tabs>
        <w:spacing w:after="0" w:line="360" w:lineRule="auto"/>
        <w:jc w:val="both"/>
        <w:rPr>
          <w:rFonts w:ascii="Palatino Linotype" w:eastAsia="Palatino Linotype" w:hAnsi="Palatino Linotype" w:cs="Palatino Linotype"/>
          <w:sz w:val="24"/>
          <w:szCs w:val="24"/>
        </w:rPr>
      </w:pPr>
    </w:p>
    <w:p w:rsidR="00145FB1" w:rsidRDefault="003E6385">
      <w:pPr>
        <w:tabs>
          <w:tab w:val="left" w:pos="142"/>
          <w:tab w:val="left" w:pos="284"/>
        </w:tabs>
        <w:spacing w:after="120" w:line="24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49.</w:t>
      </w:r>
      <w:r>
        <w:rPr>
          <w:rFonts w:ascii="Palatino Linotype" w:eastAsia="Palatino Linotype" w:hAnsi="Palatino Linotype" w:cs="Palatino Linotype"/>
          <w:i/>
        </w:rPr>
        <w:t xml:space="preserve"> </w:t>
      </w:r>
      <w:r>
        <w:rPr>
          <w:rFonts w:ascii="Palatino Linotype" w:eastAsia="Palatino Linotype" w:hAnsi="Palatino Linotype" w:cs="Palatino Linotype"/>
          <w:b/>
          <w:i/>
        </w:rPr>
        <w:t>Los Comités de Transparencia</w:t>
      </w:r>
      <w:r>
        <w:rPr>
          <w:rFonts w:ascii="Palatino Linotype" w:eastAsia="Palatino Linotype" w:hAnsi="Palatino Linotype" w:cs="Palatino Linotype"/>
          <w:i/>
        </w:rPr>
        <w:t xml:space="preserve"> tendrán las siguientes atribuciones:</w:t>
      </w:r>
    </w:p>
    <w:p w:rsidR="00145FB1" w:rsidRDefault="003E6385">
      <w:pPr>
        <w:tabs>
          <w:tab w:val="left" w:pos="142"/>
          <w:tab w:val="left" w:pos="284"/>
        </w:tabs>
        <w:spacing w:before="120" w:after="120" w:line="240" w:lineRule="auto"/>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145FB1" w:rsidRDefault="003E6385">
      <w:pPr>
        <w:tabs>
          <w:tab w:val="left" w:pos="142"/>
          <w:tab w:val="left" w:pos="284"/>
        </w:tabs>
        <w:spacing w:before="120" w:after="120" w:line="240" w:lineRule="auto"/>
        <w:ind w:left="1134" w:right="902"/>
        <w:jc w:val="both"/>
        <w:rPr>
          <w:rFonts w:ascii="Palatino Linotype" w:eastAsia="Palatino Linotype" w:hAnsi="Palatino Linotype" w:cs="Palatino Linotype"/>
          <w:b/>
          <w:i/>
          <w:u w:val="single"/>
        </w:rPr>
      </w:pPr>
      <w:r>
        <w:rPr>
          <w:rFonts w:ascii="Palatino Linotype" w:eastAsia="Palatino Linotype" w:hAnsi="Palatino Linotype" w:cs="Palatino Linotype"/>
          <w:b/>
          <w:i/>
        </w:rPr>
        <w:t>II.</w:t>
      </w:r>
      <w:r>
        <w:t xml:space="preserve"> </w:t>
      </w:r>
      <w:r>
        <w:rPr>
          <w:rFonts w:ascii="Palatino Linotype" w:eastAsia="Palatino Linotype" w:hAnsi="Palatino Linotype" w:cs="Palatino Linotype"/>
          <w:b/>
          <w:i/>
        </w:rPr>
        <w:t>Confirmar, modificar o revocar</w:t>
      </w:r>
      <w:r>
        <w:rPr>
          <w:rFonts w:ascii="Palatino Linotype" w:eastAsia="Palatino Linotype" w:hAnsi="Palatino Linotype" w:cs="Palatino Linotype"/>
          <w:i/>
        </w:rPr>
        <w:t xml:space="preserve"> las determinaciones que en materia de ampliación del plazo de respuesta, clasificación de la información </w:t>
      </w:r>
      <w:r>
        <w:rPr>
          <w:rFonts w:ascii="Palatino Linotype" w:eastAsia="Palatino Linotype" w:hAnsi="Palatino Linotype" w:cs="Palatino Linotype"/>
          <w:b/>
          <w:i/>
        </w:rPr>
        <w:t>y declaración</w:t>
      </w:r>
      <w:r>
        <w:rPr>
          <w:rFonts w:ascii="Palatino Linotype" w:eastAsia="Palatino Linotype" w:hAnsi="Palatino Linotype" w:cs="Palatino Linotype"/>
          <w:i/>
        </w:rPr>
        <w:t xml:space="preserve"> de inexistencia o </w:t>
      </w:r>
      <w:r>
        <w:rPr>
          <w:rFonts w:ascii="Palatino Linotype" w:eastAsia="Palatino Linotype" w:hAnsi="Palatino Linotype" w:cs="Palatino Linotype"/>
          <w:b/>
          <w:i/>
        </w:rPr>
        <w:t>de incompetencia realicen los titulares de las áreas de los sujetos obligados;</w:t>
      </w:r>
    </w:p>
    <w:p w:rsidR="00145FB1" w:rsidRDefault="003E6385">
      <w:pPr>
        <w:tabs>
          <w:tab w:val="left" w:pos="142"/>
          <w:tab w:val="left" w:pos="284"/>
        </w:tabs>
        <w:spacing w:before="120" w:after="120" w:line="240" w:lineRule="auto"/>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145FB1" w:rsidRDefault="003E6385">
      <w:pPr>
        <w:tabs>
          <w:tab w:val="left" w:pos="142"/>
          <w:tab w:val="left" w:pos="284"/>
        </w:tabs>
        <w:spacing w:before="120" w:after="120" w:line="240" w:lineRule="auto"/>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Artículo 167</w:t>
      </w:r>
      <w:r>
        <w:rPr>
          <w:rFonts w:ascii="Palatino Linotype" w:eastAsia="Palatino Linotype" w:hAnsi="Palatino Linotype" w:cs="Palatino Linotype"/>
          <w:i/>
        </w:rPr>
        <w:t xml:space="preserve">. </w:t>
      </w:r>
      <w:r>
        <w:rPr>
          <w:rFonts w:ascii="Palatino Linotype" w:eastAsia="Palatino Linotype" w:hAnsi="Palatino Linotype" w:cs="Palatino Linotype"/>
          <w:b/>
          <w:i/>
        </w:rPr>
        <w:t>Cuando las unidades d</w:t>
      </w:r>
      <w:r>
        <w:rPr>
          <w:rFonts w:ascii="Palatino Linotype" w:eastAsia="Palatino Linotype" w:hAnsi="Palatino Linotype" w:cs="Palatino Linotype"/>
          <w:b/>
          <w:i/>
        </w:rPr>
        <w:t>e transparencia determinen la notoria incompetencia</w:t>
      </w:r>
      <w:r>
        <w:rPr>
          <w:rFonts w:ascii="Palatino Linotype" w:eastAsia="Palatino Linotype" w:hAnsi="Palatino Linotype" w:cs="Palatino Linotype"/>
          <w:i/>
        </w:rPr>
        <w:t xml:space="preserve"> por parte de los sujetos obligados, dentro del ámbito de aplicación, para atender la solicitud de acceso a la información, </w:t>
      </w:r>
      <w:r>
        <w:rPr>
          <w:rFonts w:ascii="Palatino Linotype" w:eastAsia="Palatino Linotype" w:hAnsi="Palatino Linotype" w:cs="Palatino Linotype"/>
          <w:b/>
          <w:i/>
        </w:rPr>
        <w:t>deberán comunicarlo al solicitante, dentro de los tres días hábiles posteriores a</w:t>
      </w:r>
      <w:r>
        <w:rPr>
          <w:rFonts w:ascii="Palatino Linotype" w:eastAsia="Palatino Linotype" w:hAnsi="Palatino Linotype" w:cs="Palatino Linotype"/>
          <w:b/>
          <w:i/>
        </w:rPr>
        <w:t xml:space="preserve"> la recepción de la solicitud</w:t>
      </w:r>
      <w:r>
        <w:rPr>
          <w:rFonts w:ascii="Palatino Linotype" w:eastAsia="Palatino Linotype" w:hAnsi="Palatino Linotype" w:cs="Palatino Linotype"/>
          <w:i/>
        </w:rPr>
        <w:t xml:space="preserve"> y, </w:t>
      </w:r>
      <w:r>
        <w:rPr>
          <w:rFonts w:ascii="Palatino Linotype" w:eastAsia="Palatino Linotype" w:hAnsi="Palatino Linotype" w:cs="Palatino Linotype"/>
          <w:b/>
          <w:i/>
        </w:rPr>
        <w:t>en su caso orientar al solicitante, el o los sujetos obligados competentes.</w:t>
      </w:r>
    </w:p>
    <w:p w:rsidR="00145FB1" w:rsidRDefault="00145FB1">
      <w:pPr>
        <w:spacing w:before="120" w:after="120" w:line="240" w:lineRule="auto"/>
        <w:ind w:left="851" w:right="902"/>
        <w:jc w:val="both"/>
        <w:rPr>
          <w:rFonts w:ascii="Palatino Linotype" w:eastAsia="Palatino Linotype" w:hAnsi="Palatino Linotype" w:cs="Palatino Linotype"/>
        </w:rPr>
      </w:pPr>
    </w:p>
    <w:p w:rsidR="00145FB1" w:rsidRDefault="003E6385">
      <w:pPr>
        <w:tabs>
          <w:tab w:val="left" w:pos="142"/>
          <w:tab w:val="left" w:pos="284"/>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De los preceptos citados se desprende que es atribución del Comité de Transparencia confirmar, modificar o revocar, en su caso, la declaración de </w:t>
      </w:r>
      <w:r>
        <w:rPr>
          <w:rFonts w:ascii="Palatino Linotype" w:eastAsia="Palatino Linotype" w:hAnsi="Palatino Linotype" w:cs="Palatino Linotype"/>
          <w:sz w:val="24"/>
          <w:szCs w:val="24"/>
        </w:rPr>
        <w:t xml:space="preserve">incompetencia, </w:t>
      </w:r>
      <w:r>
        <w:rPr>
          <w:rFonts w:ascii="Palatino Linotype" w:eastAsia="Palatino Linotype" w:hAnsi="Palatino Linotype" w:cs="Palatino Linotype"/>
          <w:b/>
          <w:sz w:val="24"/>
          <w:szCs w:val="24"/>
        </w:rPr>
        <w:t xml:space="preserve">en aquellos casos en los que no se trate de una notoria incompetencia. </w:t>
      </w:r>
    </w:p>
    <w:p w:rsidR="00145FB1" w:rsidRDefault="00145FB1">
      <w:pPr>
        <w:tabs>
          <w:tab w:val="left" w:pos="142"/>
          <w:tab w:val="left" w:pos="284"/>
        </w:tabs>
        <w:spacing w:after="0" w:line="360" w:lineRule="auto"/>
        <w:jc w:val="both"/>
        <w:rPr>
          <w:rFonts w:ascii="Palatino Linotype" w:eastAsia="Palatino Linotype" w:hAnsi="Palatino Linotype" w:cs="Palatino Linotype"/>
          <w:b/>
          <w:sz w:val="24"/>
          <w:szCs w:val="24"/>
        </w:rPr>
      </w:pPr>
    </w:p>
    <w:p w:rsidR="00145FB1" w:rsidRDefault="003E6385">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Puesto que la Ley también prevé que dicho acuerdo no es necesario cuando la Unidad de Transparencia determine que la incompetencia es notoria dando un plazo de tres días hábiles para hacerlo del conocimiento del particular, por lo que si bien, en el caso p</w:t>
      </w:r>
      <w:r>
        <w:rPr>
          <w:rFonts w:ascii="Palatino Linotype" w:eastAsia="Palatino Linotype" w:hAnsi="Palatino Linotype" w:cs="Palatino Linotype"/>
          <w:sz w:val="24"/>
          <w:szCs w:val="24"/>
        </w:rPr>
        <w:t xml:space="preserve">articular, no fue respetado dicho plazo, ello no cambia la circunstancia de que la incompetencia de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para dar atención a la solicitud de información siga siendo notoria. </w:t>
      </w:r>
    </w:p>
    <w:p w:rsidR="00145FB1" w:rsidRDefault="00145FB1">
      <w:pPr>
        <w:tabs>
          <w:tab w:val="left" w:pos="142"/>
          <w:tab w:val="left" w:pos="284"/>
        </w:tabs>
        <w:spacing w:after="0" w:line="360" w:lineRule="auto"/>
        <w:jc w:val="both"/>
        <w:rPr>
          <w:rFonts w:ascii="Palatino Linotype" w:eastAsia="Palatino Linotype" w:hAnsi="Palatino Linotype" w:cs="Palatino Linotype"/>
          <w:sz w:val="24"/>
          <w:szCs w:val="24"/>
        </w:rPr>
      </w:pPr>
    </w:p>
    <w:p w:rsidR="00145FB1" w:rsidRDefault="003E6385">
      <w:pPr>
        <w:tabs>
          <w:tab w:val="left" w:pos="142"/>
          <w:tab w:val="left" w:pos="284"/>
        </w:tabs>
        <w:spacing w:after="0" w:line="360" w:lineRule="auto"/>
        <w:jc w:val="both"/>
        <w:rPr>
          <w:rFonts w:ascii="Palatino Linotype" w:eastAsia="Palatino Linotype" w:hAnsi="Palatino Linotype" w:cs="Palatino Linotype"/>
          <w:sz w:val="24"/>
          <w:szCs w:val="24"/>
          <w:u w:val="single"/>
        </w:rPr>
      </w:pPr>
      <w:r>
        <w:rPr>
          <w:rFonts w:ascii="Palatino Linotype" w:eastAsia="Palatino Linotype" w:hAnsi="Palatino Linotype" w:cs="Palatino Linotype"/>
          <w:sz w:val="24"/>
          <w:szCs w:val="24"/>
        </w:rPr>
        <w:t>En otras palabras, la Ley de la Materia confiere a las Unidades de Tr</w:t>
      </w:r>
      <w:r>
        <w:rPr>
          <w:rFonts w:ascii="Palatino Linotype" w:eastAsia="Palatino Linotype" w:hAnsi="Palatino Linotype" w:cs="Palatino Linotype"/>
          <w:sz w:val="24"/>
          <w:szCs w:val="24"/>
        </w:rPr>
        <w:t xml:space="preserve">ansparencia la posibilidad de notificar la incompetencia cuando esta sea notoria, siendo innecesario que dicha circunstancia sea sometida a consideración de los integrantes del Comité de Transparencia </w:t>
      </w:r>
      <w:r>
        <w:rPr>
          <w:rFonts w:ascii="Palatino Linotype" w:eastAsia="Palatino Linotype" w:hAnsi="Palatino Linotype" w:cs="Palatino Linotype"/>
          <w:sz w:val="24"/>
          <w:szCs w:val="24"/>
          <w:u w:val="single"/>
        </w:rPr>
        <w:t xml:space="preserve">para su aprobación. </w:t>
      </w:r>
    </w:p>
    <w:p w:rsidR="00145FB1" w:rsidRDefault="00145FB1">
      <w:pPr>
        <w:tabs>
          <w:tab w:val="left" w:pos="142"/>
          <w:tab w:val="left" w:pos="284"/>
        </w:tabs>
        <w:spacing w:after="0" w:line="360" w:lineRule="auto"/>
        <w:jc w:val="both"/>
        <w:rPr>
          <w:rFonts w:ascii="Palatino Linotype" w:eastAsia="Palatino Linotype" w:hAnsi="Palatino Linotype" w:cs="Palatino Linotype"/>
          <w:sz w:val="24"/>
          <w:szCs w:val="24"/>
          <w:u w:val="single"/>
        </w:rPr>
      </w:pPr>
    </w:p>
    <w:p w:rsidR="00145FB1" w:rsidRDefault="003E6385">
      <w:pPr>
        <w:spacing w:after="0" w:line="360" w:lineRule="auto"/>
        <w:ind w:right="1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Como sustento de lo anterior, res</w:t>
      </w:r>
      <w:r>
        <w:rPr>
          <w:rFonts w:ascii="Palatino Linotype" w:eastAsia="Palatino Linotype" w:hAnsi="Palatino Linotype" w:cs="Palatino Linotype"/>
          <w:sz w:val="24"/>
          <w:szCs w:val="24"/>
        </w:rPr>
        <w:t xml:space="preserve">ulta aplicable el Criterio 20/20, emitido por el </w:t>
      </w:r>
      <w:r>
        <w:rPr>
          <w:rFonts w:ascii="Palatino Linotype" w:eastAsia="Palatino Linotype" w:hAnsi="Palatino Linotype" w:cs="Palatino Linotype"/>
        </w:rPr>
        <w:t xml:space="preserve">Instituto Nacional de Transparencia, Acceso a la Información, y Protección de Datos Personales, INAI, que lleva por rubro y texto los siguientes: </w:t>
      </w:r>
      <w:r>
        <w:rPr>
          <w:rFonts w:ascii="Palatino Linotype" w:eastAsia="Palatino Linotype" w:hAnsi="Palatino Linotype" w:cs="Palatino Linotype"/>
          <w:sz w:val="24"/>
          <w:szCs w:val="24"/>
        </w:rPr>
        <w:t xml:space="preserve"> </w:t>
      </w:r>
    </w:p>
    <w:p w:rsidR="00145FB1" w:rsidRDefault="00145FB1">
      <w:pPr>
        <w:spacing w:after="0" w:line="360" w:lineRule="auto"/>
        <w:ind w:right="18"/>
        <w:jc w:val="both"/>
        <w:rPr>
          <w:rFonts w:ascii="Palatino Linotype" w:eastAsia="Palatino Linotype" w:hAnsi="Palatino Linotype" w:cs="Palatino Linotype"/>
        </w:rPr>
      </w:pPr>
    </w:p>
    <w:p w:rsidR="00145FB1" w:rsidRDefault="003E6385">
      <w:pPr>
        <w:pBdr>
          <w:top w:val="nil"/>
          <w:left w:val="nil"/>
          <w:bottom w:val="nil"/>
          <w:right w:val="nil"/>
          <w:between w:val="nil"/>
        </w:pBd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“Declaración de incompetencia por parte del Comité, cuando no sea notoria o manifiesta.</w:t>
      </w:r>
      <w:r>
        <w:rPr>
          <w:rFonts w:ascii="Palatino Linotype" w:eastAsia="Palatino Linotype" w:hAnsi="Palatino Linotype" w:cs="Palatino Linotype"/>
          <w:i/>
        </w:rPr>
        <w:t xml:space="preserve"> Cuando la normatividad que prevé las atribuciones del sujeto obligado no sea clara en delimitar su competencia respecto a lo requerido por la persona solicitante y resu</w:t>
      </w:r>
      <w:r>
        <w:rPr>
          <w:rFonts w:ascii="Palatino Linotype" w:eastAsia="Palatino Linotype" w:hAnsi="Palatino Linotype" w:cs="Palatino Linotype"/>
          <w:i/>
        </w:rPr>
        <w:t>lte necesario efectuar un análisis mayor para determinar la incompetencia, ésta debe ser declarada por el Comité de Transparencia.”</w:t>
      </w:r>
    </w:p>
    <w:p w:rsidR="00145FB1" w:rsidRDefault="00145FB1">
      <w:pPr>
        <w:pBdr>
          <w:top w:val="nil"/>
          <w:left w:val="nil"/>
          <w:bottom w:val="nil"/>
          <w:right w:val="nil"/>
          <w:between w:val="nil"/>
        </w:pBdr>
        <w:spacing w:after="0" w:line="360" w:lineRule="auto"/>
        <w:ind w:left="851" w:right="900"/>
        <w:jc w:val="both"/>
        <w:rPr>
          <w:rFonts w:ascii="Palatino Linotype" w:eastAsia="Palatino Linotype" w:hAnsi="Palatino Linotype" w:cs="Palatino Linotype"/>
          <w:i/>
        </w:rPr>
      </w:pPr>
    </w:p>
    <w:p w:rsidR="00145FB1" w:rsidRDefault="003E6385">
      <w:pPr>
        <w:tabs>
          <w:tab w:val="left" w:pos="0"/>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igual manera, el Pleno de este Instituto, a través del Criterio 02/04 emitido en la Segunda Época, precisa los alcances </w:t>
      </w:r>
      <w:r>
        <w:rPr>
          <w:rFonts w:ascii="Palatino Linotype" w:eastAsia="Palatino Linotype" w:hAnsi="Palatino Linotype" w:cs="Palatino Linotype"/>
          <w:sz w:val="24"/>
          <w:szCs w:val="24"/>
        </w:rPr>
        <w:t>del artículo 167 de la Ley de Transparencia, al señalar que corresponde al Comité de Transparencia confirmar la declaratoria de incompetencia y notificarle dicha determinación al particular, refiriéndose a aquellos casos en los que exista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u w:val="single"/>
        </w:rPr>
        <w:t>duda razonable so</w:t>
      </w:r>
      <w:r>
        <w:rPr>
          <w:rFonts w:ascii="Palatino Linotype" w:eastAsia="Palatino Linotype" w:hAnsi="Palatino Linotype" w:cs="Palatino Linotype"/>
          <w:b/>
          <w:sz w:val="24"/>
          <w:szCs w:val="24"/>
          <w:u w:val="single"/>
        </w:rPr>
        <w:t>bre la administración del documento materia de la solicitud de información</w:t>
      </w:r>
      <w:r>
        <w:rPr>
          <w:rFonts w:ascii="Palatino Linotype" w:eastAsia="Palatino Linotype" w:hAnsi="Palatino Linotype" w:cs="Palatino Linotype"/>
          <w:sz w:val="24"/>
          <w:szCs w:val="24"/>
        </w:rPr>
        <w:t>, como se lee enseguida:</w:t>
      </w:r>
    </w:p>
    <w:p w:rsidR="00145FB1" w:rsidRDefault="00145FB1">
      <w:pPr>
        <w:tabs>
          <w:tab w:val="left" w:pos="142"/>
          <w:tab w:val="left" w:pos="284"/>
        </w:tabs>
        <w:spacing w:after="0" w:line="360" w:lineRule="auto"/>
        <w:ind w:left="142" w:hanging="142"/>
        <w:jc w:val="both"/>
        <w:rPr>
          <w:rFonts w:ascii="Palatino Linotype" w:eastAsia="Palatino Linotype" w:hAnsi="Palatino Linotype" w:cs="Palatino Linotype"/>
          <w:sz w:val="24"/>
          <w:szCs w:val="24"/>
        </w:rPr>
      </w:pPr>
    </w:p>
    <w:p w:rsidR="00145FB1" w:rsidRDefault="003E6385">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“DECLARATORIA DE INCOMPETENCIA DEL SUJETO OBLIGADO. SUPUESTO PARA CONFIRMARLA POR ACUERDO DEL COMITÉ DE TRANSPARENCIA. </w:t>
      </w:r>
      <w:r>
        <w:rPr>
          <w:rFonts w:ascii="Palatino Linotype" w:eastAsia="Palatino Linotype" w:hAnsi="Palatino Linotype" w:cs="Palatino Linotype"/>
          <w:i/>
        </w:rPr>
        <w:t>De conformidad con el artículo 167 de</w:t>
      </w:r>
      <w:r>
        <w:rPr>
          <w:rFonts w:ascii="Palatino Linotype" w:eastAsia="Palatino Linotype" w:hAnsi="Palatino Linotype" w:cs="Palatino Linotype"/>
          <w:i/>
        </w:rPr>
        <w:t xml:space="preserve"> la Ley de Transparencia vigente en la entidad, las Unidades de Transparencia tienen la facultad de determinar la notoria incompetencia para atender las solicitudes de acceso a la información y comunicarla al solicitante dentro de los tres días hábiles pos</w:t>
      </w:r>
      <w:r>
        <w:rPr>
          <w:rFonts w:ascii="Palatino Linotype" w:eastAsia="Palatino Linotype" w:hAnsi="Palatino Linotype" w:cs="Palatino Linotype"/>
          <w:i/>
        </w:rPr>
        <w:t xml:space="preserve">teriores a la recepción de la misma, así como en su caso, orientar al particular sobre el o los Sujetos Obligados competentes para su atención. No obstante, es </w:t>
      </w:r>
      <w:r>
        <w:rPr>
          <w:rFonts w:ascii="Palatino Linotype" w:eastAsia="Palatino Linotype" w:hAnsi="Palatino Linotype" w:cs="Palatino Linotype"/>
          <w:i/>
        </w:rPr>
        <w:lastRenderedPageBreak/>
        <w:t xml:space="preserve">importante resaltar que </w:t>
      </w:r>
      <w:r>
        <w:rPr>
          <w:rFonts w:ascii="Palatino Linotype" w:eastAsia="Palatino Linotype" w:hAnsi="Palatino Linotype" w:cs="Palatino Linotype"/>
          <w:b/>
          <w:i/>
        </w:rPr>
        <w:t>al ejercer el derecho de acceso a la información pública cabe la posibil</w:t>
      </w:r>
      <w:r>
        <w:rPr>
          <w:rFonts w:ascii="Palatino Linotype" w:eastAsia="Palatino Linotype" w:hAnsi="Palatino Linotype" w:cs="Palatino Linotype"/>
          <w:b/>
          <w:i/>
        </w:rPr>
        <w:t xml:space="preserve">idad de que existan atribuciones concurrentes entre dos o más Sujetos Obligados que </w:t>
      </w:r>
      <w:r>
        <w:rPr>
          <w:rFonts w:ascii="Palatino Linotype" w:eastAsia="Palatino Linotype" w:hAnsi="Palatino Linotype" w:cs="Palatino Linotype"/>
          <w:b/>
          <w:i/>
          <w:u w:val="single"/>
        </w:rPr>
        <w:t>impiden determinar dentro del término legal de tres días hábiles</w:t>
      </w:r>
      <w:r>
        <w:rPr>
          <w:rFonts w:ascii="Palatino Linotype" w:eastAsia="Palatino Linotype" w:hAnsi="Palatino Linotype" w:cs="Palatino Linotype"/>
          <w:b/>
          <w:i/>
        </w:rPr>
        <w:t>, si se posee o no la información por el Sujeto Obligado requerid</w:t>
      </w:r>
      <w:r>
        <w:rPr>
          <w:rFonts w:ascii="Palatino Linotype" w:eastAsia="Palatino Linotype" w:hAnsi="Palatino Linotype" w:cs="Palatino Linotype"/>
          <w:i/>
        </w:rPr>
        <w:t>o; en virtud de ello, en aras de disipar to</w:t>
      </w:r>
      <w:r>
        <w:rPr>
          <w:rFonts w:ascii="Palatino Linotype" w:eastAsia="Palatino Linotype" w:hAnsi="Palatino Linotype" w:cs="Palatino Linotype"/>
          <w:i/>
        </w:rPr>
        <w:t>da duda razonable sobre la administración del documento materia de la solicitud de información, el Sujeto Obligado deberá dar el trámite correspondiente a la solicitud de información a efecto de realizar un análisis minucioso de las facultades, competencia</w:t>
      </w:r>
      <w:r>
        <w:rPr>
          <w:rFonts w:ascii="Palatino Linotype" w:eastAsia="Palatino Linotype" w:hAnsi="Palatino Linotype" w:cs="Palatino Linotype"/>
          <w:i/>
        </w:rPr>
        <w:t>s o funciones de cada una de las Unidades Administrativas que lo integran y, si posterior a ello, se corrobora la incompetencia para la atención del requerimiento, en razón de que es otro el Sujeto Obligado poseedor de la documentación, corresponde a su Co</w:t>
      </w:r>
      <w:r>
        <w:rPr>
          <w:rFonts w:ascii="Palatino Linotype" w:eastAsia="Palatino Linotype" w:hAnsi="Palatino Linotype" w:cs="Palatino Linotype"/>
          <w:i/>
        </w:rPr>
        <w:t>mité de Transparencia confirmar la declaratoria de incompetencia y notificarle dicha determinación al particular, en términos de lo dispuesto en el artículo 49, fracción II de la Ley de Transparencia Local, al ser este el acto jurídico idóneo que genera se</w:t>
      </w:r>
      <w:r>
        <w:rPr>
          <w:rFonts w:ascii="Palatino Linotype" w:eastAsia="Palatino Linotype" w:hAnsi="Palatino Linotype" w:cs="Palatino Linotype"/>
          <w:i/>
        </w:rPr>
        <w:t>guridad jurídica de que el Ente ante quien se presentó la solicitud, carece de facultades, competencias o funciones para poseer o generar la información requerida; lo anterior, sin perjuicio de que pueda gestionar la colaboración de otro Sujeto Obligado co</w:t>
      </w:r>
      <w:r>
        <w:rPr>
          <w:rFonts w:ascii="Palatino Linotype" w:eastAsia="Palatino Linotype" w:hAnsi="Palatino Linotype" w:cs="Palatino Linotype"/>
          <w:i/>
        </w:rPr>
        <w:t>mpetente para atender la solicitud.”</w:t>
      </w:r>
    </w:p>
    <w:p w:rsidR="00145FB1" w:rsidRDefault="00145FB1">
      <w:pPr>
        <w:spacing w:after="0" w:line="360" w:lineRule="auto"/>
        <w:ind w:left="851" w:right="900"/>
        <w:jc w:val="both"/>
        <w:rPr>
          <w:rFonts w:ascii="Palatino Linotype" w:eastAsia="Palatino Linotype" w:hAnsi="Palatino Linotype" w:cs="Palatino Linotype"/>
          <w:i/>
        </w:rPr>
      </w:pPr>
    </w:p>
    <w:p w:rsidR="00145FB1" w:rsidRDefault="003E6385">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caso particular conforme al criterio mayoritario, en el proyecto señaló de manera textual lo siguiente: </w:t>
      </w:r>
    </w:p>
    <w:p w:rsidR="00145FB1" w:rsidRDefault="00145FB1">
      <w:pPr>
        <w:tabs>
          <w:tab w:val="left" w:pos="142"/>
          <w:tab w:val="left" w:pos="284"/>
        </w:tabs>
        <w:spacing w:after="0" w:line="360" w:lineRule="auto"/>
        <w:jc w:val="both"/>
        <w:rPr>
          <w:rFonts w:ascii="Palatino Linotype" w:eastAsia="Palatino Linotype" w:hAnsi="Palatino Linotype" w:cs="Palatino Linotype"/>
          <w:sz w:val="24"/>
          <w:szCs w:val="24"/>
        </w:rPr>
      </w:pP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rPr>
        <w:t>“...</w:t>
      </w:r>
      <w:r>
        <w:rPr>
          <w:rFonts w:ascii="Palatino Linotype" w:eastAsia="Palatino Linotype" w:hAnsi="Palatino Linotype" w:cs="Palatino Linotype"/>
          <w:i/>
        </w:rPr>
        <w:t>Dicho  lo anterior,  debe destacarse los bienes inmuebles de dominio público y que están destinados a un servicio público por disposición de los artículos 5.4, fracción I del Código Civil del Estado de México; 105 de la Ley Orgánica Municipal del Estado de</w:t>
      </w:r>
      <w:r>
        <w:rPr>
          <w:rFonts w:ascii="Palatino Linotype" w:eastAsia="Palatino Linotype" w:hAnsi="Palatino Linotype" w:cs="Palatino Linotype"/>
          <w:i/>
        </w:rPr>
        <w:t xml:space="preserve"> México; 14, 15, 16, 17 y 18 fracción VI de la Ley de Bienes del Estado de México sus Municipios, cuyo texto y sentido literal es el siguiente:</w:t>
      </w:r>
    </w:p>
    <w:p w:rsidR="00145FB1" w:rsidRDefault="00145FB1">
      <w:pPr>
        <w:tabs>
          <w:tab w:val="left" w:pos="142"/>
          <w:tab w:val="left" w:pos="284"/>
          <w:tab w:val="left" w:pos="8080"/>
        </w:tabs>
        <w:spacing w:after="0" w:line="360" w:lineRule="auto"/>
        <w:ind w:left="851" w:right="900"/>
        <w:jc w:val="both"/>
        <w:rPr>
          <w:rFonts w:ascii="Palatino Linotype" w:eastAsia="Palatino Linotype" w:hAnsi="Palatino Linotype" w:cs="Palatino Linotype"/>
          <w:i/>
        </w:rPr>
      </w:pP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Código Civil del Estado de México</w:t>
      </w:r>
    </w:p>
    <w:p w:rsidR="00145FB1" w:rsidRDefault="00145FB1">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“Artículo 5.4.- Son bienes inmuebles:</w:t>
      </w: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I.</w:t>
      </w:r>
      <w:r>
        <w:rPr>
          <w:rFonts w:ascii="Palatino Linotype" w:eastAsia="Palatino Linotype" w:hAnsi="Palatino Linotype" w:cs="Palatino Linotype"/>
          <w:i/>
        </w:rPr>
        <w:tab/>
        <w:t>El suelo y las construcciones adher</w:t>
      </w:r>
      <w:r>
        <w:rPr>
          <w:rFonts w:ascii="Palatino Linotype" w:eastAsia="Palatino Linotype" w:hAnsi="Palatino Linotype" w:cs="Palatino Linotype"/>
          <w:i/>
        </w:rPr>
        <w:t>idas a él;</w:t>
      </w:r>
    </w:p>
    <w:p w:rsidR="00145FB1" w:rsidRDefault="00145FB1">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17.- Son bienes destinados un </w:t>
      </w:r>
      <w:proofErr w:type="spellStart"/>
      <w:r>
        <w:rPr>
          <w:rFonts w:ascii="Palatino Linotype" w:eastAsia="Palatino Linotype" w:hAnsi="Palatino Linotype" w:cs="Palatino Linotype"/>
          <w:i/>
        </w:rPr>
        <w:t>un</w:t>
      </w:r>
      <w:proofErr w:type="spellEnd"/>
      <w:r>
        <w:rPr>
          <w:rFonts w:ascii="Palatino Linotype" w:eastAsia="Palatino Linotype" w:hAnsi="Palatino Linotype" w:cs="Palatino Linotype"/>
          <w:i/>
        </w:rPr>
        <w:t xml:space="preserve"> servicio público, aquéllos que utilicen los poderes del Estado y los Municipios para el desarrollo de sus actividades o los que de hecho se utilicen para la prestación de servicios públicos o actividade</w:t>
      </w:r>
      <w:r>
        <w:rPr>
          <w:rFonts w:ascii="Palatino Linotype" w:eastAsia="Palatino Linotype" w:hAnsi="Palatino Linotype" w:cs="Palatino Linotype"/>
          <w:i/>
        </w:rPr>
        <w:t>s equiparables a ellos.</w:t>
      </w:r>
    </w:p>
    <w:p w:rsidR="00145FB1" w:rsidRDefault="00145FB1">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Artículo 18.- Son bienes destinados a un servicio público:</w:t>
      </w:r>
    </w:p>
    <w:p w:rsidR="00145FB1" w:rsidRDefault="00145FB1">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p>
    <w:p w:rsidR="00145FB1" w:rsidRDefault="00145FB1">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V. Los inmuebles utilizados para la prestación de servicios públicos estatales o municipales, tales como: mercados, rastros, hospitales, panteones públicos, zoológico</w:t>
      </w:r>
      <w:r>
        <w:rPr>
          <w:rFonts w:ascii="Palatino Linotype" w:eastAsia="Palatino Linotype" w:hAnsi="Palatino Linotype" w:cs="Palatino Linotype"/>
          <w:i/>
        </w:rPr>
        <w:t>s, jardines botánicos, museos, bibliotecas, parques y los demás similares o análogos a ellos;</w:t>
      </w:r>
    </w:p>
    <w:p w:rsidR="00145FB1" w:rsidRDefault="00145FB1">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VI. Los bienes muebles de propiedad estatal o municipal que tengan uso o utilidad en la prestación de un servicio público. </w:t>
      </w:r>
    </w:p>
    <w:p w:rsidR="00145FB1" w:rsidRDefault="00145FB1">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Además de lo expuesto con antelación</w:t>
      </w:r>
      <w:r>
        <w:rPr>
          <w:rFonts w:ascii="Palatino Linotype" w:eastAsia="Palatino Linotype" w:hAnsi="Palatino Linotype" w:cs="Palatino Linotype"/>
          <w:i/>
        </w:rPr>
        <w:t>, la Ley de Bienes del Estado de México y sus Municipios establece los parámetros generales a seguir en el control, registro, administración y destino de los bienes tanto del Estado como de sus Municipios; así como que los Ayuntamientos están facultados pa</w:t>
      </w:r>
      <w:r>
        <w:rPr>
          <w:rFonts w:ascii="Palatino Linotype" w:eastAsia="Palatino Linotype" w:hAnsi="Palatino Linotype" w:cs="Palatino Linotype"/>
          <w:i/>
        </w:rPr>
        <w:t>ra la elaboración del padrón de bienes del dominio público y privado del Estado y de los Municipios, asimismo, para determinar los procedimientos para integrar el inventario de los bienes de dominio público y privado. Sirve de apoyo a lo anterior los prece</w:t>
      </w:r>
      <w:r>
        <w:rPr>
          <w:rFonts w:ascii="Palatino Linotype" w:eastAsia="Palatino Linotype" w:hAnsi="Palatino Linotype" w:cs="Palatino Linotype"/>
          <w:i/>
        </w:rPr>
        <w:t>ptos siguientes:</w:t>
      </w: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 La presente ley es de orden público y tiene por objeto regular el registro, destino, administración, control, posesión, uso, aprovechamiento, </w:t>
      </w:r>
      <w:r>
        <w:rPr>
          <w:rFonts w:ascii="Palatino Linotype" w:eastAsia="Palatino Linotype" w:hAnsi="Palatino Linotype" w:cs="Palatino Linotype"/>
          <w:i/>
        </w:rPr>
        <w:lastRenderedPageBreak/>
        <w:t>desincorporación y destino final de los bienes del Estado de México y de sus municip</w:t>
      </w:r>
      <w:r>
        <w:rPr>
          <w:rFonts w:ascii="Palatino Linotype" w:eastAsia="Palatino Linotype" w:hAnsi="Palatino Linotype" w:cs="Palatino Linotype"/>
          <w:i/>
        </w:rPr>
        <w:t>ios.</w:t>
      </w: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Artículo 2.- La aplicación de esta ley corresponde:</w:t>
      </w: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III. En los municipios a los órganos que determine la Ley Orgánica Municipal del Estado de México y sus reglamentos.</w:t>
      </w: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CAPITULO SEGUNDO</w:t>
      </w: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DE LAS FACULTADES DE LAS AUTORIDADES</w:t>
      </w: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Artículo 5.- Corresponde al Ejecutivo del Estado por conducto de la Secretaría de Finanzas y a los ayuntamientos:</w:t>
      </w: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I. La elaboración del padrón de bienes del dominio público y privado del Estado y de los ayuntamientos;</w:t>
      </w: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Artículo 11.- Corresponde a cada u</w:t>
      </w:r>
      <w:r>
        <w:rPr>
          <w:rFonts w:ascii="Palatino Linotype" w:eastAsia="Palatino Linotype" w:hAnsi="Palatino Linotype" w:cs="Palatino Linotype"/>
          <w:i/>
        </w:rPr>
        <w:t>na de las dependencias, organismos auxiliares y entidades de la administración pública estatal y municipal:</w:t>
      </w: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I. Administrar, controlar y utilizar adecuadamente los bienes muebles e inmuebles que detenten o tengan asignados;</w:t>
      </w: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CAPITULO TERCERO</w:t>
      </w: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DE LOS BIENES DE</w:t>
      </w:r>
      <w:r>
        <w:rPr>
          <w:rFonts w:ascii="Palatino Linotype" w:eastAsia="Palatino Linotype" w:hAnsi="Palatino Linotype" w:cs="Palatino Linotype"/>
          <w:i/>
        </w:rPr>
        <w:t>L ESTADO Y DE LOS MUNICIPIOS</w:t>
      </w: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Artículo 12.- El Estado de México y sus municipios tienen personalidad jurídica para adquirir y poseer bienes para la prestación de los servicios públicos y el cumplimiento de sus fines.</w:t>
      </w: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Artículo 67. La Secretaría de Finanzas y</w:t>
      </w:r>
      <w:r>
        <w:rPr>
          <w:rFonts w:ascii="Palatino Linotype" w:eastAsia="Palatino Linotype" w:hAnsi="Palatino Linotype" w:cs="Palatino Linotype"/>
          <w:i/>
        </w:rPr>
        <w:t xml:space="preserve"> los ayuntamientos determinarán los procedimientos para integrar el inventario de los bienes del dominio público y privado estatal o municipal.</w:t>
      </w:r>
    </w:p>
    <w:p w:rsidR="00145FB1" w:rsidRDefault="00145FB1">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p>
    <w:p w:rsidR="00145FB1" w:rsidRDefault="003E6385">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En ese orden de ideas, la Secretaría de Finanzas es la Encargada de determinar los procedimientos para integrar</w:t>
      </w:r>
      <w:r>
        <w:rPr>
          <w:rFonts w:ascii="Palatino Linotype" w:eastAsia="Palatino Linotype" w:hAnsi="Palatino Linotype" w:cs="Palatino Linotype"/>
          <w:i/>
        </w:rPr>
        <w:t xml:space="preserve"> el inventario de bienes de dominio Público y privado Estatal.</w:t>
      </w:r>
    </w:p>
    <w:p w:rsidR="00145FB1" w:rsidRDefault="00145FB1">
      <w:pPr>
        <w:tabs>
          <w:tab w:val="left" w:pos="142"/>
          <w:tab w:val="left" w:pos="284"/>
          <w:tab w:val="left" w:pos="8080"/>
        </w:tabs>
        <w:spacing w:after="0" w:line="276" w:lineRule="auto"/>
        <w:ind w:left="851" w:right="900"/>
        <w:jc w:val="both"/>
        <w:rPr>
          <w:rFonts w:ascii="Palatino Linotype" w:eastAsia="Palatino Linotype" w:hAnsi="Palatino Linotype" w:cs="Palatino Linotype"/>
          <w:i/>
        </w:rPr>
      </w:pPr>
    </w:p>
    <w:p w:rsidR="00145FB1" w:rsidRDefault="003E6385">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Entendiéndose que,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si bien, no es competente, también lo es que debió declarar su incompetencia a través de su Comité de Transparencia. </w:t>
      </w:r>
    </w:p>
    <w:p w:rsidR="00145FB1" w:rsidRDefault="00145FB1">
      <w:pPr>
        <w:spacing w:after="0" w:line="360" w:lineRule="auto"/>
        <w:ind w:right="139"/>
        <w:jc w:val="both"/>
        <w:rPr>
          <w:rFonts w:ascii="Palatino Linotype" w:eastAsia="Palatino Linotype" w:hAnsi="Palatino Linotype" w:cs="Palatino Linotype"/>
          <w:sz w:val="24"/>
          <w:szCs w:val="24"/>
        </w:rPr>
      </w:pPr>
    </w:p>
    <w:p w:rsidR="00145FB1" w:rsidRDefault="003E6385">
      <w:pPr>
        <w:tabs>
          <w:tab w:val="left" w:pos="142"/>
          <w:tab w:val="left" w:pos="284"/>
        </w:tabs>
        <w:spacing w:after="0" w:line="360" w:lineRule="auto"/>
        <w:jc w:val="both"/>
        <w:rPr>
          <w:rFonts w:ascii="Palatino Linotype" w:eastAsia="Palatino Linotype" w:hAnsi="Palatino Linotype" w:cs="Palatino Linotype"/>
          <w:b/>
          <w:i/>
          <w:sz w:val="24"/>
          <w:szCs w:val="24"/>
          <w:u w:val="single"/>
        </w:rPr>
      </w:pPr>
      <w:r>
        <w:rPr>
          <w:rFonts w:ascii="Palatino Linotype" w:eastAsia="Palatino Linotype" w:hAnsi="Palatino Linotype" w:cs="Palatino Linotype"/>
          <w:sz w:val="24"/>
          <w:szCs w:val="24"/>
        </w:rPr>
        <w:t>Dicho lo anterior, desde mi perspectiva, ordenar al Comité de Transparencia del Sujeto Obligado que sesione para que emita un acuerdo en el que confirme la declaratoria de incompetencia para garantizar el derecho de la parte Recurrente dilata los plazos de</w:t>
      </w:r>
      <w:r>
        <w:rPr>
          <w:rFonts w:ascii="Palatino Linotype" w:eastAsia="Palatino Linotype" w:hAnsi="Palatino Linotype" w:cs="Palatino Linotype"/>
          <w:sz w:val="24"/>
          <w:szCs w:val="24"/>
        </w:rPr>
        <w:t xml:space="preserve">l procedimiento, genera una carga adicional al Sujeto Obligado, y ello no modifica el hecho de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no obtendrá la información que es de su interés por ésta vía, en virtud de que el propio organismo garante ya ha analizado y determinado </w:t>
      </w:r>
      <w:r>
        <w:rPr>
          <w:rFonts w:ascii="Palatino Linotype" w:eastAsia="Palatino Linotype" w:hAnsi="Palatino Linotype" w:cs="Palatino Linotype"/>
          <w:sz w:val="24"/>
          <w:szCs w:val="24"/>
        </w:rPr>
        <w:t xml:space="preserve">que </w:t>
      </w:r>
      <w:r>
        <w:rPr>
          <w:rFonts w:ascii="Palatino Linotype" w:eastAsia="Palatino Linotype" w:hAnsi="Palatino Linotype" w:cs="Palatino Linotype"/>
          <w:b/>
          <w:i/>
          <w:sz w:val="24"/>
          <w:szCs w:val="24"/>
          <w:u w:val="single"/>
        </w:rPr>
        <w:t>el Sujeto Obligado no cuenta con competencia para atender los requerimientos señalados por el particular, por ende no se</w:t>
      </w:r>
      <w:r>
        <w:rPr>
          <w:b/>
          <w:i/>
          <w:sz w:val="24"/>
          <w:szCs w:val="24"/>
          <w:u w:val="single"/>
        </w:rPr>
        <w:t xml:space="preserve"> </w:t>
      </w:r>
      <w:r>
        <w:rPr>
          <w:rFonts w:ascii="Palatino Linotype" w:eastAsia="Palatino Linotype" w:hAnsi="Palatino Linotype" w:cs="Palatino Linotype"/>
          <w:b/>
          <w:i/>
          <w:sz w:val="24"/>
          <w:szCs w:val="24"/>
          <w:u w:val="single"/>
        </w:rPr>
        <w:t>encuentra constreñido a entregar la información requerida ante la falta de atribuciones para generar, poseer o administrar lo solic</w:t>
      </w:r>
      <w:r>
        <w:rPr>
          <w:rFonts w:ascii="Palatino Linotype" w:eastAsia="Palatino Linotype" w:hAnsi="Palatino Linotype" w:cs="Palatino Linotype"/>
          <w:b/>
          <w:i/>
          <w:sz w:val="24"/>
          <w:szCs w:val="24"/>
          <w:u w:val="single"/>
        </w:rPr>
        <w:t xml:space="preserve">itado. </w:t>
      </w:r>
    </w:p>
    <w:p w:rsidR="00145FB1" w:rsidRDefault="00145FB1">
      <w:pPr>
        <w:tabs>
          <w:tab w:val="left" w:pos="142"/>
          <w:tab w:val="left" w:pos="284"/>
        </w:tabs>
        <w:spacing w:after="0" w:line="360" w:lineRule="auto"/>
        <w:jc w:val="both"/>
        <w:rPr>
          <w:rFonts w:ascii="Palatino Linotype" w:eastAsia="Palatino Linotype" w:hAnsi="Palatino Linotype" w:cs="Palatino Linotype"/>
          <w:sz w:val="24"/>
          <w:szCs w:val="24"/>
        </w:rPr>
      </w:pPr>
    </w:p>
    <w:p w:rsidR="00145FB1" w:rsidRDefault="003E6385">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instruir al Comité de Transparencia para que sesione y emita una resolución en la que se confirme una notoria incompetencia que ya fue declarada por el Sujeto Obligado</w:t>
      </w:r>
      <w:r>
        <w:rPr>
          <w:rFonts w:ascii="Palatino Linotype" w:eastAsia="Palatino Linotype" w:hAnsi="Palatino Linotype" w:cs="Palatino Linotype"/>
          <w:sz w:val="24"/>
          <w:szCs w:val="24"/>
          <w:u w:val="single"/>
        </w:rPr>
        <w:t xml:space="preserve"> y analizada por este Organismo Garante,</w:t>
      </w:r>
      <w:r>
        <w:rPr>
          <w:rFonts w:ascii="Palatino Linotype" w:eastAsia="Palatino Linotype" w:hAnsi="Palatino Linotype" w:cs="Palatino Linotype"/>
          <w:sz w:val="24"/>
          <w:szCs w:val="24"/>
        </w:rPr>
        <w:t xml:space="preserve"> se aparta de los principios d</w:t>
      </w:r>
      <w:r>
        <w:rPr>
          <w:rFonts w:ascii="Palatino Linotype" w:eastAsia="Palatino Linotype" w:hAnsi="Palatino Linotype" w:cs="Palatino Linotype"/>
          <w:sz w:val="24"/>
          <w:szCs w:val="24"/>
        </w:rPr>
        <w:t xml:space="preserve">e sencillez y rapidez establecidos por la Ley de Transparencia y Acceso a la Información Pública del Estado de México y Municipios, en sus artículos 2, fracciones II y III, 21 y 150. </w:t>
      </w:r>
    </w:p>
    <w:p w:rsidR="00145FB1" w:rsidRDefault="00145FB1">
      <w:pPr>
        <w:spacing w:after="0" w:line="360" w:lineRule="auto"/>
        <w:ind w:right="139"/>
        <w:jc w:val="both"/>
        <w:rPr>
          <w:rFonts w:ascii="Palatino Linotype" w:eastAsia="Palatino Linotype" w:hAnsi="Palatino Linotype" w:cs="Palatino Linotype"/>
          <w:sz w:val="24"/>
          <w:szCs w:val="24"/>
        </w:rPr>
      </w:pPr>
    </w:p>
    <w:p w:rsidR="00145FB1" w:rsidRDefault="003E6385">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Es por todo lo vertido en líneas anteriores que la Suscrita no comparte</w:t>
      </w:r>
      <w:r>
        <w:rPr>
          <w:rFonts w:ascii="Palatino Linotype" w:eastAsia="Palatino Linotype" w:hAnsi="Palatino Linotype" w:cs="Palatino Linotype"/>
          <w:sz w:val="24"/>
          <w:szCs w:val="24"/>
        </w:rPr>
        <w:t xml:space="preserve"> el sentido de la resolución, y formula el presente voto disidente.</w:t>
      </w:r>
    </w:p>
    <w:p w:rsidR="00145FB1" w:rsidRDefault="00145FB1">
      <w:pPr>
        <w:spacing w:before="240" w:after="240" w:line="360" w:lineRule="auto"/>
        <w:ind w:right="139"/>
        <w:jc w:val="both"/>
        <w:rPr>
          <w:rFonts w:ascii="Palatino Linotype" w:eastAsia="Palatino Linotype" w:hAnsi="Palatino Linotype" w:cs="Palatino Linotype"/>
          <w:sz w:val="24"/>
          <w:szCs w:val="24"/>
        </w:rPr>
      </w:pPr>
    </w:p>
    <w:p w:rsidR="00145FB1" w:rsidRDefault="00145FB1">
      <w:pPr>
        <w:spacing w:before="240" w:after="240" w:line="360" w:lineRule="auto"/>
        <w:ind w:right="139"/>
        <w:jc w:val="both"/>
        <w:rPr>
          <w:rFonts w:ascii="Palatino Linotype" w:eastAsia="Palatino Linotype" w:hAnsi="Palatino Linotype" w:cs="Palatino Linotype"/>
          <w:sz w:val="24"/>
          <w:szCs w:val="24"/>
        </w:rPr>
      </w:pPr>
    </w:p>
    <w:p w:rsidR="00145FB1" w:rsidRDefault="00145FB1">
      <w:pPr>
        <w:spacing w:before="240" w:after="240" w:line="360" w:lineRule="auto"/>
        <w:ind w:right="139"/>
        <w:jc w:val="both"/>
        <w:rPr>
          <w:rFonts w:ascii="Palatino Linotype" w:eastAsia="Palatino Linotype" w:hAnsi="Palatino Linotype" w:cs="Palatino Linotype"/>
          <w:sz w:val="24"/>
          <w:szCs w:val="24"/>
        </w:rPr>
      </w:pPr>
    </w:p>
    <w:p w:rsidR="00145FB1" w:rsidRDefault="00145FB1">
      <w:pPr>
        <w:spacing w:before="240" w:after="240" w:line="360" w:lineRule="auto"/>
        <w:ind w:right="139"/>
        <w:jc w:val="both"/>
        <w:rPr>
          <w:rFonts w:ascii="Palatino Linotype" w:eastAsia="Palatino Linotype" w:hAnsi="Palatino Linotype" w:cs="Palatino Linotype"/>
          <w:sz w:val="24"/>
          <w:szCs w:val="24"/>
        </w:rPr>
      </w:pPr>
    </w:p>
    <w:p w:rsidR="00145FB1" w:rsidRDefault="00145FB1">
      <w:pPr>
        <w:spacing w:before="240" w:after="240" w:line="360" w:lineRule="auto"/>
        <w:ind w:right="139"/>
        <w:jc w:val="both"/>
        <w:rPr>
          <w:rFonts w:ascii="Palatino Linotype" w:eastAsia="Palatino Linotype" w:hAnsi="Palatino Linotype" w:cs="Palatino Linotype"/>
          <w:sz w:val="24"/>
          <w:szCs w:val="24"/>
        </w:rPr>
      </w:pPr>
    </w:p>
    <w:p w:rsidR="00145FB1" w:rsidRDefault="00145FB1">
      <w:pPr>
        <w:spacing w:before="240" w:after="240" w:line="360" w:lineRule="auto"/>
        <w:ind w:right="139"/>
        <w:jc w:val="both"/>
        <w:rPr>
          <w:rFonts w:ascii="Palatino Linotype" w:eastAsia="Palatino Linotype" w:hAnsi="Palatino Linotype" w:cs="Palatino Linotype"/>
          <w:sz w:val="24"/>
          <w:szCs w:val="24"/>
        </w:rPr>
      </w:pPr>
    </w:p>
    <w:p w:rsidR="00145FB1" w:rsidRDefault="00145FB1">
      <w:pPr>
        <w:spacing w:before="240" w:after="240" w:line="360" w:lineRule="auto"/>
        <w:ind w:right="139"/>
        <w:jc w:val="both"/>
        <w:rPr>
          <w:rFonts w:ascii="Palatino Linotype" w:eastAsia="Palatino Linotype" w:hAnsi="Palatino Linotype" w:cs="Palatino Linotype"/>
          <w:sz w:val="24"/>
          <w:szCs w:val="24"/>
        </w:rPr>
      </w:pPr>
    </w:p>
    <w:p w:rsidR="00145FB1" w:rsidRDefault="00145FB1">
      <w:pPr>
        <w:spacing w:before="240" w:after="240" w:line="360" w:lineRule="auto"/>
        <w:ind w:right="139"/>
        <w:jc w:val="both"/>
        <w:rPr>
          <w:rFonts w:ascii="Palatino Linotype" w:eastAsia="Palatino Linotype" w:hAnsi="Palatino Linotype" w:cs="Palatino Linotype"/>
          <w:sz w:val="24"/>
          <w:szCs w:val="24"/>
        </w:rPr>
      </w:pPr>
    </w:p>
    <w:p w:rsidR="00145FB1" w:rsidRDefault="00145FB1">
      <w:pPr>
        <w:spacing w:before="240" w:after="240" w:line="360" w:lineRule="auto"/>
        <w:ind w:right="139"/>
        <w:jc w:val="both"/>
        <w:rPr>
          <w:rFonts w:ascii="Palatino Linotype" w:eastAsia="Palatino Linotype" w:hAnsi="Palatino Linotype" w:cs="Palatino Linotype"/>
          <w:sz w:val="24"/>
          <w:szCs w:val="24"/>
        </w:rPr>
      </w:pPr>
    </w:p>
    <w:p w:rsidR="00145FB1" w:rsidRDefault="00145FB1">
      <w:pPr>
        <w:spacing w:before="240" w:after="240" w:line="360" w:lineRule="auto"/>
        <w:ind w:right="139"/>
        <w:jc w:val="both"/>
        <w:rPr>
          <w:rFonts w:ascii="Palatino Linotype" w:eastAsia="Palatino Linotype" w:hAnsi="Palatino Linotype" w:cs="Palatino Linotype"/>
          <w:sz w:val="24"/>
          <w:szCs w:val="24"/>
        </w:rPr>
      </w:pPr>
    </w:p>
    <w:p w:rsidR="00145FB1" w:rsidRDefault="00145FB1">
      <w:pPr>
        <w:spacing w:before="240" w:after="240" w:line="360" w:lineRule="auto"/>
        <w:ind w:right="139"/>
        <w:jc w:val="both"/>
        <w:rPr>
          <w:rFonts w:ascii="Palatino Linotype" w:eastAsia="Palatino Linotype" w:hAnsi="Palatino Linotype" w:cs="Palatino Linotype"/>
          <w:sz w:val="24"/>
          <w:szCs w:val="24"/>
        </w:rPr>
      </w:pPr>
    </w:p>
    <w:p w:rsidR="00145FB1" w:rsidRDefault="00145FB1">
      <w:pPr>
        <w:spacing w:before="240" w:after="240" w:line="360" w:lineRule="auto"/>
        <w:ind w:right="139"/>
        <w:jc w:val="both"/>
        <w:rPr>
          <w:rFonts w:ascii="Palatino Linotype" w:eastAsia="Palatino Linotype" w:hAnsi="Palatino Linotype" w:cs="Palatino Linotype"/>
          <w:sz w:val="24"/>
          <w:szCs w:val="24"/>
        </w:rPr>
      </w:pPr>
    </w:p>
    <w:p w:rsidR="00145FB1" w:rsidRDefault="00145FB1">
      <w:pPr>
        <w:spacing w:before="240" w:after="240" w:line="360" w:lineRule="auto"/>
        <w:ind w:right="139"/>
        <w:jc w:val="both"/>
        <w:rPr>
          <w:rFonts w:ascii="Palatino Linotype" w:eastAsia="Palatino Linotype" w:hAnsi="Palatino Linotype" w:cs="Palatino Linotype"/>
          <w:sz w:val="24"/>
          <w:szCs w:val="24"/>
        </w:rPr>
      </w:pPr>
    </w:p>
    <w:p w:rsidR="00145FB1" w:rsidRDefault="00145FB1">
      <w:pPr>
        <w:spacing w:before="240" w:after="240" w:line="360" w:lineRule="auto"/>
        <w:ind w:right="139"/>
        <w:jc w:val="both"/>
        <w:rPr>
          <w:rFonts w:ascii="Palatino Linotype" w:eastAsia="Palatino Linotype" w:hAnsi="Palatino Linotype" w:cs="Palatino Linotype"/>
          <w:sz w:val="24"/>
          <w:szCs w:val="24"/>
        </w:rPr>
      </w:pPr>
    </w:p>
    <w:p w:rsidR="00145FB1" w:rsidRDefault="00145FB1">
      <w:pPr>
        <w:spacing w:before="240" w:after="240" w:line="360" w:lineRule="auto"/>
        <w:ind w:right="139"/>
        <w:jc w:val="both"/>
        <w:rPr>
          <w:rFonts w:ascii="Palatino Linotype" w:eastAsia="Palatino Linotype" w:hAnsi="Palatino Linotype" w:cs="Palatino Linotype"/>
          <w:sz w:val="24"/>
          <w:szCs w:val="24"/>
        </w:rPr>
      </w:pPr>
    </w:p>
    <w:p w:rsidR="00145FB1" w:rsidRDefault="00145FB1">
      <w:bookmarkStart w:id="2" w:name="_heading=h.gjdgxs" w:colFirst="0" w:colLast="0"/>
      <w:bookmarkEnd w:id="2"/>
    </w:p>
    <w:sectPr w:rsidR="00145FB1">
      <w:headerReference w:type="default" r:id="rId10"/>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E6385">
      <w:pPr>
        <w:spacing w:after="0" w:line="240" w:lineRule="auto"/>
      </w:pPr>
      <w:r>
        <w:separator/>
      </w:r>
    </w:p>
  </w:endnote>
  <w:endnote w:type="continuationSeparator" w:id="0">
    <w:p w:rsidR="00000000" w:rsidRDefault="003E6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E6385">
      <w:pPr>
        <w:spacing w:after="0" w:line="240" w:lineRule="auto"/>
      </w:pPr>
      <w:r>
        <w:separator/>
      </w:r>
    </w:p>
  </w:footnote>
  <w:footnote w:type="continuationSeparator" w:id="0">
    <w:p w:rsidR="00000000" w:rsidRDefault="003E63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FB1" w:rsidRDefault="003E638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noProof/>
      </w:rPr>
      <w:drawing>
        <wp:anchor distT="0" distB="0" distL="0" distR="0" simplePos="0" relativeHeight="251658240" behindDoc="1" locked="0" layoutInCell="1" hidden="0" allowOverlap="1">
          <wp:simplePos x="0" y="0"/>
          <wp:positionH relativeFrom="column">
            <wp:posOffset>-1341750</wp:posOffset>
          </wp:positionH>
          <wp:positionV relativeFrom="paragraph">
            <wp:posOffset>-453385</wp:posOffset>
          </wp:positionV>
          <wp:extent cx="7510145" cy="9883775"/>
          <wp:effectExtent l="0" t="0" r="0" b="0"/>
          <wp:wrapNone/>
          <wp:docPr id="9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p w:rsidR="00145FB1" w:rsidRDefault="003E638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p>
  <w:p w:rsidR="00145FB1" w:rsidRDefault="003E638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14705/INFOEM/IP/RR/2022</w:t>
    </w:r>
  </w:p>
  <w:p w:rsidR="00145FB1" w:rsidRDefault="003E638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w:t>
    </w:r>
  </w:p>
  <w:p w:rsidR="00145FB1" w:rsidRDefault="00145FB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p w:rsidR="00145FB1" w:rsidRDefault="00145FB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E33CC"/>
    <w:multiLevelType w:val="multilevel"/>
    <w:tmpl w:val="9AC047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397414"/>
    <w:multiLevelType w:val="multilevel"/>
    <w:tmpl w:val="C3D2CFBC"/>
    <w:lvl w:ilvl="0">
      <w:start w:val="1"/>
      <w:numFmt w:val="low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BA30FE8"/>
    <w:multiLevelType w:val="multilevel"/>
    <w:tmpl w:val="BCF8FD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FB1"/>
    <w:rsid w:val="00145FB1"/>
    <w:rsid w:val="003E63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E85B89-0AA2-4313-9481-6B6F8013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A92"/>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A5A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5A92"/>
    <w:rPr>
      <w:rFonts w:ascii="Calibri" w:eastAsia="Calibri" w:hAnsi="Calibri" w:cs="Calibri"/>
      <w:lang w:eastAsia="es-MX"/>
    </w:rPr>
  </w:style>
  <w:style w:type="paragraph" w:styleId="Piedepgina">
    <w:name w:val="footer"/>
    <w:basedOn w:val="Normal"/>
    <w:link w:val="PiedepginaCar"/>
    <w:uiPriority w:val="99"/>
    <w:unhideWhenUsed/>
    <w:rsid w:val="00CA5A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5A92"/>
    <w:rPr>
      <w:rFonts w:ascii="Calibri" w:eastAsia="Calibri" w:hAnsi="Calibri" w:cs="Calibri"/>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5A9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A5A9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CA5A92"/>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xxxviii_d.we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tg519pxDha8HkVsDyBIXgtrkA==">CgMxLjAyCWguMWZvYjl0ZTIIaC5namRneHMyCGguZ2pkZ3hzOAByITFfdV9oUlhHZXJoZHVIRG55QjAtMngxXzIyODJIT0I4Qg==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2138</Words>
  <Characters>11759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USUARIO</cp:lastModifiedBy>
  <cp:revision>2</cp:revision>
  <cp:lastPrinted>2023-05-29T15:16:00Z</cp:lastPrinted>
  <dcterms:created xsi:type="dcterms:W3CDTF">2023-05-29T15:16:00Z</dcterms:created>
  <dcterms:modified xsi:type="dcterms:W3CDTF">2023-05-29T15:16:00Z</dcterms:modified>
</cp:coreProperties>
</file>