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p>
    <w:p w14:paraId="2BDAD2F4" w14:textId="17F8A814" w:rsidR="00E81438" w:rsidRDefault="00406D8C" w:rsidP="00107D23">
      <w:pPr>
        <w:widowControl w:val="0"/>
        <w:ind w:right="-164"/>
        <w:contextualSpacing/>
        <w:jc w:val="both"/>
        <w:rPr>
          <w:rFonts w:ascii="Palatino Linotype" w:hAnsi="Palatino Linotype"/>
          <w:b/>
          <w:bCs/>
          <w:color w:val="000000" w:themeColor="text1"/>
        </w:rPr>
      </w:pPr>
      <w:r w:rsidRPr="0056567F">
        <w:rPr>
          <w:rFonts w:ascii="Palatino Linotype" w:hAnsi="Palatino Linotype" w:cs="Arial"/>
          <w:b/>
        </w:rPr>
        <w:t>VOTO DISIDENTE</w:t>
      </w:r>
      <w:r w:rsidR="00E81438" w:rsidRPr="0056567F">
        <w:rPr>
          <w:rFonts w:ascii="Palatino Linotype" w:hAnsi="Palatino Linotype" w:cs="Arial"/>
          <w:b/>
        </w:rPr>
        <w:t xml:space="preserve"> QUE FORMULA LA COMISIONADA</w:t>
      </w:r>
      <w:r w:rsidR="002351D3" w:rsidRPr="0056567F">
        <w:rPr>
          <w:rFonts w:ascii="Palatino Linotype" w:hAnsi="Palatino Linotype" w:cs="Arial"/>
          <w:b/>
        </w:rPr>
        <w:t xml:space="preserve"> SHARON CRISTINA MORALES MARTÍNEZ</w:t>
      </w:r>
      <w:r w:rsidR="00E81438" w:rsidRPr="0056567F">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D331F0">
        <w:rPr>
          <w:rFonts w:ascii="Palatino Linotype" w:hAnsi="Palatino Linotype" w:cs="Arial"/>
          <w:b/>
        </w:rPr>
        <w:t>DÉCIMA</w:t>
      </w:r>
      <w:r w:rsidR="000A3500" w:rsidRPr="0056567F">
        <w:rPr>
          <w:rFonts w:ascii="Palatino Linotype" w:hAnsi="Palatino Linotype" w:cs="Arial"/>
          <w:b/>
        </w:rPr>
        <w:t xml:space="preserve"> </w:t>
      </w:r>
      <w:r w:rsidR="00D331F0">
        <w:rPr>
          <w:rFonts w:ascii="Palatino Linotype" w:hAnsi="Palatino Linotype" w:cs="Arial"/>
          <w:b/>
        </w:rPr>
        <w:t>SEGUNDA</w:t>
      </w:r>
      <w:r w:rsidR="001D134E">
        <w:rPr>
          <w:rFonts w:ascii="Palatino Linotype" w:hAnsi="Palatino Linotype" w:cs="Arial"/>
          <w:b/>
        </w:rPr>
        <w:t xml:space="preserve"> </w:t>
      </w:r>
      <w:r w:rsidR="00FC4426" w:rsidRPr="0056567F">
        <w:rPr>
          <w:rFonts w:ascii="Palatino Linotype" w:hAnsi="Palatino Linotype" w:cs="Arial"/>
          <w:b/>
        </w:rPr>
        <w:t xml:space="preserve">SESIÓN ORDINARIA CELEBRADA EL </w:t>
      </w:r>
      <w:r w:rsidR="00D331F0">
        <w:rPr>
          <w:rFonts w:ascii="Palatino Linotype" w:hAnsi="Palatino Linotype" w:cs="Arial"/>
          <w:b/>
        </w:rPr>
        <w:t>VEINTINUEVE</w:t>
      </w:r>
      <w:r w:rsidR="00333436" w:rsidRPr="0056567F">
        <w:rPr>
          <w:rFonts w:ascii="Palatino Linotype" w:hAnsi="Palatino Linotype" w:cs="Arial"/>
          <w:b/>
        </w:rPr>
        <w:t xml:space="preserve"> DE </w:t>
      </w:r>
      <w:r w:rsidR="00D331F0">
        <w:rPr>
          <w:rFonts w:ascii="Palatino Linotype" w:hAnsi="Palatino Linotype" w:cs="Arial"/>
          <w:b/>
        </w:rPr>
        <w:t>MARZO</w:t>
      </w:r>
      <w:r w:rsidR="00333436" w:rsidRPr="0056567F">
        <w:rPr>
          <w:rFonts w:ascii="Palatino Linotype" w:hAnsi="Palatino Linotype" w:cs="Arial"/>
          <w:b/>
        </w:rPr>
        <w:t xml:space="preserve"> DE DOS MIL </w:t>
      </w:r>
      <w:r w:rsidR="00D331F0">
        <w:rPr>
          <w:rFonts w:ascii="Palatino Linotype" w:hAnsi="Palatino Linotype" w:cs="Arial"/>
          <w:b/>
        </w:rPr>
        <w:t>VEINTITRÉS</w:t>
      </w:r>
      <w:r w:rsidR="00E81438" w:rsidRPr="0056567F">
        <w:rPr>
          <w:rFonts w:ascii="Palatino Linotype" w:hAnsi="Palatino Linotype" w:cs="Arial"/>
          <w:b/>
        </w:rPr>
        <w:t xml:space="preserve">, EN EL </w:t>
      </w:r>
      <w:r w:rsidR="00333436" w:rsidRPr="0056567F">
        <w:rPr>
          <w:rFonts w:ascii="Palatino Linotype" w:hAnsi="Palatino Linotype" w:cs="Arial"/>
          <w:b/>
        </w:rPr>
        <w:t>RECURSO DE REVISIÓN</w:t>
      </w:r>
      <w:r w:rsidR="00E81438" w:rsidRPr="0056567F">
        <w:rPr>
          <w:rFonts w:ascii="Palatino Linotype" w:hAnsi="Palatino Linotype" w:cs="Arial"/>
          <w:b/>
        </w:rPr>
        <w:t xml:space="preserve"> </w:t>
      </w:r>
      <w:r w:rsidR="00D331F0">
        <w:rPr>
          <w:rFonts w:ascii="Palatino Linotype" w:hAnsi="Palatino Linotype"/>
          <w:b/>
          <w:bCs/>
          <w:color w:val="000000" w:themeColor="text1"/>
        </w:rPr>
        <w:t>16509</w:t>
      </w:r>
      <w:r w:rsidR="00C344A4">
        <w:rPr>
          <w:rFonts w:ascii="Palatino Linotype" w:hAnsi="Palatino Linotype"/>
          <w:b/>
          <w:bCs/>
          <w:color w:val="000000" w:themeColor="text1"/>
        </w:rPr>
        <w:t>/INFOEM/IP/RR/2022</w:t>
      </w:r>
      <w:r w:rsidR="00B737A0" w:rsidRPr="0056567F">
        <w:rPr>
          <w:rFonts w:ascii="Palatino Linotype" w:hAnsi="Palatino Linotype"/>
          <w:b/>
          <w:bCs/>
          <w:color w:val="000000" w:themeColor="text1"/>
        </w:rPr>
        <w:t>.</w:t>
      </w:r>
    </w:p>
    <w:p w14:paraId="3954C229" w14:textId="03A96FE5" w:rsidR="006B23A2" w:rsidRDefault="006B23A2" w:rsidP="00107D23">
      <w:pPr>
        <w:widowControl w:val="0"/>
        <w:ind w:right="-164"/>
        <w:contextualSpacing/>
        <w:jc w:val="both"/>
        <w:rPr>
          <w:rFonts w:ascii="Palatino Linotype" w:hAnsi="Palatino Linotype" w:cs="Arial"/>
          <w:b/>
        </w:rPr>
      </w:pPr>
    </w:p>
    <w:p w14:paraId="1636653B" w14:textId="77777777" w:rsidR="006B23A2" w:rsidRPr="0056567F" w:rsidRDefault="006B23A2" w:rsidP="00107D23">
      <w:pPr>
        <w:widowControl w:val="0"/>
        <w:ind w:right="-164"/>
        <w:contextualSpacing/>
        <w:jc w:val="both"/>
        <w:rPr>
          <w:rFonts w:ascii="Palatino Linotype" w:hAnsi="Palatino Linotype" w:cs="Arial"/>
          <w:b/>
        </w:rPr>
      </w:pPr>
    </w:p>
    <w:p w14:paraId="7ADE6D68" w14:textId="77777777" w:rsidR="009B728D" w:rsidRPr="0056567F" w:rsidRDefault="009B728D" w:rsidP="009B728D">
      <w:pPr>
        <w:widowControl w:val="0"/>
        <w:spacing w:line="360" w:lineRule="auto"/>
        <w:ind w:right="-164"/>
        <w:contextualSpacing/>
        <w:jc w:val="both"/>
        <w:rPr>
          <w:rFonts w:ascii="Palatino Linotype" w:eastAsia="Calibri" w:hAnsi="Palatino Linotype" w:cs="Arial"/>
          <w:b/>
          <w:color w:val="000000"/>
        </w:rPr>
      </w:pPr>
    </w:p>
    <w:p w14:paraId="42181C1A" w14:textId="2FC318B9" w:rsidR="00E81438" w:rsidRPr="0055411E" w:rsidRDefault="00E81438" w:rsidP="00791445">
      <w:pPr>
        <w:widowControl w:val="0"/>
        <w:spacing w:line="360" w:lineRule="auto"/>
        <w:ind w:right="-164"/>
        <w:contextualSpacing/>
        <w:jc w:val="both"/>
        <w:rPr>
          <w:rFonts w:ascii="Palatino Linotype" w:hAnsi="Palatino Linotype" w:cs="Arial"/>
          <w:sz w:val="22"/>
          <w:szCs w:val="22"/>
        </w:rPr>
      </w:pPr>
      <w:r w:rsidRPr="004645A9">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0F4390" w:rsidRPr="004645A9">
        <w:rPr>
          <w:rFonts w:ascii="Palatino Linotype" w:hAnsi="Palatino Linotype" w:cs="Arial"/>
          <w:sz w:val="22"/>
          <w:szCs w:val="22"/>
        </w:rPr>
        <w:t xml:space="preserve"> </w:t>
      </w:r>
      <w:r w:rsidR="000F4390" w:rsidRPr="004645A9">
        <w:rPr>
          <w:rFonts w:ascii="Palatino Linotype" w:hAnsi="Palatino Linotype" w:cs="Arial"/>
          <w:b/>
          <w:sz w:val="22"/>
          <w:szCs w:val="22"/>
        </w:rPr>
        <w:t>Sharon Cristina Morales Martínez</w:t>
      </w:r>
      <w:r w:rsidR="00C12B90" w:rsidRPr="004645A9">
        <w:rPr>
          <w:rFonts w:ascii="Palatino Linotype" w:hAnsi="Palatino Linotype" w:cs="Arial"/>
          <w:b/>
          <w:sz w:val="22"/>
          <w:szCs w:val="22"/>
          <w:lang w:val="es-ES_tradnl"/>
        </w:rPr>
        <w:t xml:space="preserve">, </w:t>
      </w:r>
      <w:r w:rsidRPr="004645A9">
        <w:rPr>
          <w:rFonts w:ascii="Palatino Linotype" w:hAnsi="Palatino Linotype" w:cs="Arial"/>
          <w:sz w:val="22"/>
          <w:szCs w:val="22"/>
        </w:rPr>
        <w:t xml:space="preserve">emite </w:t>
      </w:r>
      <w:r w:rsidRPr="004645A9">
        <w:rPr>
          <w:rFonts w:ascii="Palatino Linotype" w:hAnsi="Palatino Linotype" w:cs="Arial"/>
          <w:b/>
          <w:sz w:val="22"/>
          <w:szCs w:val="22"/>
        </w:rPr>
        <w:t xml:space="preserve">VOTO </w:t>
      </w:r>
      <w:r w:rsidR="00406D8C" w:rsidRPr="004645A9">
        <w:rPr>
          <w:rFonts w:ascii="Palatino Linotype" w:hAnsi="Palatino Linotype" w:cs="Arial"/>
          <w:b/>
          <w:sz w:val="22"/>
          <w:szCs w:val="22"/>
        </w:rPr>
        <w:t>DISIDENTE</w:t>
      </w:r>
      <w:r w:rsidRPr="004645A9">
        <w:rPr>
          <w:rFonts w:ascii="Palatino Linotype" w:hAnsi="Palatino Linotype" w:cs="Arial"/>
          <w:b/>
          <w:sz w:val="22"/>
          <w:szCs w:val="22"/>
        </w:rPr>
        <w:t xml:space="preserve"> </w:t>
      </w:r>
      <w:r w:rsidRPr="004645A9">
        <w:rPr>
          <w:rFonts w:ascii="Palatino Linotype" w:hAnsi="Palatino Linotype" w:cs="Arial"/>
          <w:sz w:val="22"/>
          <w:szCs w:val="22"/>
        </w:rPr>
        <w:t xml:space="preserve">respecto de la resolución dictada en el </w:t>
      </w:r>
      <w:r w:rsidR="00333436" w:rsidRPr="004645A9">
        <w:rPr>
          <w:rFonts w:ascii="Palatino Linotype" w:hAnsi="Palatino Linotype" w:cs="Arial"/>
          <w:sz w:val="22"/>
          <w:szCs w:val="22"/>
        </w:rPr>
        <w:t xml:space="preserve">Recurso de </w:t>
      </w:r>
      <w:r w:rsidR="00333436" w:rsidRPr="00F9650F">
        <w:rPr>
          <w:rFonts w:ascii="Palatino Linotype" w:hAnsi="Palatino Linotype" w:cs="Arial"/>
          <w:sz w:val="22"/>
          <w:szCs w:val="22"/>
        </w:rPr>
        <w:t>Revisión</w:t>
      </w:r>
      <w:r w:rsidRPr="00F9650F">
        <w:rPr>
          <w:rFonts w:ascii="Palatino Linotype" w:hAnsi="Palatino Linotype" w:cs="Arial"/>
          <w:sz w:val="22"/>
          <w:szCs w:val="22"/>
        </w:rPr>
        <w:t xml:space="preserve"> </w:t>
      </w:r>
      <w:r w:rsidR="00D331F0">
        <w:rPr>
          <w:rFonts w:ascii="Palatino Linotype" w:hAnsi="Palatino Linotype"/>
          <w:b/>
          <w:bCs/>
          <w:color w:val="000000" w:themeColor="text1"/>
          <w:sz w:val="22"/>
          <w:szCs w:val="22"/>
        </w:rPr>
        <w:t>16509</w:t>
      </w:r>
      <w:r w:rsidR="00B737A0" w:rsidRPr="00F9650F">
        <w:rPr>
          <w:rFonts w:ascii="Palatino Linotype" w:hAnsi="Palatino Linotype"/>
          <w:b/>
          <w:bCs/>
          <w:color w:val="000000" w:themeColor="text1"/>
          <w:sz w:val="22"/>
          <w:szCs w:val="22"/>
        </w:rPr>
        <w:t>/</w:t>
      </w:r>
      <w:r w:rsidR="00333436" w:rsidRPr="004645A9">
        <w:rPr>
          <w:rFonts w:ascii="Palatino Linotype" w:hAnsi="Palatino Linotype"/>
          <w:b/>
          <w:bCs/>
          <w:color w:val="000000" w:themeColor="text1"/>
          <w:sz w:val="22"/>
          <w:szCs w:val="22"/>
        </w:rPr>
        <w:t>INFOEM/IP/RR/2022</w:t>
      </w:r>
      <w:r w:rsidR="00B737A0" w:rsidRPr="004645A9">
        <w:rPr>
          <w:rFonts w:ascii="Palatino Linotype" w:hAnsi="Palatino Linotype"/>
          <w:b/>
          <w:bCs/>
          <w:color w:val="000000" w:themeColor="text1"/>
          <w:sz w:val="22"/>
          <w:szCs w:val="22"/>
        </w:rPr>
        <w:t>,</w:t>
      </w:r>
      <w:r w:rsidRPr="004645A9">
        <w:rPr>
          <w:rFonts w:ascii="Palatino Linotype" w:hAnsi="Palatino Linotype" w:cs="Arial"/>
          <w:sz w:val="22"/>
          <w:szCs w:val="22"/>
        </w:rPr>
        <w:t xml:space="preserve"> pronunciada por el Pleno de este Instituto ante el proyecto presentado </w:t>
      </w:r>
      <w:r w:rsidR="00610FD4">
        <w:rPr>
          <w:rFonts w:ascii="Palatino Linotype" w:hAnsi="Palatino Linotype" w:cs="Arial"/>
          <w:sz w:val="22"/>
          <w:szCs w:val="22"/>
        </w:rPr>
        <w:t xml:space="preserve">por </w:t>
      </w:r>
      <w:r w:rsidR="00D331F0">
        <w:rPr>
          <w:rFonts w:ascii="Palatino Linotype" w:hAnsi="Palatino Linotype" w:cs="Arial"/>
          <w:sz w:val="22"/>
          <w:szCs w:val="22"/>
        </w:rPr>
        <w:t>la</w:t>
      </w:r>
      <w:r w:rsidR="00610FD4">
        <w:rPr>
          <w:rFonts w:ascii="Palatino Linotype" w:hAnsi="Palatino Linotype" w:cs="Arial"/>
          <w:sz w:val="22"/>
          <w:szCs w:val="22"/>
        </w:rPr>
        <w:t xml:space="preserve"> </w:t>
      </w:r>
      <w:r w:rsidR="00940CFC" w:rsidRPr="004645A9">
        <w:rPr>
          <w:rFonts w:ascii="Palatino Linotype" w:hAnsi="Palatino Linotype" w:cs="Arial"/>
          <w:b/>
          <w:sz w:val="22"/>
          <w:szCs w:val="22"/>
        </w:rPr>
        <w:t>Comisionad</w:t>
      </w:r>
      <w:r w:rsidR="003F5E7B">
        <w:rPr>
          <w:rFonts w:ascii="Palatino Linotype" w:hAnsi="Palatino Linotype" w:cs="Arial"/>
          <w:b/>
          <w:sz w:val="22"/>
          <w:szCs w:val="22"/>
        </w:rPr>
        <w:t>a</w:t>
      </w:r>
      <w:r w:rsidR="00940CFC" w:rsidRPr="004645A9">
        <w:rPr>
          <w:rFonts w:ascii="Palatino Linotype" w:hAnsi="Palatino Linotype" w:cs="Arial"/>
          <w:b/>
          <w:sz w:val="22"/>
          <w:szCs w:val="22"/>
        </w:rPr>
        <w:t xml:space="preserve"> </w:t>
      </w:r>
      <w:r w:rsidR="00D331F0">
        <w:rPr>
          <w:rFonts w:ascii="Palatino Linotype" w:hAnsi="Palatino Linotype" w:cs="Arial"/>
          <w:b/>
          <w:sz w:val="22"/>
          <w:szCs w:val="22"/>
        </w:rPr>
        <w:t>Guadalupe Ramírez Peña</w:t>
      </w:r>
      <w:r w:rsidR="002A7903">
        <w:rPr>
          <w:rFonts w:ascii="Palatino Linotype" w:hAnsi="Palatino Linotype" w:cs="Arial"/>
          <w:b/>
          <w:sz w:val="22"/>
          <w:szCs w:val="22"/>
        </w:rPr>
        <w:t>.</w:t>
      </w:r>
    </w:p>
    <w:p w14:paraId="31FAEBE3" w14:textId="77777777" w:rsidR="00595D69" w:rsidRPr="004645A9" w:rsidRDefault="00595D69" w:rsidP="009B728D">
      <w:pPr>
        <w:spacing w:line="360" w:lineRule="auto"/>
        <w:contextualSpacing/>
        <w:jc w:val="both"/>
        <w:rPr>
          <w:rFonts w:ascii="Palatino Linotype" w:hAnsi="Palatino Linotype" w:cs="Arial"/>
          <w:sz w:val="22"/>
          <w:szCs w:val="22"/>
        </w:rPr>
      </w:pPr>
    </w:p>
    <w:p w14:paraId="02382029" w14:textId="7ECE5FFE" w:rsidR="003868B5" w:rsidRPr="004645A9" w:rsidRDefault="00E81438" w:rsidP="003868B5">
      <w:pPr>
        <w:spacing w:line="360" w:lineRule="auto"/>
        <w:contextualSpacing/>
        <w:jc w:val="both"/>
        <w:rPr>
          <w:rFonts w:ascii="Palatino Linotype" w:hAnsi="Palatino Linotype"/>
          <w:sz w:val="22"/>
          <w:szCs w:val="22"/>
        </w:rPr>
      </w:pPr>
      <w:r w:rsidRPr="004645A9">
        <w:rPr>
          <w:rFonts w:ascii="Palatino Linotype" w:hAnsi="Palatino Linotype"/>
          <w:sz w:val="22"/>
          <w:szCs w:val="22"/>
        </w:rPr>
        <w:t xml:space="preserve">Es de destacar, que la suscrita </w:t>
      </w:r>
      <w:r w:rsidR="003868B5" w:rsidRPr="004645A9">
        <w:rPr>
          <w:rFonts w:ascii="Palatino Linotype" w:hAnsi="Palatino Linotype"/>
          <w:sz w:val="22"/>
          <w:szCs w:val="22"/>
        </w:rPr>
        <w:t xml:space="preserve">no </w:t>
      </w:r>
      <w:r w:rsidRPr="004645A9">
        <w:rPr>
          <w:rFonts w:ascii="Palatino Linotype" w:hAnsi="Palatino Linotype"/>
          <w:sz w:val="22"/>
          <w:szCs w:val="22"/>
        </w:rPr>
        <w:t>co</w:t>
      </w:r>
      <w:r w:rsidR="00313375" w:rsidRPr="004645A9">
        <w:rPr>
          <w:rFonts w:ascii="Palatino Linotype" w:hAnsi="Palatino Linotype"/>
          <w:sz w:val="22"/>
          <w:szCs w:val="22"/>
        </w:rPr>
        <w:t xml:space="preserve">incide </w:t>
      </w:r>
      <w:r w:rsidR="002D46DF" w:rsidRPr="004645A9">
        <w:rPr>
          <w:rFonts w:ascii="Palatino Linotype" w:hAnsi="Palatino Linotype"/>
          <w:sz w:val="22"/>
          <w:szCs w:val="22"/>
        </w:rPr>
        <w:t>con el</w:t>
      </w:r>
      <w:r w:rsidRPr="004645A9">
        <w:rPr>
          <w:rFonts w:ascii="Palatino Linotype" w:hAnsi="Palatino Linotype"/>
          <w:sz w:val="22"/>
          <w:szCs w:val="22"/>
        </w:rPr>
        <w:t xml:space="preserve"> estudio realizado en la resolución del </w:t>
      </w:r>
      <w:r w:rsidR="00333436" w:rsidRPr="004645A9">
        <w:rPr>
          <w:rFonts w:ascii="Palatino Linotype" w:hAnsi="Palatino Linotype"/>
          <w:sz w:val="22"/>
          <w:szCs w:val="22"/>
        </w:rPr>
        <w:t>Recurso de Revisión</w:t>
      </w:r>
      <w:r w:rsidR="003868B5" w:rsidRPr="004645A9">
        <w:rPr>
          <w:rFonts w:ascii="Palatino Linotype" w:hAnsi="Palatino Linotype"/>
          <w:sz w:val="22"/>
          <w:szCs w:val="22"/>
        </w:rPr>
        <w:t>, en atención a l</w:t>
      </w:r>
      <w:r w:rsidR="0055411E">
        <w:rPr>
          <w:rFonts w:ascii="Palatino Linotype" w:hAnsi="Palatino Linotype"/>
          <w:sz w:val="22"/>
          <w:szCs w:val="22"/>
        </w:rPr>
        <w:t>os argumentos que a continuación se señalan</w:t>
      </w:r>
      <w:r w:rsidR="003868B5" w:rsidRPr="004645A9">
        <w:rPr>
          <w:rFonts w:ascii="Palatino Linotype" w:hAnsi="Palatino Linotype"/>
          <w:sz w:val="22"/>
          <w:szCs w:val="22"/>
        </w:rPr>
        <w:t>:</w:t>
      </w:r>
    </w:p>
    <w:p w14:paraId="3E367D51" w14:textId="77777777" w:rsidR="003868B5" w:rsidRPr="004645A9" w:rsidRDefault="003868B5" w:rsidP="003868B5">
      <w:pPr>
        <w:spacing w:line="360" w:lineRule="auto"/>
        <w:contextualSpacing/>
        <w:jc w:val="both"/>
        <w:rPr>
          <w:rFonts w:ascii="Palatino Linotype" w:hAnsi="Palatino Linotype"/>
          <w:sz w:val="22"/>
          <w:szCs w:val="22"/>
        </w:rPr>
      </w:pPr>
    </w:p>
    <w:p w14:paraId="6536632D" w14:textId="0A23F667" w:rsidR="00B737A0" w:rsidRPr="009E5A26" w:rsidRDefault="003868B5" w:rsidP="009E5A26">
      <w:pPr>
        <w:spacing w:line="360" w:lineRule="auto"/>
        <w:contextualSpacing/>
        <w:jc w:val="both"/>
        <w:rPr>
          <w:rFonts w:ascii="Palatino Linotype" w:hAnsi="Palatino Linotype"/>
          <w:sz w:val="22"/>
          <w:szCs w:val="22"/>
        </w:rPr>
      </w:pPr>
      <w:r w:rsidRPr="009E5A26">
        <w:rPr>
          <w:rFonts w:ascii="Palatino Linotype" w:hAnsi="Palatino Linotype"/>
          <w:sz w:val="22"/>
          <w:szCs w:val="22"/>
        </w:rPr>
        <w:t>T</w:t>
      </w:r>
      <w:r w:rsidR="00E81438" w:rsidRPr="009E5A26">
        <w:rPr>
          <w:rFonts w:ascii="Palatino Linotype" w:hAnsi="Palatino Linotype"/>
          <w:sz w:val="22"/>
          <w:szCs w:val="22"/>
        </w:rPr>
        <w:t>a</w:t>
      </w:r>
      <w:r w:rsidRPr="009E5A26">
        <w:rPr>
          <w:rFonts w:ascii="Palatino Linotype" w:hAnsi="Palatino Linotype"/>
          <w:sz w:val="22"/>
          <w:szCs w:val="22"/>
        </w:rPr>
        <w:t>l y como quedó</w:t>
      </w:r>
      <w:r w:rsidR="00E81438" w:rsidRPr="009E5A26">
        <w:rPr>
          <w:rFonts w:ascii="Palatino Linotype" w:hAnsi="Palatino Linotype"/>
          <w:sz w:val="22"/>
          <w:szCs w:val="22"/>
        </w:rPr>
        <w:t xml:space="preserve"> asentado en la resolución materia del presente voto, </w:t>
      </w:r>
      <w:r w:rsidR="00F22A66" w:rsidRPr="009E5A26">
        <w:rPr>
          <w:rFonts w:ascii="Palatino Linotype" w:hAnsi="Palatino Linotype"/>
          <w:sz w:val="22"/>
          <w:szCs w:val="22"/>
        </w:rPr>
        <w:t>el</w:t>
      </w:r>
      <w:r w:rsidR="00E81438" w:rsidRPr="009E5A26">
        <w:rPr>
          <w:rFonts w:ascii="Palatino Linotype" w:hAnsi="Palatino Linotype"/>
          <w:sz w:val="22"/>
          <w:szCs w:val="22"/>
        </w:rPr>
        <w:t xml:space="preserve"> particular requirió del </w:t>
      </w:r>
      <w:r w:rsidR="00E81438" w:rsidRPr="009E5A26">
        <w:rPr>
          <w:rFonts w:ascii="Palatino Linotype" w:hAnsi="Palatino Linotype"/>
          <w:b/>
          <w:sz w:val="22"/>
          <w:szCs w:val="22"/>
        </w:rPr>
        <w:t>SUJETO OBLIGADO</w:t>
      </w:r>
      <w:r w:rsidR="00FC4426" w:rsidRPr="009E5A26">
        <w:rPr>
          <w:rFonts w:ascii="Palatino Linotype" w:hAnsi="Palatino Linotype"/>
          <w:sz w:val="22"/>
          <w:szCs w:val="22"/>
        </w:rPr>
        <w:t xml:space="preserve"> </w:t>
      </w:r>
      <w:r w:rsidR="00FE56C0" w:rsidRPr="009E5A26">
        <w:rPr>
          <w:rFonts w:ascii="Palatino Linotype" w:hAnsi="Palatino Linotype"/>
          <w:sz w:val="22"/>
          <w:szCs w:val="22"/>
        </w:rPr>
        <w:t xml:space="preserve">en la Solicitud de Información </w:t>
      </w:r>
      <w:r w:rsidR="00D331F0" w:rsidRPr="00D331F0">
        <w:rPr>
          <w:rFonts w:ascii="Palatino Linotype" w:hAnsi="Palatino Linotype"/>
          <w:b/>
          <w:sz w:val="22"/>
          <w:szCs w:val="22"/>
        </w:rPr>
        <w:t>00173/TENAVALL/IP/2022</w:t>
      </w:r>
      <w:r w:rsidR="00B737A0" w:rsidRPr="009E5A26">
        <w:rPr>
          <w:rFonts w:ascii="Palatino Linotype" w:hAnsi="Palatino Linotype"/>
          <w:sz w:val="22"/>
          <w:szCs w:val="22"/>
        </w:rPr>
        <w:t>, mediante la cual solicitó:</w:t>
      </w:r>
    </w:p>
    <w:p w14:paraId="7287B15A" w14:textId="77777777" w:rsidR="00B737A0" w:rsidRPr="004645A9" w:rsidRDefault="00B737A0" w:rsidP="00B737A0">
      <w:pPr>
        <w:spacing w:line="360" w:lineRule="auto"/>
        <w:jc w:val="both"/>
        <w:rPr>
          <w:rFonts w:ascii="Palatino Linotype" w:hAnsi="Palatino Linotype" w:cs="Arial"/>
          <w:sz w:val="22"/>
          <w:szCs w:val="22"/>
          <w:lang w:val="es-419"/>
        </w:rPr>
      </w:pPr>
    </w:p>
    <w:p w14:paraId="46F84C7A" w14:textId="171C2E4E" w:rsidR="001D134E" w:rsidRPr="00825EA1" w:rsidRDefault="00D331F0" w:rsidP="00FE56C0">
      <w:pPr>
        <w:spacing w:line="360" w:lineRule="auto"/>
        <w:ind w:left="851" w:right="1134"/>
        <w:jc w:val="both"/>
        <w:rPr>
          <w:rFonts w:ascii="Palatino Linotype" w:hAnsi="Palatino Linotype" w:cs="Arial"/>
          <w:sz w:val="22"/>
          <w:szCs w:val="22"/>
          <w:lang w:val="es-MX"/>
        </w:rPr>
      </w:pPr>
      <w:r w:rsidRPr="00D331F0">
        <w:rPr>
          <w:rFonts w:ascii="Palatino Linotype" w:hAnsi="Palatino Linotype" w:cs="Arial"/>
          <w:i/>
          <w:sz w:val="22"/>
          <w:szCs w:val="22"/>
          <w:lang w:val="es-419"/>
        </w:rPr>
        <w:t xml:space="preserve">“SE SOLICITA BRINDAR EL DIRECTORIO EXTENDIDO, ES DECIR, PUESTO, TELÉFONO O EXTENCION TELEFONICA, NOMBRE E INTEGRANTES DEL EQUIPO DE LA DIRECCIONES DE: FINANZAS SEGUIDAD PUBLICA PRESIDENCIA REGIDURIAS. LISTADO COMPLETO DE ALTAS Y BAJAS </w:t>
      </w:r>
      <w:r w:rsidRPr="00D331F0">
        <w:rPr>
          <w:rFonts w:ascii="Palatino Linotype" w:hAnsi="Palatino Linotype" w:cs="Arial"/>
          <w:i/>
          <w:sz w:val="22"/>
          <w:szCs w:val="22"/>
          <w:lang w:val="es-419"/>
        </w:rPr>
        <w:lastRenderedPageBreak/>
        <w:t>LABORALES CORRESPONDIENTE AL MES DE SEPTIEMBRE Y OCTUBRE DE 2022”.</w:t>
      </w:r>
    </w:p>
    <w:p w14:paraId="22B3F323" w14:textId="7D26B457" w:rsidR="00BD695C" w:rsidRDefault="00725E1F" w:rsidP="00BD695C">
      <w:pPr>
        <w:spacing w:line="360" w:lineRule="auto"/>
        <w:contextualSpacing/>
        <w:jc w:val="both"/>
        <w:rPr>
          <w:rFonts w:ascii="Palatino Linotype" w:hAnsi="Palatino Linotype"/>
          <w:sz w:val="22"/>
          <w:szCs w:val="22"/>
        </w:rPr>
      </w:pPr>
      <w:r w:rsidRPr="004645A9">
        <w:rPr>
          <w:rFonts w:ascii="Palatino Linotype" w:hAnsi="Palatino Linotype" w:cs="Arial"/>
          <w:sz w:val="22"/>
          <w:szCs w:val="22"/>
        </w:rPr>
        <w:t>En</w:t>
      </w:r>
      <w:r w:rsidR="00E81438" w:rsidRPr="004645A9">
        <w:rPr>
          <w:rFonts w:ascii="Palatino Linotype" w:hAnsi="Palatino Linotype" w:cs="Arial"/>
          <w:sz w:val="22"/>
          <w:szCs w:val="22"/>
        </w:rPr>
        <w:t xml:space="preserve"> respuesta, </w:t>
      </w:r>
      <w:r w:rsidR="00E81438" w:rsidRPr="004645A9">
        <w:rPr>
          <w:rFonts w:ascii="Palatino Linotype" w:hAnsi="Palatino Linotype" w:cs="Arial"/>
          <w:b/>
          <w:sz w:val="22"/>
          <w:szCs w:val="22"/>
        </w:rPr>
        <w:t>EL SUJETO OBLIGADO</w:t>
      </w:r>
      <w:r w:rsidR="007B2D3C" w:rsidRPr="004645A9">
        <w:rPr>
          <w:rFonts w:ascii="Palatino Linotype" w:hAnsi="Palatino Linotype" w:cs="Arial"/>
          <w:sz w:val="22"/>
          <w:szCs w:val="22"/>
        </w:rPr>
        <w:t xml:space="preserve">, </w:t>
      </w:r>
      <w:r w:rsidR="00046BFE" w:rsidRPr="004645A9">
        <w:rPr>
          <w:rFonts w:ascii="Palatino Linotype" w:hAnsi="Palatino Linotype"/>
          <w:sz w:val="22"/>
          <w:szCs w:val="22"/>
        </w:rPr>
        <w:t>señaló</w:t>
      </w:r>
      <w:r w:rsidR="008B6B3C">
        <w:rPr>
          <w:rFonts w:ascii="Palatino Linotype" w:hAnsi="Palatino Linotype"/>
          <w:sz w:val="22"/>
          <w:szCs w:val="22"/>
        </w:rPr>
        <w:t xml:space="preserve"> a través de dos archivos </w:t>
      </w:r>
      <w:r w:rsidR="0059022F">
        <w:rPr>
          <w:rFonts w:ascii="Palatino Linotype" w:hAnsi="Palatino Linotype"/>
          <w:sz w:val="22"/>
          <w:szCs w:val="22"/>
        </w:rPr>
        <w:t>digitales</w:t>
      </w:r>
      <w:r w:rsidR="00046BFE" w:rsidRPr="004645A9">
        <w:rPr>
          <w:rFonts w:ascii="Palatino Linotype" w:hAnsi="Palatino Linotype"/>
          <w:sz w:val="22"/>
          <w:szCs w:val="22"/>
        </w:rPr>
        <w:t xml:space="preserve"> lo siguiente:</w:t>
      </w:r>
    </w:p>
    <w:p w14:paraId="5CEB50C9" w14:textId="77777777" w:rsidR="00D331F0" w:rsidRDefault="00D331F0" w:rsidP="00D331F0">
      <w:pPr>
        <w:spacing w:line="360" w:lineRule="auto"/>
        <w:ind w:right="560"/>
        <w:jc w:val="both"/>
        <w:rPr>
          <w:rFonts w:ascii="Palatino Linotype" w:eastAsia="Palatino Linotype" w:hAnsi="Palatino Linotype" w:cs="Palatino Linotype"/>
        </w:rPr>
      </w:pPr>
    </w:p>
    <w:p w14:paraId="4A8714C6" w14:textId="77777777" w:rsidR="00D331F0" w:rsidRDefault="00D331F0" w:rsidP="00D331F0">
      <w:pPr>
        <w:pStyle w:val="Prrafodelista"/>
        <w:numPr>
          <w:ilvl w:val="0"/>
          <w:numId w:val="12"/>
        </w:numPr>
        <w:spacing w:line="360" w:lineRule="auto"/>
        <w:ind w:right="560"/>
        <w:jc w:val="both"/>
        <w:rPr>
          <w:rFonts w:ascii="Palatino Linotype" w:eastAsia="Palatino Linotype" w:hAnsi="Palatino Linotype" w:cs="Palatino Linotype"/>
        </w:rPr>
      </w:pPr>
      <w:r>
        <w:rPr>
          <w:rFonts w:ascii="Palatino Linotype" w:eastAsia="Palatino Linotype" w:hAnsi="Palatino Linotype" w:cs="Palatino Linotype"/>
        </w:rPr>
        <w:t xml:space="preserve">Oficio de fecha diez de noviembre de dos mil veintidós, signado por la Coordinadora de Recursos Humanos, mediante el cual informa que se ajunta el formato PDF el directorio de las direcciones de Tesorería, Seguridad Pública, Presidencia y Regidurías, así como las altas y bajas del mes de septiembre de dos mil veintidós, siendo que esta es la información que se tiene completa a la fecha de la solicitud. </w:t>
      </w:r>
    </w:p>
    <w:p w14:paraId="3B34BD08" w14:textId="77777777" w:rsidR="00D331F0" w:rsidRDefault="00D331F0" w:rsidP="00D331F0">
      <w:pPr>
        <w:pStyle w:val="Prrafodelista"/>
        <w:numPr>
          <w:ilvl w:val="0"/>
          <w:numId w:val="12"/>
        </w:numPr>
        <w:spacing w:line="360" w:lineRule="auto"/>
        <w:ind w:right="560"/>
        <w:jc w:val="both"/>
        <w:rPr>
          <w:rFonts w:ascii="Palatino Linotype" w:eastAsia="Palatino Linotype" w:hAnsi="Palatino Linotype" w:cs="Palatino Linotype"/>
        </w:rPr>
      </w:pPr>
      <w:r>
        <w:rPr>
          <w:rFonts w:ascii="Palatino Linotype" w:eastAsia="Palatino Linotype" w:hAnsi="Palatino Linotype" w:cs="Palatino Linotype"/>
        </w:rPr>
        <w:t xml:space="preserve">Oficio en el que se advierte una tabla relacionada con el Directorio de los servidores públicos, la cual contiene unidad administrativa, titular y extensión telefónica, así como dos tablas relacionadas con las altas y bajas del mes de septiembre, como se advierte a continuación: </w:t>
      </w:r>
    </w:p>
    <w:p w14:paraId="7144B239" w14:textId="77777777" w:rsidR="00D331F0" w:rsidRDefault="00D331F0" w:rsidP="00D331F0">
      <w:pPr>
        <w:spacing w:line="360" w:lineRule="auto"/>
        <w:ind w:right="560"/>
        <w:jc w:val="center"/>
        <w:rPr>
          <w:rFonts w:ascii="Palatino Linotype" w:eastAsia="Palatino Linotype" w:hAnsi="Palatino Linotype" w:cs="Palatino Linotype"/>
        </w:rPr>
      </w:pPr>
      <w:r w:rsidRPr="00CA1AA5">
        <w:rPr>
          <w:rFonts w:ascii="Palatino Linotype" w:eastAsia="Palatino Linotype" w:hAnsi="Palatino Linotype" w:cs="Palatino Linotype"/>
          <w:noProof/>
        </w:rPr>
        <w:drawing>
          <wp:inline distT="0" distB="0" distL="0" distR="0" wp14:anchorId="565241D5" wp14:editId="2CB47600">
            <wp:extent cx="4935830" cy="1085175"/>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75350" cy="1093864"/>
                    </a:xfrm>
                    <a:prstGeom prst="rect">
                      <a:avLst/>
                    </a:prstGeom>
                  </pic:spPr>
                </pic:pic>
              </a:graphicData>
            </a:graphic>
          </wp:inline>
        </w:drawing>
      </w:r>
    </w:p>
    <w:p w14:paraId="73761822" w14:textId="77777777" w:rsidR="00D331F0" w:rsidRDefault="00D331F0" w:rsidP="00D331F0">
      <w:pPr>
        <w:spacing w:line="360" w:lineRule="auto"/>
        <w:ind w:right="560"/>
        <w:jc w:val="center"/>
        <w:rPr>
          <w:rFonts w:ascii="Palatino Linotype" w:eastAsia="Palatino Linotype" w:hAnsi="Palatino Linotype" w:cs="Palatino Linotype"/>
        </w:rPr>
      </w:pPr>
      <w:r>
        <w:rPr>
          <w:rFonts w:ascii="Palatino Linotype" w:eastAsia="Palatino Linotype" w:hAnsi="Palatino Linotype" w:cs="Palatino Linotype"/>
        </w:rPr>
        <w:t>…</w:t>
      </w:r>
    </w:p>
    <w:p w14:paraId="1488D20E" w14:textId="77777777" w:rsidR="00D331F0" w:rsidRDefault="00D331F0" w:rsidP="00D331F0">
      <w:pPr>
        <w:spacing w:line="360" w:lineRule="auto"/>
        <w:ind w:right="560"/>
        <w:jc w:val="center"/>
        <w:rPr>
          <w:rFonts w:ascii="Palatino Linotype" w:eastAsia="Palatino Linotype" w:hAnsi="Palatino Linotype" w:cs="Palatino Linotype"/>
        </w:rPr>
      </w:pPr>
      <w:r w:rsidRPr="00CA1AA5">
        <w:rPr>
          <w:rFonts w:ascii="Palatino Linotype" w:eastAsia="Palatino Linotype" w:hAnsi="Palatino Linotype" w:cs="Palatino Linotype"/>
          <w:noProof/>
        </w:rPr>
        <w:drawing>
          <wp:inline distT="0" distB="0" distL="0" distR="0" wp14:anchorId="221FADE0" wp14:editId="345E35FB">
            <wp:extent cx="4899025" cy="141107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3803" cy="1412447"/>
                    </a:xfrm>
                    <a:prstGeom prst="rect">
                      <a:avLst/>
                    </a:prstGeom>
                  </pic:spPr>
                </pic:pic>
              </a:graphicData>
            </a:graphic>
          </wp:inline>
        </w:drawing>
      </w:r>
    </w:p>
    <w:p w14:paraId="5FEF26BF" w14:textId="77777777" w:rsidR="00D331F0" w:rsidRDefault="00D331F0" w:rsidP="00D331F0">
      <w:pPr>
        <w:spacing w:line="360" w:lineRule="auto"/>
        <w:ind w:right="560"/>
        <w:jc w:val="center"/>
        <w:rPr>
          <w:rFonts w:ascii="Palatino Linotype" w:eastAsia="Palatino Linotype" w:hAnsi="Palatino Linotype" w:cs="Palatino Linotype"/>
        </w:rPr>
      </w:pPr>
      <w:r>
        <w:rPr>
          <w:rFonts w:ascii="Palatino Linotype" w:eastAsia="Palatino Linotype" w:hAnsi="Palatino Linotype" w:cs="Palatino Linotype"/>
        </w:rPr>
        <w:lastRenderedPageBreak/>
        <w:t>…</w:t>
      </w:r>
    </w:p>
    <w:p w14:paraId="74AE480C" w14:textId="77777777" w:rsidR="00D331F0" w:rsidRPr="00CA1AA5" w:rsidRDefault="00D331F0" w:rsidP="00D331F0">
      <w:pPr>
        <w:spacing w:line="360" w:lineRule="auto"/>
        <w:ind w:right="560"/>
        <w:jc w:val="center"/>
        <w:rPr>
          <w:rFonts w:ascii="Palatino Linotype" w:eastAsia="Palatino Linotype" w:hAnsi="Palatino Linotype" w:cs="Palatino Linotype"/>
        </w:rPr>
      </w:pPr>
      <w:r w:rsidRPr="00CA1AA5">
        <w:rPr>
          <w:rFonts w:ascii="Palatino Linotype" w:eastAsia="Palatino Linotype" w:hAnsi="Palatino Linotype" w:cs="Palatino Linotype"/>
          <w:noProof/>
        </w:rPr>
        <w:drawing>
          <wp:inline distT="0" distB="0" distL="0" distR="0" wp14:anchorId="1D499C3A" wp14:editId="2BFB1FD5">
            <wp:extent cx="4887524" cy="127943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5969" cy="1294737"/>
                    </a:xfrm>
                    <a:prstGeom prst="rect">
                      <a:avLst/>
                    </a:prstGeom>
                  </pic:spPr>
                </pic:pic>
              </a:graphicData>
            </a:graphic>
          </wp:inline>
        </w:drawing>
      </w:r>
    </w:p>
    <w:p w14:paraId="5D0EEC51" w14:textId="77777777" w:rsidR="00D331F0" w:rsidRDefault="00D331F0" w:rsidP="00D331F0">
      <w:pPr>
        <w:pStyle w:val="Prrafodelista"/>
        <w:spacing w:line="360" w:lineRule="auto"/>
        <w:ind w:right="560"/>
        <w:jc w:val="both"/>
        <w:rPr>
          <w:rFonts w:ascii="Palatino Linotype" w:eastAsia="Palatino Linotype" w:hAnsi="Palatino Linotype" w:cs="Palatino Linotype"/>
        </w:rPr>
      </w:pPr>
    </w:p>
    <w:p w14:paraId="208CD84A" w14:textId="77777777" w:rsidR="00D331F0" w:rsidRDefault="00D331F0" w:rsidP="00D331F0">
      <w:pPr>
        <w:pStyle w:val="Prrafodelista"/>
        <w:numPr>
          <w:ilvl w:val="0"/>
          <w:numId w:val="12"/>
        </w:numPr>
        <w:spacing w:line="360" w:lineRule="auto"/>
        <w:ind w:right="560"/>
        <w:jc w:val="both"/>
        <w:rPr>
          <w:rFonts w:ascii="Palatino Linotype" w:eastAsia="Palatino Linotype" w:hAnsi="Palatino Linotype" w:cs="Palatino Linotype"/>
        </w:rPr>
      </w:pPr>
      <w:r>
        <w:rPr>
          <w:rFonts w:ascii="Palatino Linotype" w:eastAsia="Palatino Linotype" w:hAnsi="Palatino Linotype" w:cs="Palatino Linotype"/>
        </w:rPr>
        <w:t xml:space="preserve">Oficio de fecha quince de noviembre de dos mil veintidós, signado por la Titular de la Unidad de Transparencia, mediante el cual informa al particular que a su respuesta se encontrará la información proporcionada por la Coordinadora de Recursos Humanos. </w:t>
      </w:r>
    </w:p>
    <w:p w14:paraId="544848A2" w14:textId="77777777" w:rsidR="00174792" w:rsidRPr="00174792" w:rsidRDefault="00174792" w:rsidP="00174792">
      <w:pPr>
        <w:spacing w:line="360" w:lineRule="auto"/>
        <w:ind w:left="851" w:right="1750"/>
        <w:jc w:val="both"/>
        <w:rPr>
          <w:rFonts w:ascii="Palatino Linotype" w:hAnsi="Palatino Linotype" w:cs="Segoe UI"/>
          <w:i/>
          <w:iCs/>
          <w:sz w:val="22"/>
          <w:szCs w:val="22"/>
          <w:lang w:eastAsia="es-MX"/>
        </w:rPr>
      </w:pPr>
    </w:p>
    <w:p w14:paraId="19040416" w14:textId="5D2EA82F" w:rsidR="00EF730E" w:rsidRDefault="00F9650F" w:rsidP="00F9650F">
      <w:pPr>
        <w:spacing w:line="360" w:lineRule="auto"/>
        <w:jc w:val="both"/>
        <w:rPr>
          <w:rFonts w:ascii="Palatino Linotype" w:hAnsi="Palatino Linotype" w:cs="Arial"/>
          <w:sz w:val="22"/>
          <w:szCs w:val="22"/>
        </w:rPr>
      </w:pPr>
      <w:r w:rsidRPr="00F9650F">
        <w:rPr>
          <w:rFonts w:ascii="Palatino Linotype" w:hAnsi="Palatino Linotype" w:cs="Arial"/>
          <w:sz w:val="22"/>
          <w:szCs w:val="22"/>
        </w:rPr>
        <w:t xml:space="preserve">Inconforme con la respuesta, </w:t>
      </w:r>
      <w:r w:rsidRPr="00F9650F">
        <w:rPr>
          <w:rFonts w:ascii="Palatino Linotype" w:hAnsi="Palatino Linotype" w:cs="Arial"/>
          <w:b/>
          <w:sz w:val="22"/>
          <w:szCs w:val="22"/>
        </w:rPr>
        <w:t>EL RECURRENTE</w:t>
      </w:r>
      <w:r w:rsidR="00A12378">
        <w:rPr>
          <w:rFonts w:ascii="Palatino Linotype" w:hAnsi="Palatino Linotype" w:cs="Arial"/>
          <w:sz w:val="22"/>
          <w:szCs w:val="22"/>
        </w:rPr>
        <w:t xml:space="preserve"> interpuso el medio de impugnación con número señalado en encabezado</w:t>
      </w:r>
      <w:r w:rsidRPr="00F9650F">
        <w:rPr>
          <w:rFonts w:ascii="Palatino Linotype" w:hAnsi="Palatino Linotype" w:cs="Arial"/>
          <w:sz w:val="22"/>
          <w:szCs w:val="22"/>
        </w:rPr>
        <w:t>, señalando</w:t>
      </w:r>
      <w:r w:rsidR="00A12378">
        <w:rPr>
          <w:rFonts w:ascii="Palatino Linotype" w:hAnsi="Palatino Linotype" w:cs="Arial"/>
          <w:sz w:val="22"/>
          <w:szCs w:val="22"/>
        </w:rPr>
        <w:t xml:space="preserve"> </w:t>
      </w:r>
      <w:r w:rsidRPr="00F9650F">
        <w:rPr>
          <w:rFonts w:ascii="Palatino Linotype" w:hAnsi="Palatino Linotype" w:cs="Arial"/>
          <w:sz w:val="22"/>
          <w:szCs w:val="22"/>
        </w:rPr>
        <w:t>como raz</w:t>
      </w:r>
      <w:r w:rsidR="00A12378">
        <w:rPr>
          <w:rFonts w:ascii="Palatino Linotype" w:hAnsi="Palatino Linotype" w:cs="Arial"/>
          <w:sz w:val="22"/>
          <w:szCs w:val="22"/>
        </w:rPr>
        <w:t>ones o motivos de inconformidad lo siguiente:</w:t>
      </w:r>
    </w:p>
    <w:p w14:paraId="6BC03F62" w14:textId="77777777" w:rsidR="00F9650F" w:rsidRPr="004645A9" w:rsidRDefault="00F9650F" w:rsidP="00F9650F">
      <w:pPr>
        <w:spacing w:line="360" w:lineRule="auto"/>
        <w:jc w:val="both"/>
        <w:rPr>
          <w:rFonts w:ascii="Palatino Linotype" w:hAnsi="Palatino Linotype" w:cs="Arial"/>
          <w:sz w:val="22"/>
          <w:szCs w:val="22"/>
        </w:rPr>
      </w:pPr>
    </w:p>
    <w:p w14:paraId="779BA663" w14:textId="77777777" w:rsidR="008B6B3C" w:rsidRPr="008B6B3C" w:rsidRDefault="008B6B3C" w:rsidP="008B6B3C">
      <w:pPr>
        <w:spacing w:line="360" w:lineRule="auto"/>
        <w:jc w:val="both"/>
        <w:rPr>
          <w:rFonts w:ascii="Palatino Linotype" w:hAnsi="Palatino Linotype" w:cs="Arial"/>
          <w:sz w:val="22"/>
          <w:szCs w:val="22"/>
        </w:rPr>
      </w:pPr>
      <w:r w:rsidRPr="008B6B3C">
        <w:rPr>
          <w:rFonts w:ascii="Palatino Linotype" w:hAnsi="Palatino Linotype" w:cs="Arial"/>
          <w:b/>
          <w:sz w:val="22"/>
          <w:szCs w:val="22"/>
        </w:rPr>
        <w:t xml:space="preserve">Acto impugnado. </w:t>
      </w:r>
      <w:r w:rsidRPr="008B6B3C">
        <w:rPr>
          <w:rFonts w:ascii="Palatino Linotype" w:hAnsi="Palatino Linotype" w:cs="Arial"/>
          <w:sz w:val="22"/>
          <w:szCs w:val="22"/>
        </w:rPr>
        <w:t>“LA INFORMACION ESTÁ INCOMPLETA”.</w:t>
      </w:r>
    </w:p>
    <w:p w14:paraId="294B21FF" w14:textId="77777777" w:rsidR="008B6B3C" w:rsidRPr="008B6B3C" w:rsidRDefault="008B6B3C" w:rsidP="008B6B3C">
      <w:pPr>
        <w:spacing w:line="360" w:lineRule="auto"/>
        <w:jc w:val="both"/>
        <w:rPr>
          <w:rFonts w:ascii="Palatino Linotype" w:hAnsi="Palatino Linotype" w:cs="Arial"/>
          <w:b/>
          <w:sz w:val="22"/>
          <w:szCs w:val="22"/>
        </w:rPr>
      </w:pPr>
    </w:p>
    <w:p w14:paraId="136A3D1F" w14:textId="4263FB32" w:rsidR="00A60E46" w:rsidRPr="008B6B3C" w:rsidRDefault="008B6B3C" w:rsidP="008B6B3C">
      <w:pPr>
        <w:spacing w:line="360" w:lineRule="auto"/>
        <w:jc w:val="both"/>
        <w:rPr>
          <w:rFonts w:ascii="Palatino Linotype" w:hAnsi="Palatino Linotype" w:cs="Arial"/>
          <w:i/>
          <w:sz w:val="22"/>
          <w:szCs w:val="22"/>
        </w:rPr>
      </w:pPr>
      <w:r w:rsidRPr="008B6B3C">
        <w:rPr>
          <w:rFonts w:ascii="Palatino Linotype" w:hAnsi="Palatino Linotype" w:cs="Arial"/>
          <w:b/>
          <w:sz w:val="22"/>
          <w:szCs w:val="22"/>
        </w:rPr>
        <w:t xml:space="preserve">Razones o motivos de la inconformidad: </w:t>
      </w:r>
      <w:r w:rsidRPr="008B6B3C">
        <w:rPr>
          <w:rFonts w:ascii="Palatino Linotype" w:hAnsi="Palatino Linotype" w:cs="Arial"/>
          <w:sz w:val="22"/>
          <w:szCs w:val="22"/>
        </w:rPr>
        <w:t>“LA INFORMACION SOLICITADA FUE EL LIDTADO DE ALTAS Y BAJAS DEL MES DE SEPTIEMBRE Y OCTUBRE Y SOLAMENTE SE HA INCLUIDO EL DE SEPTIEMBRE, POR LO TANTO, LA RESPUESTA ESTÁ INCOMPLETA EN EL REQUERIMIENTO POR LO QUE SOLCITO QUE SE EXPLIQUE EL POR QUÉ NO SE HA ENTREGADO ESA INFORMACIÓN Y SE ORDENE AL SUJETO OBLIGADO A CAMBIAR SU RESPUESTA INCLUYENDO LA TOTALIDA DE LA INFORMACION REQUERIDA.”</w:t>
      </w:r>
    </w:p>
    <w:p w14:paraId="1D5F0664" w14:textId="33FBA406" w:rsidR="003C2E8A" w:rsidRDefault="00BB4356" w:rsidP="008201DE">
      <w:pPr>
        <w:widowControl w:val="0"/>
        <w:pBdr>
          <w:top w:val="nil"/>
          <w:left w:val="nil"/>
          <w:bottom w:val="nil"/>
          <w:right w:val="nil"/>
          <w:between w:val="nil"/>
        </w:pBdr>
        <w:tabs>
          <w:tab w:val="left" w:pos="709"/>
        </w:tabs>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w:t>
      </w:r>
      <w:r w:rsidRPr="00A07EF3">
        <w:rPr>
          <w:rFonts w:ascii="Palatino Linotype" w:eastAsia="Palatino Linotype" w:hAnsi="Palatino Linotype" w:cs="Palatino Linotype"/>
        </w:rPr>
        <w:t xml:space="preserve">, </w:t>
      </w:r>
      <w:r w:rsidR="00A60E46" w:rsidRPr="00A07EF3">
        <w:rPr>
          <w:rFonts w:ascii="Palatino Linotype" w:eastAsia="Palatino Linotype" w:hAnsi="Palatino Linotype" w:cs="Palatino Linotype"/>
        </w:rPr>
        <w:t>de las constan</w:t>
      </w:r>
      <w:r w:rsidR="00A12378" w:rsidRPr="00A07EF3">
        <w:rPr>
          <w:rFonts w:ascii="Palatino Linotype" w:eastAsia="Palatino Linotype" w:hAnsi="Palatino Linotype" w:cs="Palatino Linotype"/>
        </w:rPr>
        <w:t xml:space="preserve">cias que integran el expediente, </w:t>
      </w:r>
      <w:r w:rsidR="00A60E46" w:rsidRPr="00A07EF3">
        <w:rPr>
          <w:rFonts w:ascii="Palatino Linotype" w:eastAsia="Palatino Linotype" w:hAnsi="Palatino Linotype" w:cs="Palatino Linotype"/>
        </w:rPr>
        <w:t>se advierte</w:t>
      </w:r>
      <w:r w:rsidR="000D239F" w:rsidRPr="00A07EF3">
        <w:rPr>
          <w:rFonts w:ascii="Palatino Linotype" w:eastAsia="Palatino Linotype" w:hAnsi="Palatino Linotype" w:cs="Palatino Linotype"/>
        </w:rPr>
        <w:t xml:space="preserve"> </w:t>
      </w:r>
      <w:r w:rsidR="00A60E46" w:rsidRPr="00A07EF3">
        <w:rPr>
          <w:rFonts w:ascii="Palatino Linotype" w:eastAsia="Palatino Linotype" w:hAnsi="Palatino Linotype" w:cs="Palatino Linotype"/>
        </w:rPr>
        <w:t xml:space="preserve">que el recurrente fue </w:t>
      </w:r>
      <w:r w:rsidR="00A60E46" w:rsidRPr="00A07EF3">
        <w:rPr>
          <w:rFonts w:ascii="Palatino Linotype" w:eastAsia="Palatino Linotype" w:hAnsi="Palatino Linotype" w:cs="Palatino Linotype"/>
        </w:rPr>
        <w:lastRenderedPageBreak/>
        <w:t>omiso en ofrecer pruebas o expresar alegatos; en términos del artículo 185 fraccio</w:t>
      </w:r>
      <w:r w:rsidR="008201DE" w:rsidRPr="00A07EF3">
        <w:rPr>
          <w:rFonts w:ascii="Palatino Linotype" w:eastAsia="Palatino Linotype" w:hAnsi="Palatino Linotype" w:cs="Palatino Linotype"/>
        </w:rPr>
        <w:t>nes</w:t>
      </w:r>
      <w:r w:rsidR="008201DE">
        <w:rPr>
          <w:rFonts w:ascii="Palatino Linotype" w:eastAsia="Palatino Linotype" w:hAnsi="Palatino Linotype" w:cs="Palatino Linotype"/>
        </w:rPr>
        <w:t xml:space="preserve"> II de la ley que nos ocupa, así como tampoco, el Sujeto Obligado remitió su informe justificado.</w:t>
      </w:r>
    </w:p>
    <w:p w14:paraId="7DB4F208" w14:textId="77777777" w:rsidR="008201DE" w:rsidRPr="008201DE" w:rsidRDefault="008201DE" w:rsidP="008201D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0E07EA97" w14:textId="76973CEC" w:rsidR="004645A9" w:rsidRDefault="004645A9" w:rsidP="00585E86">
      <w:pPr>
        <w:spacing w:line="360" w:lineRule="auto"/>
        <w:contextualSpacing/>
        <w:jc w:val="both"/>
        <w:rPr>
          <w:rFonts w:ascii="Palatino Linotype" w:hAnsi="Palatino Linotype" w:cs="Arial"/>
          <w:sz w:val="22"/>
          <w:szCs w:val="22"/>
        </w:rPr>
      </w:pPr>
      <w:r w:rsidRPr="004645A9">
        <w:rPr>
          <w:rFonts w:ascii="Palatino Linotype" w:hAnsi="Palatino Linotype" w:cs="Arial"/>
          <w:sz w:val="22"/>
          <w:szCs w:val="22"/>
        </w:rPr>
        <w:t xml:space="preserve">Es así que, la Ponencia Resolutora realizó un estudio para determinar si </w:t>
      </w:r>
      <w:r w:rsidRPr="004645A9">
        <w:rPr>
          <w:rFonts w:ascii="Palatino Linotype" w:hAnsi="Palatino Linotype" w:cs="Arial"/>
          <w:b/>
          <w:bCs/>
          <w:sz w:val="22"/>
          <w:szCs w:val="22"/>
        </w:rPr>
        <w:t>EL SUJETO OBLIGADO</w:t>
      </w:r>
      <w:r w:rsidRPr="004645A9">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w:t>
      </w:r>
      <w:r w:rsidR="00825EA1">
        <w:rPr>
          <w:rFonts w:ascii="Palatino Linotype" w:hAnsi="Palatino Linotype" w:cs="Arial"/>
          <w:sz w:val="22"/>
          <w:szCs w:val="22"/>
        </w:rPr>
        <w:t xml:space="preserve">el </w:t>
      </w:r>
      <w:r w:rsidRPr="004645A9">
        <w:rPr>
          <w:rFonts w:ascii="Palatino Linotype" w:hAnsi="Palatino Linotype" w:cs="Arial"/>
          <w:sz w:val="22"/>
          <w:szCs w:val="22"/>
        </w:rPr>
        <w:t>artículo 179</w:t>
      </w:r>
      <w:r w:rsidR="00585E86" w:rsidRPr="00513C9E">
        <w:rPr>
          <w:rFonts w:ascii="Palatino Linotype" w:hAnsi="Palatino Linotype" w:cs="Arial"/>
          <w:sz w:val="22"/>
          <w:szCs w:val="22"/>
        </w:rPr>
        <w:t xml:space="preserve">, </w:t>
      </w:r>
      <w:r w:rsidR="002E2676" w:rsidRPr="00513C9E">
        <w:rPr>
          <w:rFonts w:ascii="Palatino Linotype" w:hAnsi="Palatino Linotype" w:cs="Arial"/>
          <w:sz w:val="22"/>
          <w:szCs w:val="22"/>
        </w:rPr>
        <w:t>fracción</w:t>
      </w:r>
      <w:r w:rsidR="00C32391">
        <w:rPr>
          <w:rFonts w:ascii="Palatino Linotype" w:hAnsi="Palatino Linotype" w:cs="Arial"/>
          <w:sz w:val="22"/>
          <w:szCs w:val="22"/>
        </w:rPr>
        <w:t xml:space="preserve"> </w:t>
      </w:r>
      <w:r w:rsidR="00521D63">
        <w:rPr>
          <w:rFonts w:ascii="Palatino Linotype" w:hAnsi="Palatino Linotype" w:cs="Arial"/>
          <w:sz w:val="22"/>
          <w:szCs w:val="22"/>
        </w:rPr>
        <w:t>V</w:t>
      </w:r>
      <w:r w:rsidR="002E2676" w:rsidRPr="00513C9E">
        <w:rPr>
          <w:rFonts w:ascii="Palatino Linotype" w:hAnsi="Palatino Linotype" w:cs="Arial"/>
          <w:sz w:val="22"/>
          <w:szCs w:val="22"/>
        </w:rPr>
        <w:t>,</w:t>
      </w:r>
      <w:r w:rsidR="00585E86" w:rsidRPr="00513C9E">
        <w:rPr>
          <w:rFonts w:ascii="Palatino Linotype" w:hAnsi="Palatino Linotype" w:cs="Arial"/>
          <w:sz w:val="22"/>
          <w:szCs w:val="22"/>
        </w:rPr>
        <w:t xml:space="preserve"> </w:t>
      </w:r>
      <w:r w:rsidRPr="00513C9E">
        <w:rPr>
          <w:rFonts w:ascii="Palatino Linotype" w:hAnsi="Palatino Linotype" w:cs="Arial"/>
          <w:sz w:val="22"/>
          <w:szCs w:val="22"/>
        </w:rPr>
        <w:t>de la Ley de Transparencia y Acceso a la Información Pública del Estado de México y sus Municipios, que establece</w:t>
      </w:r>
      <w:r w:rsidR="002E2676" w:rsidRPr="00513C9E">
        <w:rPr>
          <w:rFonts w:ascii="Palatino Linotype" w:hAnsi="Palatino Linotype" w:cs="Arial"/>
          <w:sz w:val="22"/>
          <w:szCs w:val="22"/>
        </w:rPr>
        <w:t xml:space="preserve"> </w:t>
      </w:r>
      <w:r w:rsidR="00521D63">
        <w:rPr>
          <w:rFonts w:ascii="Palatino Linotype" w:hAnsi="Palatino Linotype" w:cs="Arial"/>
          <w:sz w:val="22"/>
          <w:szCs w:val="22"/>
        </w:rPr>
        <w:t xml:space="preserve">la entrega de la información incompleta. </w:t>
      </w:r>
    </w:p>
    <w:p w14:paraId="75D69822" w14:textId="77777777" w:rsidR="004645A9" w:rsidRPr="004645A9" w:rsidRDefault="004645A9" w:rsidP="004645A9">
      <w:pPr>
        <w:spacing w:line="360" w:lineRule="auto"/>
        <w:contextualSpacing/>
        <w:jc w:val="both"/>
        <w:rPr>
          <w:rFonts w:ascii="Palatino Linotype" w:hAnsi="Palatino Linotype" w:cs="Arial"/>
          <w:sz w:val="22"/>
          <w:szCs w:val="22"/>
        </w:rPr>
      </w:pPr>
    </w:p>
    <w:p w14:paraId="60BF5EDF" w14:textId="77777777" w:rsidR="004645A9" w:rsidRDefault="004645A9" w:rsidP="004645A9">
      <w:pPr>
        <w:spacing w:line="360" w:lineRule="auto"/>
        <w:jc w:val="both"/>
        <w:rPr>
          <w:rFonts w:ascii="Palatino Linotype" w:hAnsi="Palatino Linotype"/>
          <w:i/>
          <w:color w:val="000000"/>
          <w:sz w:val="22"/>
          <w:szCs w:val="22"/>
        </w:rPr>
      </w:pPr>
      <w:r w:rsidRPr="004645A9">
        <w:rPr>
          <w:rFonts w:ascii="Palatino Linotype" w:hAnsi="Palatino Linotype"/>
          <w:color w:val="000000"/>
          <w:sz w:val="22"/>
          <w:szCs w:val="22"/>
        </w:rPr>
        <w:t>En esa tesitura,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4645A9">
        <w:rPr>
          <w:rFonts w:ascii="Palatino Linotype" w:hAnsi="Palatino Linotype"/>
          <w:i/>
          <w:color w:val="000000"/>
          <w:sz w:val="22"/>
          <w:szCs w:val="22"/>
        </w:rPr>
        <w:t>Nombres de servidores públicos dedicados a actividades en materia de seguridad, por excepción pueden considerarse información reservada”.</w:t>
      </w:r>
    </w:p>
    <w:p w14:paraId="0360ECDC" w14:textId="77777777" w:rsidR="00FC279E" w:rsidRPr="004645A9" w:rsidRDefault="00FC279E" w:rsidP="004645A9">
      <w:pPr>
        <w:spacing w:line="360" w:lineRule="auto"/>
        <w:jc w:val="both"/>
        <w:rPr>
          <w:rFonts w:ascii="Palatino Linotype" w:hAnsi="Palatino Linotype"/>
          <w:i/>
          <w:color w:val="000000"/>
          <w:sz w:val="22"/>
          <w:szCs w:val="22"/>
        </w:rPr>
      </w:pPr>
    </w:p>
    <w:p w14:paraId="3C923E26" w14:textId="34A2C5B4" w:rsidR="004645A9" w:rsidRPr="004645A9" w:rsidRDefault="004645A9" w:rsidP="004645A9">
      <w:pPr>
        <w:spacing w:line="360" w:lineRule="auto"/>
        <w:contextualSpacing/>
        <w:jc w:val="both"/>
        <w:rPr>
          <w:rFonts w:ascii="Palatino Linotype" w:hAnsi="Palatino Linotype" w:cs="Arial"/>
          <w:sz w:val="22"/>
          <w:szCs w:val="22"/>
        </w:rPr>
      </w:pPr>
      <w:r w:rsidRPr="004645A9">
        <w:rPr>
          <w:rFonts w:ascii="Palatino Linotype" w:hAnsi="Palatino Linotype" w:cs="Arial"/>
          <w:sz w:val="22"/>
          <w:szCs w:val="22"/>
        </w:rPr>
        <w:t xml:space="preserve">En ese sentido, la Ponencia Resolutora ordenó entregar la información solicitada por el recurrente únicamente reservando del nombre de los elementos operativos de seguridad pública que se encuentren activos en </w:t>
      </w:r>
      <w:r w:rsidRPr="00A07EF3">
        <w:rPr>
          <w:rFonts w:ascii="Palatino Linotype" w:hAnsi="Palatino Linotype" w:cs="Arial"/>
          <w:sz w:val="22"/>
          <w:szCs w:val="22"/>
        </w:rPr>
        <w:t xml:space="preserve">el </w:t>
      </w:r>
      <w:r w:rsidR="008B6B3C" w:rsidRPr="008B6B3C">
        <w:rPr>
          <w:rFonts w:ascii="Palatino Linotype" w:hAnsi="Palatino Linotype" w:cs="Arial"/>
          <w:sz w:val="22"/>
          <w:szCs w:val="22"/>
        </w:rPr>
        <w:t>Ayuntamiento de Tenango del Valle</w:t>
      </w:r>
      <w:r w:rsidR="0029283B" w:rsidRPr="0029283B">
        <w:rPr>
          <w:rFonts w:ascii="Palatino Linotype" w:hAnsi="Palatino Linotype" w:cs="Arial"/>
          <w:sz w:val="20"/>
          <w:szCs w:val="22"/>
        </w:rPr>
        <w:t xml:space="preserve"> </w:t>
      </w:r>
      <w:r w:rsidRPr="00A07EF3">
        <w:rPr>
          <w:rFonts w:ascii="Palatino Linotype" w:hAnsi="Palatino Linotype" w:cs="Arial"/>
          <w:sz w:val="22"/>
          <w:szCs w:val="22"/>
        </w:rPr>
        <w:t>en términos del</w:t>
      </w:r>
      <w:r w:rsidRPr="004645A9">
        <w:rPr>
          <w:rFonts w:ascii="Palatino Linotype" w:hAnsi="Palatino Linotype" w:cs="Arial"/>
          <w:sz w:val="22"/>
          <w:szCs w:val="22"/>
        </w:rPr>
        <w:t xml:space="preserve"> artículo 140, fracción IV, de la Ley de Transparencia y Acceso a la Información Pública del Estado de México y Municipios.</w:t>
      </w:r>
    </w:p>
    <w:p w14:paraId="51670A60" w14:textId="77777777" w:rsidR="004645A9" w:rsidRPr="004645A9" w:rsidRDefault="004645A9" w:rsidP="004645A9">
      <w:pPr>
        <w:spacing w:line="360" w:lineRule="auto"/>
        <w:contextualSpacing/>
        <w:jc w:val="both"/>
        <w:rPr>
          <w:rFonts w:ascii="Palatino Linotype" w:hAnsi="Palatino Linotype" w:cs="Arial"/>
          <w:sz w:val="22"/>
          <w:szCs w:val="22"/>
        </w:rPr>
      </w:pPr>
    </w:p>
    <w:p w14:paraId="7905E528" w14:textId="23091FC0" w:rsidR="004645A9" w:rsidRPr="004645A9" w:rsidRDefault="004645A9" w:rsidP="004645A9">
      <w:pPr>
        <w:spacing w:line="360" w:lineRule="auto"/>
        <w:contextualSpacing/>
        <w:jc w:val="both"/>
        <w:rPr>
          <w:rFonts w:ascii="Palatino Linotype" w:hAnsi="Palatino Linotype"/>
          <w:color w:val="000000"/>
          <w:sz w:val="22"/>
          <w:szCs w:val="22"/>
        </w:rPr>
      </w:pPr>
      <w:r w:rsidRPr="004645A9">
        <w:rPr>
          <w:rFonts w:ascii="Palatino Linotype" w:hAnsi="Palatino Linotype" w:cs="Arial"/>
          <w:sz w:val="22"/>
          <w:szCs w:val="22"/>
        </w:rPr>
        <w:t xml:space="preserve">Estudio con el cual esta Ponencia no coincide, ya que </w:t>
      </w:r>
      <w:r w:rsidRPr="004645A9">
        <w:rPr>
          <w:rFonts w:ascii="Palatino Linotype" w:hAnsi="Palatino Linotype"/>
          <w:color w:val="000000"/>
          <w:sz w:val="22"/>
          <w:szCs w:val="22"/>
        </w:rPr>
        <w:t xml:space="preserve">la entrega de la información del cargo y área de adscripción del personal de seguridad pública, puede hacer identificable a dichos elementos de seguridad. </w:t>
      </w:r>
    </w:p>
    <w:p w14:paraId="72351907" w14:textId="77777777" w:rsidR="004645A9" w:rsidRPr="004645A9" w:rsidRDefault="004645A9" w:rsidP="004645A9">
      <w:pPr>
        <w:spacing w:line="360" w:lineRule="auto"/>
        <w:contextualSpacing/>
        <w:jc w:val="both"/>
        <w:rPr>
          <w:rFonts w:ascii="Palatino Linotype" w:hAnsi="Palatino Linotype" w:cs="Arial"/>
          <w:sz w:val="22"/>
          <w:szCs w:val="22"/>
        </w:rPr>
      </w:pPr>
    </w:p>
    <w:p w14:paraId="7A0E1827" w14:textId="77777777" w:rsidR="004645A9" w:rsidRPr="004645A9" w:rsidRDefault="004645A9" w:rsidP="004645A9">
      <w:pPr>
        <w:spacing w:line="360" w:lineRule="auto"/>
        <w:contextualSpacing/>
        <w:jc w:val="both"/>
        <w:rPr>
          <w:rFonts w:ascii="Palatino Linotype" w:hAnsi="Palatino Linotype"/>
          <w:iCs/>
          <w:color w:val="000000"/>
          <w:sz w:val="22"/>
          <w:szCs w:val="22"/>
        </w:rPr>
      </w:pPr>
      <w:r w:rsidRPr="004645A9">
        <w:rPr>
          <w:rFonts w:ascii="Palatino Linotype" w:hAnsi="Palatino Linotype" w:cs="Arial"/>
          <w:sz w:val="22"/>
          <w:szCs w:val="22"/>
        </w:rPr>
        <w:lastRenderedPageBreak/>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aquellos servidores públicos que realizan funciones sustantivas y de averiguación, en la citada resolución determinó que divulgar su información </w:t>
      </w:r>
      <w:r w:rsidRPr="004645A9">
        <w:rPr>
          <w:rFonts w:ascii="Palatino Linotype" w:hAnsi="Palatino Linotype" w:cs="Arial"/>
          <w:b/>
          <w:bCs/>
          <w:sz w:val="22"/>
          <w:szCs w:val="22"/>
        </w:rPr>
        <w:t xml:space="preserve">representa un riesgo real, demostrable e identificable, </w:t>
      </w:r>
      <w:r w:rsidRPr="004645A9">
        <w:rPr>
          <w:rFonts w:ascii="Palatino Linotype" w:hAnsi="Palatino Linotype" w:cs="Arial"/>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09C17EB1" w14:textId="77777777" w:rsidR="004645A9" w:rsidRPr="004645A9" w:rsidRDefault="004645A9" w:rsidP="004645A9">
      <w:pPr>
        <w:spacing w:line="360" w:lineRule="auto"/>
        <w:contextualSpacing/>
        <w:jc w:val="both"/>
        <w:rPr>
          <w:rFonts w:ascii="Palatino Linotype" w:hAnsi="Palatino Linotype" w:cs="Arial"/>
          <w:sz w:val="22"/>
          <w:szCs w:val="22"/>
        </w:rPr>
      </w:pPr>
    </w:p>
    <w:p w14:paraId="5F25FCC7" w14:textId="312DBB16" w:rsidR="004645A9" w:rsidRPr="00F93CE5" w:rsidRDefault="004645A9" w:rsidP="004645A9">
      <w:pPr>
        <w:spacing w:line="360" w:lineRule="auto"/>
        <w:contextualSpacing/>
        <w:jc w:val="both"/>
        <w:rPr>
          <w:rFonts w:ascii="Palatino Linotype" w:hAnsi="Palatino Linotype"/>
          <w:color w:val="000000"/>
          <w:sz w:val="22"/>
          <w:szCs w:val="22"/>
        </w:rPr>
      </w:pPr>
      <w:r w:rsidRPr="004645A9">
        <w:rPr>
          <w:rFonts w:ascii="Palatino Linotype" w:hAnsi="Palatino Linotype"/>
          <w:bCs/>
          <w:color w:val="000000"/>
          <w:sz w:val="22"/>
          <w:szCs w:val="22"/>
        </w:rPr>
        <w:t>Es por ello</w:t>
      </w:r>
      <w:r w:rsidRPr="004645A9">
        <w:rPr>
          <w:rFonts w:ascii="Palatino Linotype" w:hAnsi="Palatino Linotype"/>
          <w:b/>
          <w:color w:val="000000"/>
          <w:sz w:val="22"/>
          <w:szCs w:val="22"/>
        </w:rPr>
        <w:t xml:space="preserve">, que la suscrita considera de suma importancia la reserva respecto al cargo y área de adscripción del personal de Seguridad Pública </w:t>
      </w:r>
      <w:r w:rsidRPr="002A7903">
        <w:rPr>
          <w:rFonts w:ascii="Palatino Linotype" w:hAnsi="Palatino Linotype"/>
          <w:b/>
          <w:color w:val="000000"/>
          <w:sz w:val="22"/>
          <w:szCs w:val="22"/>
        </w:rPr>
        <w:t xml:space="preserve">del </w:t>
      </w:r>
      <w:bookmarkStart w:id="0" w:name="_GoBack"/>
      <w:r w:rsidR="008B6B3C" w:rsidRPr="008B6B3C">
        <w:rPr>
          <w:rFonts w:ascii="Palatino Linotype" w:hAnsi="Palatino Linotype"/>
          <w:b/>
          <w:color w:val="000000"/>
          <w:sz w:val="22"/>
          <w:szCs w:val="22"/>
        </w:rPr>
        <w:t>Ayuntamiento</w:t>
      </w:r>
      <w:bookmarkEnd w:id="0"/>
      <w:r w:rsidR="008B6B3C" w:rsidRPr="008B6B3C">
        <w:rPr>
          <w:rFonts w:ascii="Palatino Linotype" w:hAnsi="Palatino Linotype"/>
          <w:b/>
          <w:color w:val="000000"/>
          <w:sz w:val="22"/>
          <w:szCs w:val="22"/>
        </w:rPr>
        <w:t xml:space="preserve"> de Tenango del Valle</w:t>
      </w:r>
      <w:r w:rsidRPr="002A7903">
        <w:rPr>
          <w:rFonts w:ascii="Palatino Linotype" w:hAnsi="Palatino Linotype"/>
          <w:b/>
          <w:color w:val="000000"/>
          <w:sz w:val="22"/>
          <w:szCs w:val="22"/>
        </w:rPr>
        <w:t>,</w:t>
      </w:r>
      <w:r w:rsidR="004A2088">
        <w:rPr>
          <w:rFonts w:ascii="Palatino Linotype" w:hAnsi="Palatino Linotype"/>
          <w:color w:val="000000"/>
          <w:sz w:val="22"/>
          <w:szCs w:val="22"/>
        </w:rPr>
        <w:t xml:space="preserve"> pues se ordenó la </w:t>
      </w:r>
      <w:r w:rsidR="004A2088" w:rsidRPr="00ED7F03">
        <w:rPr>
          <w:rFonts w:ascii="Palatino Linotype" w:hAnsi="Palatino Linotype"/>
          <w:color w:val="000000"/>
          <w:sz w:val="22"/>
          <w:szCs w:val="22"/>
          <w:u w:val="single"/>
        </w:rPr>
        <w:t xml:space="preserve">entrega </w:t>
      </w:r>
      <w:r w:rsidR="0029283B">
        <w:rPr>
          <w:rFonts w:ascii="Palatino Linotype" w:hAnsi="Palatino Linotype"/>
          <w:color w:val="000000"/>
          <w:sz w:val="22"/>
          <w:szCs w:val="22"/>
          <w:u w:val="single"/>
        </w:rPr>
        <w:t xml:space="preserve">del </w:t>
      </w:r>
      <w:r w:rsidR="008B6B3C">
        <w:rPr>
          <w:rFonts w:ascii="Palatino Linotype" w:hAnsi="Palatino Linotype"/>
          <w:u w:val="single"/>
        </w:rPr>
        <w:t>d</w:t>
      </w:r>
      <w:r w:rsidR="008B6B3C" w:rsidRPr="008B6B3C">
        <w:rPr>
          <w:rFonts w:ascii="Palatino Linotype" w:hAnsi="Palatino Linotype"/>
          <w:u w:val="single"/>
        </w:rPr>
        <w:t>ocumento donde consten las altas y bajas laborales efectuadas del uno al veinticuatro de octubre de dos mil veintidós</w:t>
      </w:r>
      <w:r w:rsidR="004A2088">
        <w:rPr>
          <w:rFonts w:ascii="Palatino Linotype" w:hAnsi="Palatino Linotype"/>
          <w:color w:val="000000"/>
          <w:sz w:val="22"/>
          <w:szCs w:val="22"/>
        </w:rPr>
        <w:t xml:space="preserve">, </w:t>
      </w:r>
      <w:r w:rsidR="00201C12">
        <w:rPr>
          <w:rFonts w:ascii="Palatino Linotype" w:hAnsi="Palatino Linotype"/>
          <w:color w:val="000000"/>
          <w:sz w:val="22"/>
          <w:szCs w:val="22"/>
        </w:rPr>
        <w:t>de la dirección de</w:t>
      </w:r>
      <w:r w:rsidR="00201C12" w:rsidRPr="00201C12">
        <w:rPr>
          <w:rFonts w:ascii="Palatino Linotype" w:hAnsi="Palatino Linotype"/>
          <w:color w:val="000000"/>
          <w:sz w:val="22"/>
          <w:szCs w:val="22"/>
        </w:rPr>
        <w:t xml:space="preserve"> finanzas</w:t>
      </w:r>
      <w:r w:rsidR="00201C12">
        <w:rPr>
          <w:rFonts w:ascii="Palatino Linotype" w:hAnsi="Palatino Linotype"/>
          <w:color w:val="000000"/>
          <w:sz w:val="22"/>
          <w:szCs w:val="22"/>
        </w:rPr>
        <w:t>,</w:t>
      </w:r>
      <w:r w:rsidR="00201C12" w:rsidRPr="00201C12">
        <w:rPr>
          <w:rFonts w:ascii="Palatino Linotype" w:hAnsi="Palatino Linotype"/>
          <w:color w:val="000000"/>
          <w:sz w:val="22"/>
          <w:szCs w:val="22"/>
        </w:rPr>
        <w:t xml:space="preserve"> seguridad</w:t>
      </w:r>
      <w:r w:rsidR="00201C12">
        <w:rPr>
          <w:rFonts w:ascii="Palatino Linotype" w:hAnsi="Palatino Linotype"/>
          <w:color w:val="000000"/>
          <w:sz w:val="22"/>
          <w:szCs w:val="22"/>
        </w:rPr>
        <w:t xml:space="preserve"> pú</w:t>
      </w:r>
      <w:r w:rsidR="00201C12" w:rsidRPr="00201C12">
        <w:rPr>
          <w:rFonts w:ascii="Palatino Linotype" w:hAnsi="Palatino Linotype"/>
          <w:color w:val="000000"/>
          <w:sz w:val="22"/>
          <w:szCs w:val="22"/>
        </w:rPr>
        <w:t>blica</w:t>
      </w:r>
      <w:r w:rsidR="00201C12">
        <w:rPr>
          <w:rFonts w:ascii="Palatino Linotype" w:hAnsi="Palatino Linotype"/>
          <w:color w:val="000000"/>
          <w:sz w:val="22"/>
          <w:szCs w:val="22"/>
        </w:rPr>
        <w:t>,</w:t>
      </w:r>
      <w:r w:rsidR="00201C12" w:rsidRPr="00201C12">
        <w:rPr>
          <w:rFonts w:ascii="Palatino Linotype" w:hAnsi="Palatino Linotype"/>
          <w:color w:val="000000"/>
          <w:sz w:val="22"/>
          <w:szCs w:val="22"/>
        </w:rPr>
        <w:t xml:space="preserve"> presidencia </w:t>
      </w:r>
      <w:r w:rsidR="00201C12">
        <w:rPr>
          <w:rFonts w:ascii="Palatino Linotype" w:hAnsi="Palatino Linotype"/>
          <w:color w:val="000000"/>
          <w:sz w:val="22"/>
          <w:szCs w:val="22"/>
        </w:rPr>
        <w:t xml:space="preserve">y </w:t>
      </w:r>
      <w:r w:rsidR="00201C12" w:rsidRPr="00201C12">
        <w:rPr>
          <w:rFonts w:ascii="Palatino Linotype" w:hAnsi="Palatino Linotype"/>
          <w:color w:val="000000"/>
          <w:sz w:val="22"/>
          <w:szCs w:val="22"/>
        </w:rPr>
        <w:t>regidurías</w:t>
      </w:r>
      <w:r w:rsidR="002A7903">
        <w:rPr>
          <w:rFonts w:ascii="Palatino Linotype" w:hAnsi="Palatino Linotype"/>
          <w:color w:val="000000"/>
          <w:sz w:val="22"/>
          <w:szCs w:val="22"/>
        </w:rPr>
        <w:t xml:space="preserve">; </w:t>
      </w:r>
      <w:r w:rsidR="00F93CE5">
        <w:rPr>
          <w:rFonts w:ascii="Palatino Linotype" w:hAnsi="Palatino Linotype"/>
          <w:color w:val="000000"/>
          <w:sz w:val="22"/>
          <w:szCs w:val="22"/>
        </w:rPr>
        <w:t xml:space="preserve">documentación </w:t>
      </w:r>
      <w:r w:rsidR="00841EB8">
        <w:rPr>
          <w:rFonts w:ascii="Palatino Linotype" w:hAnsi="Palatino Linotype"/>
          <w:color w:val="000000"/>
          <w:sz w:val="22"/>
          <w:szCs w:val="22"/>
        </w:rPr>
        <w:t xml:space="preserve">con </w:t>
      </w:r>
      <w:r w:rsidR="00F93CE5">
        <w:rPr>
          <w:rFonts w:ascii="Palatino Linotype" w:hAnsi="Palatino Linotype"/>
          <w:color w:val="000000"/>
          <w:sz w:val="22"/>
          <w:szCs w:val="22"/>
        </w:rPr>
        <w:t>la</w:t>
      </w:r>
      <w:r w:rsidR="00841EB8">
        <w:rPr>
          <w:rFonts w:ascii="Palatino Linotype" w:hAnsi="Palatino Linotype"/>
          <w:color w:val="000000"/>
          <w:sz w:val="22"/>
          <w:szCs w:val="22"/>
        </w:rPr>
        <w:t xml:space="preserve"> cual es posible </w:t>
      </w:r>
      <w:r w:rsidRPr="004645A9">
        <w:rPr>
          <w:rFonts w:ascii="Palatino Linotype" w:hAnsi="Palatino Linotype"/>
          <w:color w:val="000000"/>
          <w:sz w:val="22"/>
          <w:szCs w:val="22"/>
        </w:rPr>
        <w:t>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4F5F4C23" w14:textId="77777777" w:rsidR="004645A9" w:rsidRPr="004645A9" w:rsidRDefault="004645A9" w:rsidP="004645A9">
      <w:pPr>
        <w:spacing w:line="360" w:lineRule="auto"/>
        <w:jc w:val="both"/>
        <w:rPr>
          <w:rFonts w:ascii="Palatino Linotype" w:hAnsi="Palatino Linotype"/>
          <w:color w:val="000000"/>
          <w:sz w:val="22"/>
          <w:szCs w:val="22"/>
        </w:rPr>
      </w:pPr>
    </w:p>
    <w:p w14:paraId="15F8BF7F" w14:textId="00FD99BD" w:rsidR="004645A9" w:rsidRDefault="002C68A1" w:rsidP="004645A9">
      <w:pPr>
        <w:spacing w:line="360" w:lineRule="auto"/>
        <w:jc w:val="both"/>
        <w:rPr>
          <w:rFonts w:ascii="Palatino Linotype" w:hAnsi="Palatino Linotype"/>
          <w:color w:val="000000"/>
          <w:sz w:val="22"/>
          <w:szCs w:val="22"/>
        </w:rPr>
      </w:pPr>
      <w:r w:rsidRPr="00F9650F">
        <w:rPr>
          <w:rFonts w:ascii="Palatino Linotype" w:hAnsi="Palatino Linotype"/>
          <w:color w:val="000000"/>
          <w:sz w:val="22"/>
          <w:szCs w:val="22"/>
        </w:rPr>
        <w:t>En ese sentido</w:t>
      </w:r>
      <w:r w:rsidR="004645A9" w:rsidRPr="00F9650F">
        <w:rPr>
          <w:rFonts w:ascii="Palatino Linotype" w:hAnsi="Palatino Linotype"/>
          <w:color w:val="000000"/>
          <w:sz w:val="22"/>
          <w:szCs w:val="22"/>
        </w:rPr>
        <w:t>, dar esa i</w:t>
      </w:r>
      <w:r w:rsidR="004645A9" w:rsidRPr="004645A9">
        <w:rPr>
          <w:rFonts w:ascii="Palatino Linotype" w:hAnsi="Palatino Linotype"/>
          <w:color w:val="000000"/>
          <w:sz w:val="22"/>
          <w:szCs w:val="22"/>
        </w:rPr>
        <w:t xml:space="preserve">nformación puede vulnerar la vida, integridad, seguridad o salud de dichos elementos, incluso la de sus familias o entorno social, aumentando, el riesgo de que personas ajenas a </w:t>
      </w:r>
      <w:r w:rsidR="004645A9" w:rsidRPr="004645A9">
        <w:rPr>
          <w:rFonts w:ascii="Palatino Linotype" w:hAnsi="Palatino Linotype"/>
          <w:color w:val="000000"/>
          <w:sz w:val="22"/>
          <w:szCs w:val="22"/>
        </w:rPr>
        <w:lastRenderedPageBreak/>
        <w:t>los intereses institucionales intenten realizar actos para amenazar, inhibir o extorsionar las funciones de los policías municipales, lo que causaría una vulneración a la Seguridad Municipal.</w:t>
      </w:r>
    </w:p>
    <w:p w14:paraId="1BFF931F" w14:textId="77777777" w:rsidR="00556933" w:rsidRPr="004645A9" w:rsidRDefault="00556933" w:rsidP="004645A9">
      <w:pPr>
        <w:spacing w:line="360" w:lineRule="auto"/>
        <w:jc w:val="both"/>
        <w:rPr>
          <w:rFonts w:ascii="Palatino Linotype" w:hAnsi="Palatino Linotype"/>
          <w:color w:val="000000"/>
          <w:sz w:val="22"/>
          <w:szCs w:val="22"/>
        </w:rPr>
      </w:pPr>
    </w:p>
    <w:p w14:paraId="13818A68" w14:textId="378E5902" w:rsidR="004645A9" w:rsidRPr="00F9650F" w:rsidRDefault="004645A9" w:rsidP="004645A9">
      <w:pPr>
        <w:spacing w:line="360" w:lineRule="auto"/>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Ahora bien, </w:t>
      </w:r>
      <w:r w:rsidR="002E2676">
        <w:rPr>
          <w:rFonts w:ascii="Palatino Linotype" w:hAnsi="Palatino Linotype"/>
          <w:color w:val="000000"/>
          <w:sz w:val="22"/>
          <w:szCs w:val="22"/>
        </w:rPr>
        <w:t>en el caso en concreto solo se reserva lo</w:t>
      </w:r>
      <w:r w:rsidRPr="004645A9">
        <w:rPr>
          <w:rFonts w:ascii="Palatino Linotype" w:hAnsi="Palatino Linotype"/>
          <w:color w:val="000000"/>
          <w:sz w:val="22"/>
          <w:szCs w:val="22"/>
        </w:rPr>
        <w:t xml:space="preserve">s nombres del personal adscrito al área de Seguridad Pública del </w:t>
      </w:r>
      <w:r w:rsidR="00ED7F03" w:rsidRPr="00ED7F03">
        <w:rPr>
          <w:rFonts w:ascii="Palatino Linotype" w:hAnsi="Palatino Linotype"/>
          <w:color w:val="000000"/>
          <w:sz w:val="22"/>
          <w:szCs w:val="22"/>
        </w:rPr>
        <w:t xml:space="preserve">Ayuntamiento de </w:t>
      </w:r>
      <w:r w:rsidR="00201C12" w:rsidRPr="00201C12">
        <w:rPr>
          <w:rFonts w:ascii="Palatino Linotype" w:eastAsia="Calibri" w:hAnsi="Palatino Linotype" w:cs="Arial"/>
          <w:bCs/>
          <w:sz w:val="22"/>
        </w:rPr>
        <w:t>Tenango del Valle</w:t>
      </w:r>
      <w:r w:rsidR="002E2676">
        <w:rPr>
          <w:rFonts w:ascii="Palatino Linotype" w:hAnsi="Palatino Linotype"/>
          <w:color w:val="000000"/>
          <w:sz w:val="22"/>
          <w:szCs w:val="22"/>
        </w:rPr>
        <w:t>,</w:t>
      </w:r>
      <w:r w:rsidR="00F93CE5">
        <w:rPr>
          <w:rFonts w:ascii="Palatino Linotype" w:hAnsi="Palatino Linotype"/>
          <w:color w:val="000000"/>
          <w:sz w:val="22"/>
          <w:szCs w:val="22"/>
        </w:rPr>
        <w:t xml:space="preserve"> por lo que al entregar la documentación solicitada por el ciudadano </w:t>
      </w:r>
      <w:r w:rsidRPr="004645A9">
        <w:rPr>
          <w:rFonts w:ascii="Palatino Linotype" w:hAnsi="Palatino Linotype"/>
          <w:iCs/>
          <w:color w:val="000000"/>
          <w:sz w:val="22"/>
          <w:szCs w:val="22"/>
        </w:rPr>
        <w:t xml:space="preserve">se estaría dando información relativa al estado de fuerza, poniendo en riesgo la operatividad de la misma, ya que, suponiendo sin conceder, la delincuencia podría tomar ventaja con la divulgación de dicha información. </w:t>
      </w:r>
    </w:p>
    <w:p w14:paraId="6BA76FFA" w14:textId="77777777" w:rsidR="004645A9" w:rsidRPr="004645A9" w:rsidRDefault="004645A9" w:rsidP="004645A9">
      <w:pPr>
        <w:spacing w:line="360" w:lineRule="auto"/>
        <w:contextualSpacing/>
        <w:jc w:val="both"/>
        <w:rPr>
          <w:rFonts w:ascii="Palatino Linotype" w:hAnsi="Palatino Linotype"/>
          <w:iCs/>
          <w:color w:val="000000"/>
          <w:sz w:val="22"/>
          <w:szCs w:val="22"/>
        </w:rPr>
      </w:pPr>
    </w:p>
    <w:p w14:paraId="117FC382" w14:textId="77777777" w:rsidR="004645A9" w:rsidRPr="004645A9" w:rsidRDefault="004645A9" w:rsidP="004645A9">
      <w:pPr>
        <w:spacing w:line="360" w:lineRule="auto"/>
        <w:contextualSpacing/>
        <w:jc w:val="both"/>
        <w:rPr>
          <w:rFonts w:ascii="Palatino Linotype" w:hAnsi="Palatino Linotype"/>
          <w:iCs/>
          <w:color w:val="000000"/>
          <w:sz w:val="22"/>
          <w:szCs w:val="22"/>
        </w:rPr>
      </w:pPr>
      <w:r w:rsidRPr="004645A9">
        <w:rPr>
          <w:rFonts w:ascii="Palatino Linotype" w:hAnsi="Palatino Linotype"/>
          <w:iCs/>
          <w:color w:val="000000"/>
          <w:sz w:val="22"/>
          <w:szCs w:val="22"/>
        </w:rPr>
        <w:t xml:space="preserve">Es importante, hacer alusión, además, al artículo 110, de la Ley General Sistema Nacional de Seguridad Pública, el cual establece que se deberá </w:t>
      </w:r>
      <w:r w:rsidRPr="004645A9">
        <w:rPr>
          <w:rFonts w:ascii="Palatino Linotype" w:hAnsi="Palatino Linotype"/>
          <w:b/>
          <w:iCs/>
          <w:color w:val="000000"/>
          <w:sz w:val="22"/>
          <w:szCs w:val="22"/>
          <w:u w:val="single"/>
        </w:rPr>
        <w:t>clasificar como reservada</w:t>
      </w:r>
      <w:r w:rsidRPr="004645A9">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6D7C051A" w14:textId="77777777" w:rsidR="004645A9" w:rsidRPr="004645A9" w:rsidRDefault="004645A9" w:rsidP="004645A9">
      <w:pPr>
        <w:ind w:left="1134" w:right="1467"/>
        <w:jc w:val="both"/>
        <w:rPr>
          <w:rFonts w:ascii="Palatino Linotype" w:hAnsi="Palatino Linotype"/>
          <w:b/>
          <w:i/>
          <w:iCs/>
          <w:color w:val="000000"/>
          <w:sz w:val="22"/>
          <w:szCs w:val="22"/>
        </w:rPr>
      </w:pPr>
    </w:p>
    <w:p w14:paraId="49DC9D19" w14:textId="77777777" w:rsidR="004645A9" w:rsidRPr="004645A9" w:rsidRDefault="004645A9" w:rsidP="004645A9">
      <w:pPr>
        <w:ind w:left="1417" w:right="1468"/>
        <w:jc w:val="both"/>
        <w:rPr>
          <w:rFonts w:ascii="Palatino Linotype" w:hAnsi="Palatino Linotype"/>
          <w:i/>
          <w:iCs/>
          <w:color w:val="000000"/>
          <w:sz w:val="22"/>
          <w:szCs w:val="22"/>
        </w:rPr>
      </w:pPr>
      <w:r w:rsidRPr="004645A9">
        <w:rPr>
          <w:rFonts w:ascii="Palatino Linotype" w:hAnsi="Palatino Linotype"/>
          <w:b/>
          <w:i/>
          <w:iCs/>
          <w:color w:val="000000"/>
          <w:sz w:val="22"/>
          <w:szCs w:val="22"/>
        </w:rPr>
        <w:t>Artículo 110.</w:t>
      </w:r>
      <w:r w:rsidRPr="004645A9">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2F839C3A" w14:textId="77777777" w:rsidR="004645A9" w:rsidRPr="004645A9" w:rsidRDefault="004645A9" w:rsidP="004645A9">
      <w:pPr>
        <w:ind w:left="1417" w:right="1468"/>
        <w:jc w:val="both"/>
        <w:rPr>
          <w:rFonts w:ascii="Palatino Linotype" w:hAnsi="Palatino Linotype"/>
          <w:i/>
          <w:iCs/>
          <w:color w:val="000000"/>
          <w:sz w:val="22"/>
          <w:szCs w:val="22"/>
        </w:rPr>
      </w:pPr>
    </w:p>
    <w:p w14:paraId="670D363C" w14:textId="77777777" w:rsidR="004645A9" w:rsidRPr="004645A9" w:rsidRDefault="004645A9" w:rsidP="004645A9">
      <w:pPr>
        <w:ind w:left="1417" w:right="1468"/>
        <w:jc w:val="both"/>
        <w:rPr>
          <w:rFonts w:ascii="Palatino Linotype" w:hAnsi="Palatino Linotype"/>
          <w:b/>
          <w:i/>
          <w:iCs/>
          <w:color w:val="000000"/>
          <w:sz w:val="22"/>
          <w:szCs w:val="22"/>
        </w:rPr>
      </w:pPr>
      <w:r w:rsidRPr="004645A9">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645A9">
        <w:rPr>
          <w:rFonts w:ascii="Palatino Linotype" w:hAnsi="Palatino Linotype"/>
          <w:b/>
          <w:i/>
          <w:iCs/>
          <w:color w:val="000000"/>
          <w:sz w:val="22"/>
          <w:szCs w:val="22"/>
        </w:rPr>
        <w:t xml:space="preserve">[cuya consulta es exclusiva de las instituciones de Seguridad Pública que estén facultadas en cada caso, a través de los servidores públicos que cada institución </w:t>
      </w:r>
      <w:r w:rsidRPr="004645A9">
        <w:rPr>
          <w:rFonts w:ascii="Palatino Linotype" w:hAnsi="Palatino Linotype"/>
          <w:b/>
          <w:i/>
          <w:iCs/>
          <w:color w:val="000000"/>
          <w:sz w:val="22"/>
          <w:szCs w:val="22"/>
        </w:rPr>
        <w:lastRenderedPageBreak/>
        <w:t>designe, por lo que el público no tendrá acceso a la información que en ellos se contenga].</w:t>
      </w:r>
    </w:p>
    <w:p w14:paraId="00E67B7C" w14:textId="77777777" w:rsidR="004645A9" w:rsidRPr="004645A9" w:rsidRDefault="004645A9" w:rsidP="004645A9">
      <w:pPr>
        <w:ind w:left="1134" w:right="1467"/>
        <w:jc w:val="both"/>
        <w:rPr>
          <w:rFonts w:ascii="Palatino Linotype" w:hAnsi="Palatino Linotype"/>
          <w:b/>
          <w:i/>
          <w:iCs/>
          <w:color w:val="000000"/>
          <w:sz w:val="22"/>
          <w:szCs w:val="22"/>
        </w:rPr>
      </w:pPr>
    </w:p>
    <w:p w14:paraId="251BF5CD" w14:textId="77777777" w:rsidR="004645A9" w:rsidRPr="004645A9" w:rsidRDefault="004645A9" w:rsidP="00556933">
      <w:pPr>
        <w:spacing w:line="360" w:lineRule="auto"/>
        <w:jc w:val="both"/>
        <w:rPr>
          <w:rFonts w:ascii="Palatino Linotype" w:hAnsi="Palatino Linotype"/>
          <w:color w:val="000000"/>
          <w:sz w:val="22"/>
          <w:szCs w:val="22"/>
        </w:rPr>
      </w:pPr>
      <w:r w:rsidRPr="004645A9">
        <w:rPr>
          <w:rFonts w:ascii="Palatino Linotype" w:hAnsi="Palatino Linotype"/>
          <w:color w:val="000000"/>
          <w:sz w:val="22"/>
          <w:szCs w:val="22"/>
        </w:rPr>
        <w:t>Criterio que armoniza con el numeral 113 de la Ley General de Transparencia en sus fracciones I y V, las cuales señalan:</w:t>
      </w:r>
    </w:p>
    <w:p w14:paraId="3CB18454" w14:textId="77777777" w:rsidR="004645A9" w:rsidRPr="004645A9" w:rsidRDefault="004645A9" w:rsidP="004645A9">
      <w:pPr>
        <w:spacing w:line="360" w:lineRule="auto"/>
        <w:jc w:val="both"/>
        <w:rPr>
          <w:rFonts w:ascii="Palatino Linotype" w:hAnsi="Palatino Linotype"/>
          <w:color w:val="000000"/>
          <w:sz w:val="22"/>
          <w:szCs w:val="22"/>
        </w:rPr>
      </w:pPr>
    </w:p>
    <w:p w14:paraId="012E5B1B" w14:textId="77777777" w:rsidR="004645A9" w:rsidRPr="004645A9" w:rsidRDefault="004645A9" w:rsidP="004645A9">
      <w:pPr>
        <w:ind w:left="1417" w:right="1468"/>
        <w:jc w:val="both"/>
        <w:rPr>
          <w:rFonts w:ascii="Palatino Linotype" w:hAnsi="Palatino Linotype" w:cs="Arial"/>
          <w:i/>
          <w:color w:val="000000"/>
          <w:sz w:val="22"/>
          <w:szCs w:val="22"/>
          <w:lang w:val="es-MX" w:eastAsia="es-MX"/>
        </w:rPr>
      </w:pPr>
      <w:r w:rsidRPr="004645A9">
        <w:rPr>
          <w:rFonts w:ascii="Palatino Linotype" w:hAnsi="Palatino Linotype" w:cs="Arial"/>
          <w:i/>
          <w:color w:val="000000"/>
          <w:sz w:val="22"/>
          <w:szCs w:val="22"/>
          <w:lang w:val="es-MX" w:eastAsia="es-MX"/>
        </w:rPr>
        <w:t>“La información reservada podrá clasificarse aquella cuya publicación: </w:t>
      </w:r>
    </w:p>
    <w:p w14:paraId="6A69C8AA" w14:textId="77777777" w:rsidR="004645A9" w:rsidRPr="004645A9" w:rsidRDefault="004645A9" w:rsidP="004645A9">
      <w:pPr>
        <w:ind w:left="1417" w:right="1468"/>
        <w:jc w:val="both"/>
        <w:rPr>
          <w:rFonts w:ascii="Palatino Linotype" w:hAnsi="Palatino Linotype" w:cs="Arial"/>
          <w:i/>
          <w:color w:val="000000"/>
          <w:sz w:val="22"/>
          <w:szCs w:val="22"/>
          <w:lang w:val="es-MX" w:eastAsia="es-MX"/>
        </w:rPr>
      </w:pPr>
      <w:r w:rsidRPr="004645A9">
        <w:rPr>
          <w:rFonts w:ascii="Palatino Linotype" w:hAnsi="Palatino Linotype"/>
          <w:i/>
          <w:sz w:val="22"/>
          <w:szCs w:val="22"/>
          <w:lang w:val="es-MX" w:eastAsia="es-MX"/>
        </w:rPr>
        <w:br/>
      </w:r>
      <w:r w:rsidRPr="004645A9">
        <w:rPr>
          <w:rFonts w:ascii="Palatino Linotype" w:hAnsi="Palatino Linotype" w:cs="Arial"/>
          <w:b/>
          <w:i/>
          <w:color w:val="000000"/>
          <w:sz w:val="22"/>
          <w:szCs w:val="22"/>
          <w:lang w:val="es-MX" w:eastAsia="es-MX"/>
        </w:rPr>
        <w:t>I.</w:t>
      </w:r>
      <w:r w:rsidRPr="004645A9">
        <w:rPr>
          <w:rFonts w:ascii="Palatino Linotype" w:hAnsi="Palatino Linotype" w:cs="Arial"/>
          <w:i/>
          <w:color w:val="000000"/>
          <w:sz w:val="22"/>
          <w:szCs w:val="22"/>
          <w:lang w:val="es-MX" w:eastAsia="es-MX"/>
        </w:rPr>
        <w:t xml:space="preserve"> Comprometa la </w:t>
      </w:r>
      <w:r w:rsidRPr="004645A9">
        <w:rPr>
          <w:rFonts w:ascii="Palatino Linotype" w:hAnsi="Palatino Linotype" w:cs="Arial"/>
          <w:b/>
          <w:bCs/>
          <w:i/>
          <w:color w:val="000000"/>
          <w:sz w:val="22"/>
          <w:szCs w:val="22"/>
          <w:u w:val="single"/>
          <w:lang w:val="es-MX" w:eastAsia="es-MX"/>
        </w:rPr>
        <w:t>Seguridad Nacional, la Seguridad Pública</w:t>
      </w:r>
      <w:r w:rsidRPr="004645A9">
        <w:rPr>
          <w:rFonts w:ascii="Palatino Linotype" w:hAnsi="Palatino Linotype" w:cs="Arial"/>
          <w:i/>
          <w:color w:val="000000"/>
          <w:sz w:val="22"/>
          <w:szCs w:val="22"/>
          <w:lang w:val="es-MX" w:eastAsia="es-MX"/>
        </w:rPr>
        <w:t xml:space="preserve"> con la defensa Nacional…</w:t>
      </w:r>
    </w:p>
    <w:p w14:paraId="774401E4" w14:textId="77777777" w:rsidR="004645A9" w:rsidRPr="004645A9" w:rsidRDefault="004645A9" w:rsidP="004645A9">
      <w:pPr>
        <w:ind w:left="1417" w:right="1468"/>
        <w:jc w:val="both"/>
        <w:textAlignment w:val="baseline"/>
        <w:rPr>
          <w:rFonts w:ascii="Palatino Linotype" w:hAnsi="Palatino Linotype" w:cs="Arial"/>
          <w:b/>
          <w:i/>
          <w:color w:val="000000"/>
          <w:sz w:val="22"/>
          <w:szCs w:val="22"/>
          <w:lang w:val="es-MX" w:eastAsia="es-MX"/>
        </w:rPr>
      </w:pPr>
      <w:r w:rsidRPr="004645A9">
        <w:rPr>
          <w:rFonts w:ascii="Palatino Linotype" w:hAnsi="Palatino Linotype" w:cs="Arial"/>
          <w:b/>
          <w:i/>
          <w:color w:val="000000"/>
          <w:sz w:val="22"/>
          <w:szCs w:val="22"/>
          <w:lang w:val="es-MX" w:eastAsia="es-MX"/>
        </w:rPr>
        <w:t xml:space="preserve">V. Pueda poner en riesgo la vida, seguridad o salud de una persona física.” </w:t>
      </w:r>
    </w:p>
    <w:p w14:paraId="07096EDC" w14:textId="77777777" w:rsidR="004645A9" w:rsidRPr="004645A9" w:rsidRDefault="004645A9" w:rsidP="004645A9">
      <w:pPr>
        <w:ind w:left="1417" w:right="1468"/>
        <w:jc w:val="both"/>
        <w:textAlignment w:val="baseline"/>
        <w:rPr>
          <w:rFonts w:ascii="Palatino Linotype" w:hAnsi="Palatino Linotype" w:cs="Arial"/>
          <w:b/>
          <w:i/>
          <w:color w:val="000000"/>
          <w:sz w:val="22"/>
          <w:szCs w:val="22"/>
          <w:lang w:val="es-MX" w:eastAsia="es-MX"/>
        </w:rPr>
      </w:pPr>
    </w:p>
    <w:p w14:paraId="0FEE981C" w14:textId="77777777" w:rsidR="004645A9" w:rsidRPr="004645A9" w:rsidRDefault="004645A9" w:rsidP="004645A9">
      <w:pPr>
        <w:ind w:left="708" w:right="1752"/>
        <w:jc w:val="both"/>
        <w:textAlignment w:val="baseline"/>
        <w:rPr>
          <w:rFonts w:ascii="Palatino Linotype" w:hAnsi="Palatino Linotype" w:cs="Arial"/>
          <w:b/>
          <w:i/>
          <w:color w:val="000000"/>
          <w:sz w:val="22"/>
          <w:szCs w:val="22"/>
          <w:lang w:val="es-MX" w:eastAsia="es-MX"/>
        </w:rPr>
      </w:pPr>
    </w:p>
    <w:p w14:paraId="4F4E27C3" w14:textId="1B4D41C9"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En ese tenor, la suscrita considera que, para proteger cabalmente a los elementos sustantivos/operativos de dicha área, no solo deben resguardarse los datos relativos a sus nombres, sino también sus </w:t>
      </w:r>
      <w:r w:rsidRPr="004645A9">
        <w:rPr>
          <w:rFonts w:ascii="Palatino Linotype" w:hAnsi="Palatino Linotype"/>
          <w:b/>
          <w:color w:val="000000"/>
          <w:sz w:val="22"/>
          <w:szCs w:val="22"/>
          <w:u w:val="single"/>
        </w:rPr>
        <w:t>cargos y adscripciones</w:t>
      </w:r>
      <w:r w:rsidRPr="004645A9">
        <w:rPr>
          <w:rFonts w:ascii="Palatino Linotype" w:hAnsi="Palatino Linotype"/>
          <w:color w:val="000000"/>
          <w:sz w:val="22"/>
          <w:szCs w:val="22"/>
        </w:rPr>
        <w:t>, toda vez que se trata de personal sustantivo/operativo cuyas funciones van encaminadas a resguardar la Seguridad Pública.</w:t>
      </w:r>
    </w:p>
    <w:p w14:paraId="04584986"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4A093973" w14:textId="5B87E329"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Es por ello, que como lo he señalado en anteriores votos </w:t>
      </w:r>
      <w:r w:rsidR="00556933">
        <w:rPr>
          <w:rFonts w:ascii="Palatino Linotype" w:hAnsi="Palatino Linotype"/>
          <w:color w:val="000000"/>
          <w:sz w:val="22"/>
          <w:szCs w:val="22"/>
        </w:rPr>
        <w:t>disidentes</w:t>
      </w:r>
      <w:r w:rsidRPr="004645A9">
        <w:rPr>
          <w:rFonts w:ascii="Palatino Linotype" w:hAnsi="Palatino Linotype"/>
          <w:color w:val="000000"/>
          <w:sz w:val="22"/>
          <w:szCs w:val="22"/>
        </w:rPr>
        <w:t xml:space="preserve"> y que la misma Ley de Transparencia y Acceso a la Información Pública del Estado de México y Municipios, contempla la excepción particular en el caso de </w:t>
      </w:r>
      <w:r w:rsidRPr="004645A9">
        <w:rPr>
          <w:rFonts w:ascii="Palatino Linotype" w:hAnsi="Palatino Linotype"/>
          <w:b/>
          <w:i/>
          <w:color w:val="000000"/>
          <w:sz w:val="22"/>
          <w:szCs w:val="22"/>
        </w:rPr>
        <w:t>Seguridad Pública</w:t>
      </w:r>
      <w:r w:rsidRPr="004645A9">
        <w:rPr>
          <w:rFonts w:ascii="Palatino Linotype" w:hAnsi="Palatino Linotype"/>
          <w:color w:val="000000"/>
          <w:sz w:val="22"/>
          <w:szCs w:val="22"/>
        </w:rPr>
        <w:t xml:space="preserve"> y dado que estos elementos pertenecen a ese rubro, y son parte fundamental para el debido ejercicio de las obligaciones del Estado en cualquiera de sus tres niveles de gobierno, es importante reservar dicha información.</w:t>
      </w:r>
    </w:p>
    <w:p w14:paraId="5EEDCB37"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6399E009"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w:t>
      </w:r>
      <w:r w:rsidRPr="004645A9">
        <w:rPr>
          <w:rFonts w:ascii="Palatino Linotype" w:hAnsi="Palatino Linotype"/>
          <w:color w:val="000000"/>
          <w:sz w:val="22"/>
          <w:szCs w:val="22"/>
        </w:rPr>
        <w:lastRenderedPageBreak/>
        <w:t xml:space="preserve">que cuenta con el siguiente rubro: </w:t>
      </w:r>
      <w:r w:rsidRPr="004645A9">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4645A9">
        <w:rPr>
          <w:rFonts w:ascii="Palatino Linotype" w:hAnsi="Palatino Linotype"/>
          <w:color w:val="000000"/>
          <w:sz w:val="22"/>
          <w:szCs w:val="22"/>
        </w:rPr>
        <w:t xml:space="preserve">, la cual señala: </w:t>
      </w:r>
    </w:p>
    <w:p w14:paraId="2134980E"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79BA224E" w14:textId="77777777" w:rsidR="004645A9" w:rsidRPr="004645A9" w:rsidRDefault="004645A9" w:rsidP="004645A9">
      <w:pPr>
        <w:autoSpaceDE w:val="0"/>
        <w:autoSpaceDN w:val="0"/>
        <w:adjustRightInd w:val="0"/>
        <w:ind w:left="1417" w:right="1468"/>
        <w:contextualSpacing/>
        <w:jc w:val="both"/>
        <w:rPr>
          <w:rFonts w:ascii="Palatino Linotype" w:hAnsi="Palatino Linotype"/>
          <w:color w:val="000000"/>
          <w:sz w:val="22"/>
          <w:szCs w:val="22"/>
        </w:rPr>
      </w:pPr>
      <w:r w:rsidRPr="004645A9">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645A9">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645A9">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645A9">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645A9">
        <w:rPr>
          <w:rFonts w:ascii="Palatino Linotype" w:hAnsi="Palatino Linotype"/>
          <w:color w:val="000000"/>
          <w:sz w:val="22"/>
          <w:szCs w:val="22"/>
        </w:rPr>
        <w:t>.”</w:t>
      </w:r>
    </w:p>
    <w:p w14:paraId="74C306A4" w14:textId="7B0F8031" w:rsidR="004645A9" w:rsidRPr="004645A9" w:rsidRDefault="004645A9" w:rsidP="004645A9">
      <w:pPr>
        <w:autoSpaceDE w:val="0"/>
        <w:autoSpaceDN w:val="0"/>
        <w:adjustRightInd w:val="0"/>
        <w:ind w:left="1417" w:right="1467"/>
        <w:contextualSpacing/>
        <w:jc w:val="both"/>
        <w:rPr>
          <w:rFonts w:ascii="Palatino Linotype" w:hAnsi="Palatino Linotype"/>
          <w:color w:val="000000"/>
          <w:sz w:val="22"/>
          <w:szCs w:val="22"/>
        </w:rPr>
      </w:pPr>
      <w:r w:rsidRPr="004645A9">
        <w:rPr>
          <w:rFonts w:ascii="Palatino Linotype" w:hAnsi="Palatino Linotype"/>
          <w:i/>
          <w:color w:val="000000"/>
          <w:sz w:val="22"/>
          <w:szCs w:val="22"/>
        </w:rPr>
        <w:t>(Énfasis añadido)</w:t>
      </w:r>
      <w:r w:rsidR="00D46CB4">
        <w:rPr>
          <w:rFonts w:ascii="Palatino Linotype" w:hAnsi="Palatino Linotype"/>
          <w:i/>
          <w:color w:val="000000"/>
          <w:sz w:val="22"/>
          <w:szCs w:val="22"/>
        </w:rPr>
        <w:t>.</w:t>
      </w:r>
    </w:p>
    <w:p w14:paraId="78E2A89A"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2A6B12DC" w14:textId="756F7578"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En atención </w:t>
      </w:r>
      <w:r w:rsidR="00ED3D05">
        <w:rPr>
          <w:rFonts w:ascii="Palatino Linotype" w:hAnsi="Palatino Linotype"/>
          <w:color w:val="000000"/>
          <w:sz w:val="22"/>
          <w:szCs w:val="22"/>
        </w:rPr>
        <w:t xml:space="preserve">a lo antes </w:t>
      </w:r>
      <w:r w:rsidRPr="004645A9">
        <w:rPr>
          <w:rFonts w:ascii="Palatino Linotype" w:hAnsi="Palatino Linotype"/>
          <w:color w:val="000000"/>
          <w:sz w:val="22"/>
          <w:szCs w:val="22"/>
        </w:rPr>
        <w:t>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68BF3F96"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0BF74A24"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s="Arial"/>
          <w:sz w:val="22"/>
          <w:szCs w:val="22"/>
        </w:rPr>
      </w:pPr>
      <w:r w:rsidRPr="004645A9">
        <w:rPr>
          <w:rFonts w:ascii="Palatino Linotype" w:hAnsi="Palatino Linotype"/>
          <w:color w:val="000000"/>
          <w:sz w:val="22"/>
          <w:szCs w:val="22"/>
        </w:rPr>
        <w:t xml:space="preserve">Criterio que el Máximo Tribunal de Justicia de este país reiteró el doce de mayo del presente año, dentro de la </w:t>
      </w:r>
      <w:r w:rsidRPr="004645A9">
        <w:rPr>
          <w:rFonts w:ascii="Palatino Linotype" w:hAnsi="Palatino Linotype" w:cs="Arial"/>
          <w:sz w:val="22"/>
          <w:szCs w:val="22"/>
        </w:rPr>
        <w:t xml:space="preserve">Controversia Constitucional 325/2019. </w:t>
      </w:r>
    </w:p>
    <w:p w14:paraId="28E40917"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4F3D922B" w14:textId="406EB073"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r w:rsidRPr="004645A9">
        <w:rPr>
          <w:rFonts w:ascii="Palatino Linotype" w:hAnsi="Palatino Linotype"/>
          <w:color w:val="000000"/>
          <w:sz w:val="22"/>
          <w:szCs w:val="22"/>
        </w:rPr>
        <w:lastRenderedPageBreak/>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w:t>
      </w:r>
      <w:r w:rsidR="00ED7F03" w:rsidRPr="00ED7F03">
        <w:rPr>
          <w:rFonts w:ascii="Palatino Linotype" w:hAnsi="Palatino Linotype"/>
          <w:color w:val="000000"/>
          <w:sz w:val="22"/>
          <w:szCs w:val="22"/>
        </w:rPr>
        <w:t xml:space="preserve">Ayuntamiento de </w:t>
      </w:r>
      <w:r w:rsidR="00201C12" w:rsidRPr="00201C12">
        <w:rPr>
          <w:rFonts w:ascii="Palatino Linotype" w:eastAsia="Calibri" w:hAnsi="Palatino Linotype" w:cs="Arial"/>
          <w:bCs/>
          <w:sz w:val="22"/>
        </w:rPr>
        <w:t>Tenango del Valle</w:t>
      </w:r>
      <w:r w:rsidRPr="004645A9">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81D5B29"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p>
    <w:p w14:paraId="693ED7B5"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r w:rsidRPr="004645A9">
        <w:rPr>
          <w:rFonts w:ascii="Palatino Linotype" w:hAnsi="Palatino Linotype"/>
          <w:color w:val="000000"/>
          <w:sz w:val="22"/>
          <w:szCs w:val="22"/>
        </w:rPr>
        <w:t>En ese sentido, si bien, el cargo y las áreas de adscripción de mandos medios en adelante, deben ser de conocimiento público, también lo es, que existen salvedades previstas en la norma, como el caso del personal de seguridad pública.</w:t>
      </w:r>
    </w:p>
    <w:p w14:paraId="2AE63437"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p>
    <w:p w14:paraId="5C6DE650" w14:textId="5415D76C" w:rsidR="004645A9" w:rsidRPr="004645A9" w:rsidRDefault="004645A9" w:rsidP="004645A9">
      <w:pPr>
        <w:spacing w:line="360" w:lineRule="auto"/>
        <w:jc w:val="both"/>
        <w:rPr>
          <w:rFonts w:ascii="Palatino Linotype" w:hAnsi="Palatino Linotype" w:cs="Arial"/>
          <w:sz w:val="22"/>
          <w:szCs w:val="22"/>
        </w:rPr>
      </w:pPr>
      <w:r w:rsidRPr="004645A9">
        <w:rPr>
          <w:rFonts w:ascii="Palatino Linotype" w:hAnsi="Palatino Linotype" w:cs="Arial"/>
          <w:sz w:val="22"/>
          <w:szCs w:val="22"/>
          <w:lang w:val="es-MX"/>
        </w:rPr>
        <w:t xml:space="preserve">De lo anteriormente expuesto emito </w:t>
      </w:r>
      <w:r w:rsidRPr="004645A9">
        <w:rPr>
          <w:rFonts w:ascii="Palatino Linotype" w:hAnsi="Palatino Linotype" w:cs="Arial"/>
          <w:b/>
          <w:sz w:val="22"/>
          <w:szCs w:val="22"/>
        </w:rPr>
        <w:t xml:space="preserve">VOTO DISIDENTE, </w:t>
      </w:r>
      <w:r w:rsidRPr="004645A9">
        <w:rPr>
          <w:rFonts w:ascii="Palatino Linotype" w:hAnsi="Palatino Linotype" w:cs="Arial"/>
          <w:sz w:val="22"/>
          <w:szCs w:val="22"/>
        </w:rPr>
        <w:t xml:space="preserve">pues se debió privilegiar la </w:t>
      </w:r>
      <w:r w:rsidRPr="004645A9">
        <w:rPr>
          <w:rFonts w:ascii="Palatino Linotype" w:hAnsi="Palatino Linotype" w:cs="Arial"/>
          <w:b/>
          <w:sz w:val="22"/>
          <w:szCs w:val="22"/>
          <w:u w:val="single"/>
        </w:rPr>
        <w:t xml:space="preserve">reserva de los datos relativos al </w:t>
      </w:r>
      <w:r w:rsidRPr="004645A9">
        <w:rPr>
          <w:rFonts w:ascii="Palatino Linotype" w:hAnsi="Palatino Linotype"/>
          <w:b/>
          <w:color w:val="000000"/>
          <w:sz w:val="22"/>
          <w:szCs w:val="22"/>
          <w:u w:val="single"/>
        </w:rPr>
        <w:t>cargo y área de adscripción del personal de Seguridad Pública</w:t>
      </w:r>
      <w:r w:rsidRPr="004645A9">
        <w:rPr>
          <w:rFonts w:ascii="Palatino Linotype" w:hAnsi="Palatino Linotype"/>
          <w:color w:val="000000"/>
          <w:sz w:val="22"/>
          <w:szCs w:val="22"/>
        </w:rPr>
        <w:t xml:space="preserve"> </w:t>
      </w:r>
      <w:r w:rsidRPr="005270FE">
        <w:rPr>
          <w:rFonts w:ascii="Palatino Linotype" w:hAnsi="Palatino Linotype"/>
          <w:b/>
          <w:color w:val="000000"/>
          <w:sz w:val="22"/>
          <w:szCs w:val="22"/>
          <w:u w:val="single"/>
        </w:rPr>
        <w:t xml:space="preserve">del </w:t>
      </w:r>
      <w:r w:rsidR="00ED7F03" w:rsidRPr="005270FE">
        <w:rPr>
          <w:rFonts w:ascii="Palatino Linotype" w:hAnsi="Palatino Linotype"/>
          <w:b/>
          <w:color w:val="000000"/>
          <w:sz w:val="22"/>
          <w:szCs w:val="22"/>
          <w:u w:val="single"/>
        </w:rPr>
        <w:t xml:space="preserve">Ayuntamiento de </w:t>
      </w:r>
      <w:r w:rsidR="00201C12" w:rsidRPr="00201C12">
        <w:rPr>
          <w:rFonts w:ascii="Palatino Linotype" w:hAnsi="Palatino Linotype"/>
          <w:b/>
          <w:color w:val="000000"/>
          <w:sz w:val="22"/>
          <w:szCs w:val="22"/>
          <w:u w:val="single"/>
        </w:rPr>
        <w:t>Tenango del Valle</w:t>
      </w:r>
      <w:r w:rsidRPr="005270FE">
        <w:rPr>
          <w:rFonts w:ascii="Palatino Linotype" w:hAnsi="Palatino Linotype"/>
          <w:b/>
          <w:color w:val="000000"/>
          <w:sz w:val="22"/>
          <w:szCs w:val="22"/>
          <w:u w:val="single"/>
        </w:rPr>
        <w:t>,</w:t>
      </w:r>
      <w:r w:rsidRPr="004645A9">
        <w:rPr>
          <w:rFonts w:ascii="Palatino Linotype" w:hAnsi="Palatino Linotype"/>
          <w:color w:val="000000"/>
          <w:sz w:val="22"/>
          <w:szCs w:val="22"/>
        </w:rPr>
        <w:t xml:space="preserve"> </w:t>
      </w:r>
      <w:r w:rsidRPr="004645A9">
        <w:rPr>
          <w:rFonts w:ascii="Palatino Linotype" w:hAnsi="Palatino Linotype" w:cs="Arial"/>
          <w:sz w:val="22"/>
          <w:szCs w:val="22"/>
        </w:rPr>
        <w:t>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p w14:paraId="2D5F9DD0" w14:textId="77777777" w:rsidR="008D2E26" w:rsidRPr="004645A9" w:rsidRDefault="008D2E26" w:rsidP="008D2E26">
      <w:pPr>
        <w:spacing w:line="360" w:lineRule="auto"/>
        <w:jc w:val="both"/>
        <w:rPr>
          <w:rFonts w:ascii="Palatino Linotype" w:hAnsi="Palatino Linotype" w:cs="Arial"/>
          <w:sz w:val="22"/>
          <w:szCs w:val="22"/>
        </w:rPr>
      </w:pPr>
    </w:p>
    <w:p w14:paraId="3EA78826" w14:textId="24CCDB02" w:rsidR="00C433DD" w:rsidRPr="00D46CB4" w:rsidRDefault="00C433DD" w:rsidP="00C433DD">
      <w:pPr>
        <w:spacing w:line="360" w:lineRule="auto"/>
        <w:jc w:val="both"/>
        <w:rPr>
          <w:rFonts w:ascii="Palatino Linotype" w:eastAsia="Calibri" w:hAnsi="Palatino Linotype" w:cs="Arial"/>
          <w:color w:val="000000" w:themeColor="text1"/>
          <w:sz w:val="18"/>
          <w:szCs w:val="22"/>
        </w:rPr>
      </w:pPr>
      <w:r w:rsidRPr="00D46CB4">
        <w:rPr>
          <w:rFonts w:ascii="Palatino Linotype" w:eastAsia="Calibri" w:hAnsi="Palatino Linotype" w:cs="Arial"/>
          <w:color w:val="000000" w:themeColor="text1"/>
          <w:sz w:val="18"/>
          <w:szCs w:val="22"/>
        </w:rPr>
        <w:t>SCMM/BLA/DEMF/</w:t>
      </w:r>
      <w:r w:rsidR="00610FD4" w:rsidRPr="00D46CB4">
        <w:rPr>
          <w:rFonts w:ascii="Palatino Linotype" w:eastAsia="Calibri" w:hAnsi="Palatino Linotype" w:cs="Arial"/>
          <w:color w:val="000000" w:themeColor="text1"/>
          <w:sz w:val="18"/>
          <w:szCs w:val="22"/>
        </w:rPr>
        <w:t>DLM</w:t>
      </w:r>
    </w:p>
    <w:p w14:paraId="4835EE2F" w14:textId="77777777" w:rsidR="008D2E26" w:rsidRPr="0056567F" w:rsidRDefault="008D2E26" w:rsidP="008D2E26">
      <w:pPr>
        <w:spacing w:line="360" w:lineRule="auto"/>
        <w:jc w:val="both"/>
        <w:rPr>
          <w:rFonts w:ascii="Palatino Linotype" w:hAnsi="Palatino Linotype" w:cs="Arial"/>
          <w:sz w:val="20"/>
          <w:szCs w:val="20"/>
        </w:rPr>
      </w:pPr>
    </w:p>
    <w:tbl>
      <w:tblPr>
        <w:tblW w:w="5529" w:type="dxa"/>
        <w:jc w:val="center"/>
        <w:tblLayout w:type="fixed"/>
        <w:tblLook w:val="04A0" w:firstRow="1" w:lastRow="0" w:firstColumn="1" w:lastColumn="0" w:noHBand="0" w:noVBand="1"/>
      </w:tblPr>
      <w:tblGrid>
        <w:gridCol w:w="5529"/>
      </w:tblGrid>
      <w:tr w:rsidR="008D2E26" w:rsidRPr="007B0C01" w14:paraId="5A77C145" w14:textId="77777777" w:rsidTr="00137015">
        <w:trPr>
          <w:jc w:val="center"/>
        </w:trPr>
        <w:tc>
          <w:tcPr>
            <w:tcW w:w="5529" w:type="dxa"/>
          </w:tcPr>
          <w:p w14:paraId="336E7D09" w14:textId="77777777" w:rsidR="004645A9" w:rsidRPr="004E2338" w:rsidRDefault="004645A9" w:rsidP="004645A9">
            <w:pPr>
              <w:spacing w:line="360" w:lineRule="auto"/>
              <w:jc w:val="both"/>
              <w:rPr>
                <w:rFonts w:ascii="Palatino Linotype" w:hAnsi="Palatino Linotype" w:cs="Arial"/>
                <w:sz w:val="20"/>
                <w:szCs w:val="20"/>
              </w:rPr>
            </w:pPr>
          </w:p>
          <w:tbl>
            <w:tblPr>
              <w:tblW w:w="5529" w:type="dxa"/>
              <w:jc w:val="center"/>
              <w:tblLayout w:type="fixed"/>
              <w:tblLook w:val="04A0" w:firstRow="1" w:lastRow="0" w:firstColumn="1" w:lastColumn="0" w:noHBand="0" w:noVBand="1"/>
            </w:tblPr>
            <w:tblGrid>
              <w:gridCol w:w="5529"/>
            </w:tblGrid>
            <w:tr w:rsidR="004645A9" w:rsidRPr="007B0C01" w14:paraId="079DF1D4" w14:textId="77777777" w:rsidTr="000728D3">
              <w:trPr>
                <w:jc w:val="center"/>
              </w:trPr>
              <w:tc>
                <w:tcPr>
                  <w:tcW w:w="5529" w:type="dxa"/>
                </w:tcPr>
                <w:p w14:paraId="30BF8DF3" w14:textId="77777777" w:rsidR="004645A9" w:rsidRPr="004E2338" w:rsidRDefault="004645A9" w:rsidP="004645A9">
                  <w:pPr>
                    <w:jc w:val="center"/>
                    <w:rPr>
                      <w:rFonts w:ascii="Palatino Linotype" w:hAnsi="Palatino Linotype"/>
                      <w:b/>
                      <w:i/>
                      <w:sz w:val="22"/>
                      <w:szCs w:val="22"/>
                    </w:rPr>
                  </w:pPr>
                  <w:r w:rsidRPr="004E2338">
                    <w:rPr>
                      <w:rFonts w:ascii="Palatino Linotype" w:hAnsi="Palatino Linotype"/>
                      <w:b/>
                      <w:sz w:val="22"/>
                      <w:szCs w:val="22"/>
                    </w:rPr>
                    <w:t xml:space="preserve">SHARON CRISTINA MORALES MARTÍNEZ </w:t>
                  </w:r>
                </w:p>
                <w:p w14:paraId="3FB56849" w14:textId="77777777" w:rsidR="004645A9" w:rsidRPr="007B0C01" w:rsidRDefault="004645A9" w:rsidP="004645A9">
                  <w:pPr>
                    <w:jc w:val="center"/>
                    <w:rPr>
                      <w:rFonts w:ascii="Palatino Linotype" w:hAnsi="Palatino Linotype"/>
                      <w:b/>
                      <w:sz w:val="20"/>
                      <w:szCs w:val="20"/>
                    </w:rPr>
                  </w:pPr>
                  <w:r w:rsidRPr="004E2338">
                    <w:rPr>
                      <w:rFonts w:ascii="Palatino Linotype" w:hAnsi="Palatino Linotype"/>
                      <w:b/>
                      <w:sz w:val="22"/>
                      <w:szCs w:val="22"/>
                    </w:rPr>
                    <w:t>COMISIONADA</w:t>
                  </w:r>
                </w:p>
                <w:p w14:paraId="2D6E9D86" w14:textId="77777777" w:rsidR="004645A9" w:rsidRPr="007B0C01" w:rsidRDefault="004645A9" w:rsidP="004645A9">
                  <w:pPr>
                    <w:spacing w:line="360" w:lineRule="auto"/>
                    <w:jc w:val="center"/>
                    <w:rPr>
                      <w:rFonts w:ascii="Palatino Linotype" w:hAnsi="Palatino Linotype"/>
                      <w:b/>
                      <w:sz w:val="20"/>
                      <w:szCs w:val="20"/>
                    </w:rPr>
                  </w:pPr>
                </w:p>
              </w:tc>
            </w:tr>
          </w:tbl>
          <w:p w14:paraId="787B09C2" w14:textId="4DDBF5DD" w:rsidR="008D2E26" w:rsidRPr="007B0C01" w:rsidRDefault="008D2E26" w:rsidP="00137015">
            <w:pPr>
              <w:jc w:val="center"/>
              <w:rPr>
                <w:rFonts w:ascii="Palatino Linotype" w:hAnsi="Palatino Linotype"/>
                <w:b/>
                <w:sz w:val="20"/>
                <w:szCs w:val="20"/>
              </w:rPr>
            </w:pPr>
          </w:p>
          <w:p w14:paraId="2332446D" w14:textId="77777777" w:rsidR="008D2E26" w:rsidRPr="007B0C01" w:rsidRDefault="008D2E26" w:rsidP="00137015">
            <w:pPr>
              <w:spacing w:line="360" w:lineRule="auto"/>
              <w:jc w:val="center"/>
              <w:rPr>
                <w:rFonts w:ascii="Palatino Linotype" w:hAnsi="Palatino Linotype"/>
                <w:b/>
                <w:sz w:val="20"/>
                <w:szCs w:val="20"/>
              </w:rPr>
            </w:pPr>
          </w:p>
        </w:tc>
      </w:tr>
    </w:tbl>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Default="00521D63" w:rsidP="008D2E26">
      <w:pPr>
        <w:spacing w:line="360" w:lineRule="auto"/>
        <w:contextualSpacing/>
        <w:jc w:val="both"/>
        <w:rPr>
          <w:rFonts w:ascii="Palatino Linotype" w:eastAsia="Calibri" w:hAnsi="Palatino Linotype" w:cs="Arial"/>
          <w:color w:val="000000" w:themeColor="text1"/>
          <w:sz w:val="20"/>
          <w:szCs w:val="20"/>
        </w:rPr>
      </w:pPr>
    </w:p>
    <w:p w14:paraId="6537E0C8"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2BB748AD"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316BDD88"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121E653A"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331E2C1A"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278EA69B"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269A54E3"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09B7545F"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592C7410"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196D6275"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1466D169"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477C77BF"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0D0AA29F"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6C0D6522" w14:textId="77777777" w:rsidR="005270FE" w:rsidRDefault="005270FE" w:rsidP="008D2E26">
      <w:pPr>
        <w:spacing w:line="360" w:lineRule="auto"/>
        <w:contextualSpacing/>
        <w:jc w:val="both"/>
        <w:rPr>
          <w:rFonts w:ascii="Palatino Linotype" w:eastAsia="Calibri" w:hAnsi="Palatino Linotype" w:cs="Arial"/>
          <w:color w:val="000000" w:themeColor="text1"/>
          <w:sz w:val="20"/>
          <w:szCs w:val="20"/>
        </w:rPr>
      </w:pPr>
    </w:p>
    <w:p w14:paraId="58EDAC1B" w14:textId="77777777" w:rsidR="005270FE" w:rsidRPr="00A90BE0" w:rsidRDefault="005270FE" w:rsidP="008D2E26">
      <w:pPr>
        <w:spacing w:line="360" w:lineRule="auto"/>
        <w:contextualSpacing/>
        <w:jc w:val="both"/>
        <w:rPr>
          <w:rFonts w:ascii="Palatino Linotype" w:eastAsia="Calibri" w:hAnsi="Palatino Linotype" w:cs="Arial"/>
          <w:color w:val="000000" w:themeColor="text1"/>
          <w:sz w:val="20"/>
          <w:szCs w:val="20"/>
        </w:rPr>
      </w:pPr>
    </w:p>
    <w:sectPr w:rsidR="005270FE" w:rsidRPr="00A90BE0" w:rsidSect="009D63A9">
      <w:headerReference w:type="even" r:id="rId11"/>
      <w:headerReference w:type="default" r:id="rId12"/>
      <w:footerReference w:type="default" r:id="rId13"/>
      <w:headerReference w:type="first" r:id="rId14"/>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C27A5" w14:textId="77777777" w:rsidR="00FB3F9C" w:rsidRDefault="00FB3F9C" w:rsidP="00E81438">
      <w:r>
        <w:separator/>
      </w:r>
    </w:p>
  </w:endnote>
  <w:endnote w:type="continuationSeparator" w:id="0">
    <w:p w14:paraId="596F37F5" w14:textId="77777777" w:rsidR="00FB3F9C" w:rsidRDefault="00FB3F9C"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93B4" w14:textId="77777777" w:rsidR="000412FB" w:rsidRDefault="00521D63"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521D63"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521D63"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521D63"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9022F">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9022F">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521D63"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CC86B" w14:textId="77777777" w:rsidR="00FB3F9C" w:rsidRDefault="00FB3F9C" w:rsidP="00E81438">
      <w:r>
        <w:separator/>
      </w:r>
    </w:p>
  </w:footnote>
  <w:footnote w:type="continuationSeparator" w:id="0">
    <w:p w14:paraId="7D42DE84" w14:textId="77777777" w:rsidR="00FB3F9C" w:rsidRDefault="00FB3F9C" w:rsidP="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3F7E" w14:textId="77777777" w:rsidR="0034309A" w:rsidRDefault="00521D63">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r w:rsidR="00521D63">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386F6297"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00D331F0">
      <w:rPr>
        <w:rFonts w:ascii="Palatino Linotype" w:hAnsi="Palatino Linotype"/>
        <w:b/>
        <w:bCs/>
        <w:color w:val="000000" w:themeColor="text1"/>
        <w:sz w:val="20"/>
        <w:szCs w:val="20"/>
      </w:rPr>
      <w:t>16509</w:t>
    </w:r>
    <w:r w:rsidR="00C344A4">
      <w:rPr>
        <w:rFonts w:ascii="Palatino Linotype" w:hAnsi="Palatino Linotype"/>
        <w:b/>
        <w:bCs/>
        <w:color w:val="000000" w:themeColor="text1"/>
        <w:sz w:val="20"/>
        <w:szCs w:val="20"/>
      </w:rPr>
      <w:t>/INFOEM/IP/RR/2022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95E1" w14:textId="77777777" w:rsidR="0034309A" w:rsidRDefault="00521D63">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4"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5F2466"/>
    <w:multiLevelType w:val="hybridMultilevel"/>
    <w:tmpl w:val="8BD0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D493205"/>
    <w:multiLevelType w:val="hybridMultilevel"/>
    <w:tmpl w:val="3A34574E"/>
    <w:lvl w:ilvl="0" w:tplc="080A0001">
      <w:start w:val="1"/>
      <w:numFmt w:val="bullet"/>
      <w:lvlText w:val=""/>
      <w:lvlJc w:val="left"/>
      <w:pPr>
        <w:ind w:left="0" w:firstLine="0"/>
      </w:pPr>
      <w:rPr>
        <w:rFonts w:ascii="Symbol" w:hAnsi="Symbol"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lvlOverride w:ilvl="0">
      <w:lvl w:ilvl="0">
        <w:numFmt w:val="upperRoman"/>
        <w:lvlText w:val="%1."/>
        <w:lvlJc w:val="right"/>
      </w:lvl>
    </w:lvlOverride>
  </w:num>
  <w:num w:numId="3">
    <w:abstractNumId w:val="8"/>
  </w:num>
  <w:num w:numId="4">
    <w:abstractNumId w:val="1"/>
  </w:num>
  <w:num w:numId="5">
    <w:abstractNumId w:val="0"/>
  </w:num>
  <w:num w:numId="6">
    <w:abstractNumId w:val="2"/>
  </w:num>
  <w:num w:numId="7">
    <w:abstractNumId w:val="9"/>
  </w:num>
  <w:num w:numId="8">
    <w:abstractNumId w:val="6"/>
  </w:num>
  <w:num w:numId="9">
    <w:abstractNumId w:val="7"/>
  </w:num>
  <w:num w:numId="10">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10C94"/>
    <w:rsid w:val="00011B69"/>
    <w:rsid w:val="00041F71"/>
    <w:rsid w:val="0004301C"/>
    <w:rsid w:val="00043028"/>
    <w:rsid w:val="00046BFE"/>
    <w:rsid w:val="0006272A"/>
    <w:rsid w:val="0006759B"/>
    <w:rsid w:val="00086DBA"/>
    <w:rsid w:val="000A24E9"/>
    <w:rsid w:val="000A3500"/>
    <w:rsid w:val="000A5C62"/>
    <w:rsid w:val="000C3339"/>
    <w:rsid w:val="000C4A06"/>
    <w:rsid w:val="000D239F"/>
    <w:rsid w:val="000D62A2"/>
    <w:rsid w:val="000F0E23"/>
    <w:rsid w:val="000F4390"/>
    <w:rsid w:val="00100875"/>
    <w:rsid w:val="00107D23"/>
    <w:rsid w:val="001247BF"/>
    <w:rsid w:val="00132B0F"/>
    <w:rsid w:val="00142268"/>
    <w:rsid w:val="001643C9"/>
    <w:rsid w:val="00167974"/>
    <w:rsid w:val="00174792"/>
    <w:rsid w:val="00183B60"/>
    <w:rsid w:val="0019475D"/>
    <w:rsid w:val="001A75DE"/>
    <w:rsid w:val="001B2EA0"/>
    <w:rsid w:val="001B6EB9"/>
    <w:rsid w:val="001C25BC"/>
    <w:rsid w:val="001C27DF"/>
    <w:rsid w:val="001D134E"/>
    <w:rsid w:val="001D3F19"/>
    <w:rsid w:val="001D61DA"/>
    <w:rsid w:val="001E2C7A"/>
    <w:rsid w:val="001E4BD7"/>
    <w:rsid w:val="001F1F49"/>
    <w:rsid w:val="00201C12"/>
    <w:rsid w:val="00216380"/>
    <w:rsid w:val="00217F04"/>
    <w:rsid w:val="0022110A"/>
    <w:rsid w:val="002317E4"/>
    <w:rsid w:val="002323B7"/>
    <w:rsid w:val="002351D3"/>
    <w:rsid w:val="00242826"/>
    <w:rsid w:val="0025193C"/>
    <w:rsid w:val="0027361F"/>
    <w:rsid w:val="0028660C"/>
    <w:rsid w:val="0029283B"/>
    <w:rsid w:val="00296257"/>
    <w:rsid w:val="00296C85"/>
    <w:rsid w:val="002A1FC2"/>
    <w:rsid w:val="002A7765"/>
    <w:rsid w:val="002A7903"/>
    <w:rsid w:val="002A7E7E"/>
    <w:rsid w:val="002B456C"/>
    <w:rsid w:val="002C68A1"/>
    <w:rsid w:val="002D17E3"/>
    <w:rsid w:val="002D46DF"/>
    <w:rsid w:val="002E2676"/>
    <w:rsid w:val="002F3711"/>
    <w:rsid w:val="0030143A"/>
    <w:rsid w:val="0030468A"/>
    <w:rsid w:val="00313375"/>
    <w:rsid w:val="00315049"/>
    <w:rsid w:val="00321981"/>
    <w:rsid w:val="00324EBE"/>
    <w:rsid w:val="00333436"/>
    <w:rsid w:val="00336322"/>
    <w:rsid w:val="00336364"/>
    <w:rsid w:val="003432EF"/>
    <w:rsid w:val="0035304E"/>
    <w:rsid w:val="00353453"/>
    <w:rsid w:val="00361D66"/>
    <w:rsid w:val="003713D0"/>
    <w:rsid w:val="00371794"/>
    <w:rsid w:val="00372746"/>
    <w:rsid w:val="00385CC1"/>
    <w:rsid w:val="003868B5"/>
    <w:rsid w:val="0038700C"/>
    <w:rsid w:val="003964BA"/>
    <w:rsid w:val="003B190C"/>
    <w:rsid w:val="003B59C6"/>
    <w:rsid w:val="003C2E8A"/>
    <w:rsid w:val="003C2F6A"/>
    <w:rsid w:val="003C2F73"/>
    <w:rsid w:val="003E66B1"/>
    <w:rsid w:val="003F5E7B"/>
    <w:rsid w:val="003F6468"/>
    <w:rsid w:val="00404BA3"/>
    <w:rsid w:val="00406D8C"/>
    <w:rsid w:val="00414F91"/>
    <w:rsid w:val="00420B65"/>
    <w:rsid w:val="00434978"/>
    <w:rsid w:val="004365C0"/>
    <w:rsid w:val="00437359"/>
    <w:rsid w:val="00441668"/>
    <w:rsid w:val="00457C33"/>
    <w:rsid w:val="00463C78"/>
    <w:rsid w:val="004645A9"/>
    <w:rsid w:val="0048734D"/>
    <w:rsid w:val="00492D79"/>
    <w:rsid w:val="00495A2D"/>
    <w:rsid w:val="00496FDB"/>
    <w:rsid w:val="004A2088"/>
    <w:rsid w:val="004A6BFC"/>
    <w:rsid w:val="004C0B86"/>
    <w:rsid w:val="004C2D42"/>
    <w:rsid w:val="004C6981"/>
    <w:rsid w:val="004D48CD"/>
    <w:rsid w:val="004E0B19"/>
    <w:rsid w:val="004E0CF7"/>
    <w:rsid w:val="004E1716"/>
    <w:rsid w:val="004E2338"/>
    <w:rsid w:val="004E7AC0"/>
    <w:rsid w:val="004F4481"/>
    <w:rsid w:val="005029EC"/>
    <w:rsid w:val="00510BFF"/>
    <w:rsid w:val="00513C9E"/>
    <w:rsid w:val="00521917"/>
    <w:rsid w:val="00521D63"/>
    <w:rsid w:val="00523AF5"/>
    <w:rsid w:val="005247EA"/>
    <w:rsid w:val="005270FE"/>
    <w:rsid w:val="005300E6"/>
    <w:rsid w:val="0053148C"/>
    <w:rsid w:val="005432D8"/>
    <w:rsid w:val="00551E7F"/>
    <w:rsid w:val="005526C9"/>
    <w:rsid w:val="0055411E"/>
    <w:rsid w:val="00556933"/>
    <w:rsid w:val="00560C1E"/>
    <w:rsid w:val="0056567F"/>
    <w:rsid w:val="00566248"/>
    <w:rsid w:val="005820EB"/>
    <w:rsid w:val="00585E86"/>
    <w:rsid w:val="0059022F"/>
    <w:rsid w:val="00595D69"/>
    <w:rsid w:val="005A3BF5"/>
    <w:rsid w:val="005A4D7F"/>
    <w:rsid w:val="005B07C2"/>
    <w:rsid w:val="005B4759"/>
    <w:rsid w:val="005C0E5C"/>
    <w:rsid w:val="005C66C0"/>
    <w:rsid w:val="005F15AC"/>
    <w:rsid w:val="005F542A"/>
    <w:rsid w:val="005F563A"/>
    <w:rsid w:val="0060046A"/>
    <w:rsid w:val="00603369"/>
    <w:rsid w:val="00610FD4"/>
    <w:rsid w:val="00626823"/>
    <w:rsid w:val="00630161"/>
    <w:rsid w:val="00630A16"/>
    <w:rsid w:val="006444D8"/>
    <w:rsid w:val="006473D6"/>
    <w:rsid w:val="00654FE9"/>
    <w:rsid w:val="00656AE6"/>
    <w:rsid w:val="0066419F"/>
    <w:rsid w:val="0066482B"/>
    <w:rsid w:val="006770C3"/>
    <w:rsid w:val="006801D4"/>
    <w:rsid w:val="00683DFA"/>
    <w:rsid w:val="00694D4B"/>
    <w:rsid w:val="006A67A1"/>
    <w:rsid w:val="006B23A2"/>
    <w:rsid w:val="006B2694"/>
    <w:rsid w:val="006B30CD"/>
    <w:rsid w:val="006B3DB4"/>
    <w:rsid w:val="006C3B9C"/>
    <w:rsid w:val="006C644C"/>
    <w:rsid w:val="006D07BF"/>
    <w:rsid w:val="006D150E"/>
    <w:rsid w:val="006D5765"/>
    <w:rsid w:val="006E001E"/>
    <w:rsid w:val="006E77E6"/>
    <w:rsid w:val="007056B6"/>
    <w:rsid w:val="00725E1F"/>
    <w:rsid w:val="00726203"/>
    <w:rsid w:val="007400C6"/>
    <w:rsid w:val="007431C8"/>
    <w:rsid w:val="00757AA9"/>
    <w:rsid w:val="00765163"/>
    <w:rsid w:val="0078009F"/>
    <w:rsid w:val="00790B12"/>
    <w:rsid w:val="00791445"/>
    <w:rsid w:val="00791C9C"/>
    <w:rsid w:val="007A56CE"/>
    <w:rsid w:val="007B0C01"/>
    <w:rsid w:val="007B2D3C"/>
    <w:rsid w:val="007B6513"/>
    <w:rsid w:val="007C28C6"/>
    <w:rsid w:val="007C7A0C"/>
    <w:rsid w:val="007D187B"/>
    <w:rsid w:val="007D2399"/>
    <w:rsid w:val="007E46B2"/>
    <w:rsid w:val="00805A08"/>
    <w:rsid w:val="00811B0B"/>
    <w:rsid w:val="008201DE"/>
    <w:rsid w:val="0082275B"/>
    <w:rsid w:val="00825EA1"/>
    <w:rsid w:val="00827BB1"/>
    <w:rsid w:val="00841EB8"/>
    <w:rsid w:val="00861ACD"/>
    <w:rsid w:val="008628F8"/>
    <w:rsid w:val="00873F22"/>
    <w:rsid w:val="00876FB5"/>
    <w:rsid w:val="00884D62"/>
    <w:rsid w:val="00891560"/>
    <w:rsid w:val="00893D02"/>
    <w:rsid w:val="008A35FA"/>
    <w:rsid w:val="008B0732"/>
    <w:rsid w:val="008B4B59"/>
    <w:rsid w:val="008B6B3C"/>
    <w:rsid w:val="008C3233"/>
    <w:rsid w:val="008D2E26"/>
    <w:rsid w:val="008D7E7C"/>
    <w:rsid w:val="008E75B6"/>
    <w:rsid w:val="00903794"/>
    <w:rsid w:val="00912F83"/>
    <w:rsid w:val="009213B4"/>
    <w:rsid w:val="00927E8E"/>
    <w:rsid w:val="00934C57"/>
    <w:rsid w:val="009405EE"/>
    <w:rsid w:val="00940CFC"/>
    <w:rsid w:val="00947263"/>
    <w:rsid w:val="009713AB"/>
    <w:rsid w:val="00971C6B"/>
    <w:rsid w:val="009772C1"/>
    <w:rsid w:val="00990B93"/>
    <w:rsid w:val="00991FDE"/>
    <w:rsid w:val="0099272C"/>
    <w:rsid w:val="009969E5"/>
    <w:rsid w:val="00997C16"/>
    <w:rsid w:val="009B486D"/>
    <w:rsid w:val="009B728D"/>
    <w:rsid w:val="009C51E9"/>
    <w:rsid w:val="009D50D6"/>
    <w:rsid w:val="009E5A26"/>
    <w:rsid w:val="009F5590"/>
    <w:rsid w:val="009F717B"/>
    <w:rsid w:val="00A0223E"/>
    <w:rsid w:val="00A07096"/>
    <w:rsid w:val="00A079E2"/>
    <w:rsid w:val="00A07EF3"/>
    <w:rsid w:val="00A116F2"/>
    <w:rsid w:val="00A12378"/>
    <w:rsid w:val="00A33597"/>
    <w:rsid w:val="00A33B17"/>
    <w:rsid w:val="00A60E46"/>
    <w:rsid w:val="00A7349A"/>
    <w:rsid w:val="00A84394"/>
    <w:rsid w:val="00A85828"/>
    <w:rsid w:val="00A86692"/>
    <w:rsid w:val="00A86A4F"/>
    <w:rsid w:val="00A90BE0"/>
    <w:rsid w:val="00A96975"/>
    <w:rsid w:val="00A97177"/>
    <w:rsid w:val="00AA249E"/>
    <w:rsid w:val="00AA3E6E"/>
    <w:rsid w:val="00AA4454"/>
    <w:rsid w:val="00AA707A"/>
    <w:rsid w:val="00AB2511"/>
    <w:rsid w:val="00AB755B"/>
    <w:rsid w:val="00AD5C25"/>
    <w:rsid w:val="00AE47F4"/>
    <w:rsid w:val="00AE62D4"/>
    <w:rsid w:val="00B16B7A"/>
    <w:rsid w:val="00B17283"/>
    <w:rsid w:val="00B2189F"/>
    <w:rsid w:val="00B26745"/>
    <w:rsid w:val="00B737A0"/>
    <w:rsid w:val="00B85A28"/>
    <w:rsid w:val="00B86007"/>
    <w:rsid w:val="00B948C7"/>
    <w:rsid w:val="00BB14F6"/>
    <w:rsid w:val="00BB4356"/>
    <w:rsid w:val="00BC15BA"/>
    <w:rsid w:val="00BC27E6"/>
    <w:rsid w:val="00BC4870"/>
    <w:rsid w:val="00BC51D9"/>
    <w:rsid w:val="00BD695C"/>
    <w:rsid w:val="00BE7409"/>
    <w:rsid w:val="00C12B90"/>
    <w:rsid w:val="00C23F3D"/>
    <w:rsid w:val="00C32391"/>
    <w:rsid w:val="00C344A4"/>
    <w:rsid w:val="00C37A03"/>
    <w:rsid w:val="00C433DD"/>
    <w:rsid w:val="00C536CC"/>
    <w:rsid w:val="00C55798"/>
    <w:rsid w:val="00C656DC"/>
    <w:rsid w:val="00C967A3"/>
    <w:rsid w:val="00C977B7"/>
    <w:rsid w:val="00CA0752"/>
    <w:rsid w:val="00CA1964"/>
    <w:rsid w:val="00CA4E5A"/>
    <w:rsid w:val="00CB12C1"/>
    <w:rsid w:val="00CC6685"/>
    <w:rsid w:val="00CD5D70"/>
    <w:rsid w:val="00CE0D21"/>
    <w:rsid w:val="00CF4446"/>
    <w:rsid w:val="00D05051"/>
    <w:rsid w:val="00D15895"/>
    <w:rsid w:val="00D27FB7"/>
    <w:rsid w:val="00D331F0"/>
    <w:rsid w:val="00D35DE3"/>
    <w:rsid w:val="00D409E9"/>
    <w:rsid w:val="00D46CB4"/>
    <w:rsid w:val="00D70C20"/>
    <w:rsid w:val="00D724F4"/>
    <w:rsid w:val="00D734D9"/>
    <w:rsid w:val="00D853E0"/>
    <w:rsid w:val="00DB0A3F"/>
    <w:rsid w:val="00DC3433"/>
    <w:rsid w:val="00DC3A6A"/>
    <w:rsid w:val="00DC7740"/>
    <w:rsid w:val="00DE56C0"/>
    <w:rsid w:val="00E02F0C"/>
    <w:rsid w:val="00E1408B"/>
    <w:rsid w:val="00E152F3"/>
    <w:rsid w:val="00E2164D"/>
    <w:rsid w:val="00E22565"/>
    <w:rsid w:val="00E243C1"/>
    <w:rsid w:val="00E25F3A"/>
    <w:rsid w:val="00E336C1"/>
    <w:rsid w:val="00E40318"/>
    <w:rsid w:val="00E40B16"/>
    <w:rsid w:val="00E464B2"/>
    <w:rsid w:val="00E51FE3"/>
    <w:rsid w:val="00E60128"/>
    <w:rsid w:val="00E601D1"/>
    <w:rsid w:val="00E81438"/>
    <w:rsid w:val="00E9040E"/>
    <w:rsid w:val="00E96CD9"/>
    <w:rsid w:val="00EA0616"/>
    <w:rsid w:val="00EA0BD3"/>
    <w:rsid w:val="00EA36A9"/>
    <w:rsid w:val="00EA6641"/>
    <w:rsid w:val="00EA7BE3"/>
    <w:rsid w:val="00EB1919"/>
    <w:rsid w:val="00EB1A19"/>
    <w:rsid w:val="00EC2541"/>
    <w:rsid w:val="00ED15DF"/>
    <w:rsid w:val="00ED3D05"/>
    <w:rsid w:val="00ED4073"/>
    <w:rsid w:val="00ED5C10"/>
    <w:rsid w:val="00ED7F03"/>
    <w:rsid w:val="00EF730E"/>
    <w:rsid w:val="00F04B1F"/>
    <w:rsid w:val="00F22A66"/>
    <w:rsid w:val="00F263CC"/>
    <w:rsid w:val="00F32DA2"/>
    <w:rsid w:val="00F50C0B"/>
    <w:rsid w:val="00F51F44"/>
    <w:rsid w:val="00F67502"/>
    <w:rsid w:val="00F751F4"/>
    <w:rsid w:val="00F76A47"/>
    <w:rsid w:val="00F90F04"/>
    <w:rsid w:val="00F93CE5"/>
    <w:rsid w:val="00F9650F"/>
    <w:rsid w:val="00FA0BF5"/>
    <w:rsid w:val="00FB3F9C"/>
    <w:rsid w:val="00FC279E"/>
    <w:rsid w:val="00FC4426"/>
    <w:rsid w:val="00FC5D78"/>
    <w:rsid w:val="00FD6B67"/>
    <w:rsid w:val="00FE51B4"/>
    <w:rsid w:val="00FE56C0"/>
    <w:rsid w:val="00FF0F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33608357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8F569-BFA8-4BBF-87D9-16879C23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2284</Words>
  <Characters>12565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PEDRO</cp:lastModifiedBy>
  <cp:revision>4</cp:revision>
  <cp:lastPrinted>2022-11-14T17:23:00Z</cp:lastPrinted>
  <dcterms:created xsi:type="dcterms:W3CDTF">2023-03-31T21:43:00Z</dcterms:created>
  <dcterms:modified xsi:type="dcterms:W3CDTF">2023-04-10T04:15:00Z</dcterms:modified>
</cp:coreProperties>
</file>