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C8" w:rsidRDefault="00000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DC1865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0;margin-top:0;width:50pt;height:50pt;z-index:251656192;visibility:hidden">
            <o:lock v:ext="edit" selection="t"/>
          </v:shape>
        </w:pict>
      </w:r>
      <w:r>
        <w:pict w14:anchorId="444C2487">
          <v:shape id="_x0000_s1028" type="#_x0000_t136" style="position:absolute;margin-left:0;margin-top:0;width:50pt;height:50pt;z-index:251657216;visibility:hidden">
            <o:lock v:ext="edit" selection="t"/>
          </v:shape>
        </w:pict>
      </w:r>
      <w:r>
        <w:pict w14:anchorId="1386E0C2">
          <v:shape id="_x0000_s1027" type="#_x0000_t136" style="position:absolute;margin-left:0;margin-top:0;width:50pt;height:50pt;z-index:251658240;visibility:hidden">
            <o:lock v:ext="edit" selection="t"/>
          </v:shape>
        </w:pict>
      </w:r>
      <w:r>
        <w:pict w14:anchorId="341E5C1C">
          <v:shape id="_x0000_s1026" type="#_x0000_t136" style="position:absolute;margin-left:0;margin-top:0;width:50pt;height:50pt;z-index:251659264;visibility:hidden">
            <o:lock v:ext="edit" selection="t"/>
          </v:shape>
        </w:pict>
      </w:r>
    </w:p>
    <w:p w:rsidR="006167C8" w:rsidRDefault="006167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167C8" w:rsidRDefault="006167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167C8" w:rsidRDefault="006167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167C8" w:rsidRDefault="00000FD9">
      <w:pPr>
        <w:widowControl w:val="0"/>
        <w:ind w:right="-164"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VOTO DISIDENTE QUE FORMULA LA COMISIONADA SHARON CRISTINA MORALES MARTÍNEZ, EN RELACIÓN CON LA RESOLUCIÓN DICTADA POR EL PLENO DEL INSTITUTO DE TRANSPARENCIA, ACCESO A LA INFORMACIÓN PÚBLICA Y PROTECCIÓN DE DATOS PERSONALES DEL ESTADO DE MÉXICO Y MUNICIPIO</w:t>
      </w:r>
      <w:r>
        <w:rPr>
          <w:rFonts w:ascii="Palatino Linotype" w:eastAsia="Palatino Linotype" w:hAnsi="Palatino Linotype" w:cs="Palatino Linotype"/>
          <w:b/>
        </w:rPr>
        <w:t>S, EN LA PRIMERA SESIÓN ORDINARIA CELEBRADA EL ONCE DE ENERO DE DOS MIL VEINTITRÉS, EN EL RECURSO DE REVISIÓN 11989</w:t>
      </w:r>
      <w:r>
        <w:rPr>
          <w:rFonts w:ascii="Palatino Linotype" w:eastAsia="Palatino Linotype" w:hAnsi="Palatino Linotype" w:cs="Palatino Linotype"/>
          <w:b/>
          <w:color w:val="000000"/>
        </w:rPr>
        <w:t>/INFOEM/IP/RR/2022</w:t>
      </w:r>
      <w:r>
        <w:rPr>
          <w:rFonts w:ascii="Palatino Linotype" w:eastAsia="Palatino Linotype" w:hAnsi="Palatino Linotype" w:cs="Palatino Linotype"/>
          <w:b/>
        </w:rPr>
        <w:t xml:space="preserve"> </w:t>
      </w:r>
      <w:r w:rsidR="006C4E00">
        <w:rPr>
          <w:rFonts w:ascii="Palatino Linotype" w:eastAsia="Palatino Linotype" w:hAnsi="Palatino Linotype" w:cs="Palatino Linotype"/>
          <w:b/>
        </w:rPr>
        <w:t>Y ACUMULADOS.</w:t>
      </w:r>
      <w:r>
        <w:rPr>
          <w:rFonts w:ascii="Palatino Linotype" w:eastAsia="Palatino Linotype" w:hAnsi="Palatino Linotype" w:cs="Palatino Linotype"/>
          <w:b/>
        </w:rPr>
        <w:t xml:space="preserve"> </w:t>
      </w:r>
    </w:p>
    <w:p w:rsidR="006167C8" w:rsidRDefault="006167C8">
      <w:pPr>
        <w:widowControl w:val="0"/>
        <w:spacing w:line="360" w:lineRule="auto"/>
        <w:ind w:right="-164"/>
        <w:jc w:val="both"/>
        <w:rPr>
          <w:rFonts w:ascii="Palatino Linotype" w:eastAsia="Palatino Linotype" w:hAnsi="Palatino Linotype" w:cs="Palatino Linotype"/>
          <w:b/>
          <w:color w:val="000000"/>
        </w:rPr>
      </w:pPr>
    </w:p>
    <w:p w:rsidR="006167C8" w:rsidRDefault="00000FD9">
      <w:pPr>
        <w:widowControl w:val="0"/>
        <w:spacing w:line="360" w:lineRule="auto"/>
        <w:ind w:right="-164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 fundamento en lo dispuesto por el artículo 14, fracciones X y XI del Reglamento Interior del Instituto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de Transparencia, Acceso a la Información Pública y Protección de Datos Personales del Estado de México y Municipios, la que suscribe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SHARON CRISTINA MORALES MARTÍNEZ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emite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VOTO DISIDENTE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respecto de la resolución dictada en el Recurso de Revisión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11989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/I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NFOEM/IP/RR/2022</w:t>
      </w:r>
      <w:r w:rsidR="006C4E00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 y acumulados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pronunciada por el Pleno de este Instituto ante el proyecto presentado por la Comisionada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GUADALUPE RAMÍREZ PEÑA</w:t>
      </w:r>
      <w:r w:rsidR="006C4E00">
        <w:rPr>
          <w:rFonts w:ascii="Palatino Linotype" w:eastAsia="Palatino Linotype" w:hAnsi="Palatino Linotype" w:cs="Palatino Linotype"/>
          <w:b/>
          <w:sz w:val="22"/>
          <w:szCs w:val="22"/>
        </w:rPr>
        <w:t>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Es de destacar, que la suscrita no coincide con el estudio realizado en la resolución del Recurs</w:t>
      </w:r>
      <w:r>
        <w:rPr>
          <w:rFonts w:ascii="Palatino Linotype" w:eastAsia="Palatino Linotype" w:hAnsi="Palatino Linotype" w:cs="Palatino Linotype"/>
          <w:sz w:val="22"/>
          <w:szCs w:val="22"/>
        </w:rPr>
        <w:t>o de Revisión, en atención a lo siguiente: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ind w:right="38"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Tal y como quedó asentado en la resolución materia del presente voto, el particular requirió del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SUJETO OBLIGADO </w:t>
      </w:r>
      <w:r>
        <w:rPr>
          <w:rFonts w:ascii="Palatino Linotype" w:eastAsia="Palatino Linotype" w:hAnsi="Palatino Linotype" w:cs="Palatino Linotype"/>
          <w:sz w:val="22"/>
          <w:szCs w:val="22"/>
        </w:rPr>
        <w:t>en la</w:t>
      </w:r>
      <w:r w:rsidR="006C4E00"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Solicitudes de Información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00059/TMASCALT/IP/2022, 00058/TMASCALT/IP/2022, 00057/TMASCALT/IP/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2022, 00056/TMASCALT/IP/2022, 00055/TMASCALT/IP/2022, 00054/TMASCALT/IP/2022, 00053/TMASCALT/IP/2022 y 00052/TMASCALT/IP/2022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materia de los Recurso</w:t>
      </w:r>
      <w:r w:rsidR="006C4E00">
        <w:rPr>
          <w:rFonts w:ascii="Palatino Linotype" w:eastAsia="Palatino Linotype" w:hAnsi="Palatino Linotype" w:cs="Palatino Linotype"/>
          <w:sz w:val="22"/>
          <w:szCs w:val="22"/>
        </w:rPr>
        <w:t>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de Revisión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11989/INFOEM/IP/RR/2022, 11990/INFOEM/IP/RR/2022, 11991/INFOEM/IP/RR/2022, 11992/INFOEM/IP/RR/2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022,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lastRenderedPageBreak/>
        <w:t xml:space="preserve">11993/INFOEM/IP/RR/2022, 11994/INFOEM/IP/RR/2022, 11995/INFOEM/IP/RR/2022 y 11996/INFOEM/IP/RR/2022, </w:t>
      </w:r>
      <w:r>
        <w:rPr>
          <w:rFonts w:ascii="Palatino Linotype" w:eastAsia="Palatino Linotype" w:hAnsi="Palatino Linotype" w:cs="Palatino Linotype"/>
          <w:sz w:val="22"/>
          <w:szCs w:val="22"/>
        </w:rPr>
        <w:t>lo siguiente: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b/>
        </w:rPr>
      </w:pP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00059/TMASCALT/IP/2022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.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nómina de todo el personal del ayuntamiento de Temascaltepec de la primera quincena del mes de mayo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00058/TMASCALT/IP/2022.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nómina de todo el personal del ayuntamiento de Temascaltepec del mes de abril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00057/TMASCALT/IP/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nómina de todo el personal del ayuntamiento de Temascaltepec del mes de marzo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00056/TMASCALT/IP/2022.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nómina de todo el personal del ayuntamiento de Temascaltepec del mes de febrero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00055/TMASCALT/IP/2022.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recibos de nómina de todo el personal del ayuntamiento de Temascaltepec del mes de abril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00054/TMASCALT/IP/2022.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icito recibos de nómina de todo el personal del ayuntamiento de Temascaltepec del mes de marzo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00053/TMASCALT/IP/2022.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recibos de nómina de todo el personal del ayuntamiento de Temascaltepec del mes de febrero de 2022.</w:t>
      </w:r>
    </w:p>
    <w:p w:rsidR="006167C8" w:rsidRDefault="00000FD9">
      <w:pPr>
        <w:numPr>
          <w:ilvl w:val="0"/>
          <w:numId w:val="1"/>
        </w:numPr>
        <w:spacing w:line="360" w:lineRule="auto"/>
        <w:ind w:right="84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00052/TMASCALT/IP/2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022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. 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>Solicito recibos de nómina de todo el personal del ayuntamiento de Temascaltepec del mes de enero de 2022.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Así pues se advierte que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EL SUJETO OBLIGADO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a sus respuestas adjuntó un oficio de fecha tres de junio de dos mil veintidós, signado por Víctor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Manuel García Moreno, mediante el cual informa que no es posible proporcionar la información solicitada debido a que esta se encuentra clasificada como reservada de manera temporal de acuerdo con lo establecido en el artículo 5 de la Constitución Política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del Estado Libre y Soberano de México. </w:t>
      </w: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nconforme con la respuesta,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EL RECURRENTE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interpuso el presente medio de defensa, señalando como razones o motivos de inconformidad: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ind w:left="708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Acto Impugnado:</w:t>
      </w:r>
    </w:p>
    <w:p w:rsidR="006167C8" w:rsidRDefault="00000FD9">
      <w:pPr>
        <w:spacing w:line="360" w:lineRule="auto"/>
        <w:ind w:left="708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bookmarkStart w:id="0" w:name="_heading=h.gjdgxs" w:colFirst="0" w:colLast="0"/>
      <w:bookmarkEnd w:id="0"/>
      <w:r>
        <w:rPr>
          <w:rFonts w:ascii="Palatino Linotype" w:eastAsia="Palatino Linotype" w:hAnsi="Palatino Linotype" w:cs="Palatino Linotype"/>
          <w:i/>
          <w:sz w:val="22"/>
          <w:szCs w:val="22"/>
        </w:rPr>
        <w:t>“No entrega información”.</w:t>
      </w:r>
    </w:p>
    <w:p w:rsidR="006167C8" w:rsidRDefault="006167C8">
      <w:pPr>
        <w:spacing w:line="360" w:lineRule="auto"/>
        <w:ind w:left="708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:rsidR="006167C8" w:rsidRDefault="00000FD9">
      <w:pPr>
        <w:spacing w:line="360" w:lineRule="auto"/>
        <w:ind w:left="708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Razones o Motivos de Inconformidad:</w:t>
      </w:r>
    </w:p>
    <w:p w:rsidR="006167C8" w:rsidRDefault="00000FD9">
      <w:pPr>
        <w:spacing w:line="360" w:lineRule="auto"/>
        <w:ind w:left="708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</w:rPr>
        <w:t>“No entrega información”.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Es así que, la Ponencia Resolutora realizó un estudio para determinar si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EL SUJETO OBLIGADO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atendió la solicitud con apego a los principios establecidos en el artículo 11, de la Ley de Transparencia y Acceso a la Información Públ</w:t>
      </w:r>
      <w:r>
        <w:rPr>
          <w:rFonts w:ascii="Palatino Linotype" w:eastAsia="Palatino Linotype" w:hAnsi="Palatino Linotype" w:cs="Palatino Linotype"/>
          <w:sz w:val="22"/>
          <w:szCs w:val="22"/>
        </w:rPr>
        <w:t>ica del Estado de México y Municipios; si la información se encontraba sujeta a un régimen limitado de restricciones y si se actualizaba la causal de procedencia prevista en las fracción I del artículo 179 de la Ley de Transparencia y Acceso a la Informaci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ón Pública del Estado de México y sus Municipios, que establece la negativa a una solicitud de información 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En esa tesitura, en el estudio elaborado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solo se hizo especial énfasis como dato a reservar el nombre de los elementos de Seguridad Pública, basándose para ello en el criterio 6-09, del Instituto Federal de Acceso a la Información Pública (IFAI), ahora, Instituto Nacional de Transparencia, Acceso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 la Información y Protección de Datos Personales, antes (INAI), cuyo rubro es: “</w:t>
      </w:r>
      <w:r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Nombres de servidores públicos dedicados a actividades en materia de seguridad, por excepción pueden considerarse información reservada”.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Por lo que, la Ponencia Resolutora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ordenó entregar la información solicitada por el recurrente únicamente reservando del nombre de los elementos operativos de seguridad pública que se encuentren </w:t>
      </w: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activos en el Municipio de Temascaltepec, en términos del artículo 140, fracción IV, de la Ley d</w:t>
      </w:r>
      <w:r>
        <w:rPr>
          <w:rFonts w:ascii="Palatino Linotype" w:eastAsia="Palatino Linotype" w:hAnsi="Palatino Linotype" w:cs="Palatino Linotype"/>
          <w:sz w:val="22"/>
          <w:szCs w:val="22"/>
        </w:rPr>
        <w:t>e Transparencia y Acceso a la Información Pública del Estado de México y Municipios.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Estudio con el cual esta Ponencia no coincide, ya que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la entrega de la información del cargo y área de adscripción del personal de seguridad pública, en su respectiva ver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sión pública puede hacer identificable a dichos elementos de seguridad. 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Aunado a ello, la Suprema Corte de Justicia de la Nación el doce de mayo de dos mil veintidós, resolvió la Controversia Constitucional 325/2019, en la que determinó clasificar como reservada la información relativa al personal sustantivo/operativo, entendi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éndose como aquellos servidores públicos que realizan funciones sustantivas y de averiguación, en la citada resolución determinó que divulgar su información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representa un riesgo real, demostrable e identificable, </w:t>
      </w:r>
      <w:r>
        <w:rPr>
          <w:rFonts w:ascii="Palatino Linotype" w:eastAsia="Palatino Linotype" w:hAnsi="Palatino Linotype" w:cs="Palatino Linotype"/>
          <w:sz w:val="22"/>
          <w:szCs w:val="22"/>
        </w:rPr>
        <w:t>pues dar a conocer la información del nombr</w:t>
      </w:r>
      <w:r>
        <w:rPr>
          <w:rFonts w:ascii="Palatino Linotype" w:eastAsia="Palatino Linotype" w:hAnsi="Palatino Linotype" w:cs="Palatino Linotype"/>
          <w:sz w:val="22"/>
          <w:szCs w:val="22"/>
        </w:rPr>
        <w:t>e del personal sustantivo, cargos y área de adscripción vinculado con información de acceso público, como notas periodísticas, redes sociales Twitter, Facebook, Instagram y LinkedIn provocaría que los grupos delictivos estuvieran en posibilidad de identifi</w:t>
      </w:r>
      <w:r>
        <w:rPr>
          <w:rFonts w:ascii="Palatino Linotype" w:eastAsia="Palatino Linotype" w:hAnsi="Palatino Linotype" w:cs="Palatino Linotype"/>
          <w:sz w:val="22"/>
          <w:szCs w:val="22"/>
        </w:rPr>
        <w:t>car a cada uno de las personas que realizan tareas de investigación y persecución de delitos, ya que con ello, significaría transparentar la capacidad de reacción de las Instituciones encargadas de la Procuración de Justicia y Seguridad Nacional como lo es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la Seguridad Pública. 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Es por ello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, que la suscrita considera de suma importancia la reserva respecto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del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 cargo y área de adscripción del personal de Seguridad Pública </w:t>
      </w:r>
      <w:r w:rsidRPr="00C85054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del </w:t>
      </w:r>
      <w:r w:rsidRPr="00C85054">
        <w:rPr>
          <w:rFonts w:ascii="Palatino Linotype" w:eastAsia="Palatino Linotype" w:hAnsi="Palatino Linotype" w:cs="Palatino Linotype"/>
          <w:b/>
          <w:sz w:val="22"/>
          <w:szCs w:val="22"/>
        </w:rPr>
        <w:t>Ayuntamiento de Temascaltepec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pues se ordenó la entrega </w:t>
      </w:r>
      <w:r>
        <w:rPr>
          <w:rFonts w:ascii="Palatino Linotype" w:eastAsia="Palatino Linotype" w:hAnsi="Palatino Linotype" w:cs="Palatino Linotype"/>
          <w:sz w:val="22"/>
          <w:szCs w:val="22"/>
        </w:rPr>
        <w:t>de la nómina y los recibo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 de nómina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y </w:t>
      </w:r>
      <w:r>
        <w:rPr>
          <w:rFonts w:ascii="Palatino Linotype" w:eastAsia="Palatino Linotype" w:hAnsi="Palatino Linotype" w:cs="Palatino Linotype"/>
          <w:sz w:val="22"/>
          <w:szCs w:val="22"/>
        </w:rPr>
        <w:t>toda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vez que est</w:t>
      </w:r>
      <w:r>
        <w:rPr>
          <w:rFonts w:ascii="Palatino Linotype" w:eastAsia="Palatino Linotype" w:hAnsi="Palatino Linotype" w:cs="Palatino Linotype"/>
          <w:sz w:val="22"/>
          <w:szCs w:val="22"/>
        </w:rPr>
        <w:t>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puede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revelar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información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de aquellos servidores públicos que realizan funciones en materia de seguridad pública, tal como es el caso de los policías, que los vuelve identificables y posiblemente reconocibles para grupos del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ictivos, que pudieran relacionarlos directamente con actividades u operativos, o simplemente ubicarlos por el hecho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>de pertenecer o haber pertenecido a una organización que lleva a cabo actividades de prevención y salvaguarda de la integridad de las person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as en el combate a la delincuencia.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Aunado a ello,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proporcionar dicha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información puede vulnerar la vida, integridad, seguridad o salud de dichos elementos, incluso la de sus familias o entorno social, aumentando, el riesgo de que personas ajenas a los in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tereses institucionales intenten realizar actos para amenazar, inhibir o extorsionar las funciones de los policías municipales, lo que causaría una vulneración a la Seguridad Municipal.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Ahora bien, al reservarse solo los nombres del personal adscrito al á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rea de Seguridad Pública del Municipio de </w:t>
      </w:r>
      <w:r>
        <w:rPr>
          <w:rFonts w:ascii="Palatino Linotype" w:eastAsia="Palatino Linotype" w:hAnsi="Palatino Linotype" w:cs="Palatino Linotype"/>
          <w:sz w:val="22"/>
          <w:szCs w:val="22"/>
        </w:rPr>
        <w:t>Temascaltepec, se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estaría dando información relativa al estado de fuerza, poniendo en riesgo la operatividad de la misma, ya que, suponiendo sin conceder, la delincuencia podría tomar ventaja con la divulgación de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esta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información. 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Es importante, hacer alusión, además, al artículo 110, de la Ley General Sistema Nacional de Seguridad Pública, el cual establece que se deberá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  <w:u w:val="single"/>
        </w:rPr>
        <w:t>clasificar como reservada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la información que se contenga en la base de datos concerniente, entre otros, al perso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nal de seguridad, el cual se transcribe para mayor referencia: </w:t>
      </w:r>
    </w:p>
    <w:p w:rsidR="006167C8" w:rsidRDefault="006167C8">
      <w:pPr>
        <w:ind w:left="1134" w:right="1467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Artículo 110.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- Los integrantes del Sistema están obligados a permitir la interconexión de sus Bases de Datos para compartir la información sobre Seguridad Pública con el Sistema Nacional de I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nformación, en los términos de esta Ley y otras disposiciones jurídicas aplicables.</w:t>
      </w:r>
    </w:p>
    <w:p w:rsidR="006167C8" w:rsidRDefault="006167C8">
      <w:pPr>
        <w:ind w:left="1417" w:right="1468"/>
        <w:jc w:val="both"/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</w:pP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La información contenida en las Bases de Datos del Sistema Nacional de Información, podrá ser certificada por la autoridad respectiva y tendrá el valor probatorio que las 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disposiciones legales determinen. Se clasifica como reservada la información contenida en todas y cada una de las Bases de Datos del Sistema Nacional de Información, así como los Registros Nacionales y la información contenida en ellos, en materia de deten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ciones, información criminal, personal de seguridad pública, personal y equipo de los servicios de seguridad privada, armamento y equipo, vehículos, huellas dactilares, teléfonos celulares, 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lastRenderedPageBreak/>
        <w:t>medidas cautelares, soluciones alternas y formas de terminación an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ticipada, sentenciados y las demás necesarias para la operación del Sistema, 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[cuya consulta es exclusiva de las instituciones de Seguridad Pública que estén facultadas en cada caso, a través de los servidores públicos que cada institución designe, por lo q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ue el público no tendrá acceso a la información que en ellos se contenga].</w:t>
      </w:r>
    </w:p>
    <w:p w:rsidR="006167C8" w:rsidRDefault="006167C8">
      <w:pPr>
        <w:ind w:left="1134" w:right="1467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Criterio que armoniza con el numeral 113 de la Ley General de Transparencia en sus fracciones I y V, las cuales señalan: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0"/>
          <w:szCs w:val="10"/>
        </w:rPr>
      </w:pP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“La información reservada podrá clasificarse aquella cuya 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publicación: </w:t>
      </w: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I.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 Comprometa la 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  <w:u w:val="single"/>
        </w:rPr>
        <w:t>Seguridad Nacional, la Seguridad Pública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 con la defensa Nacional…</w:t>
      </w: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 xml:space="preserve">V. Pueda poner en riesgo la vida, seguridad o salud de una persona física.” </w:t>
      </w:r>
    </w:p>
    <w:p w:rsidR="006167C8" w:rsidRDefault="006167C8">
      <w:pPr>
        <w:ind w:left="1417" w:right="1468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</w:p>
    <w:p w:rsidR="006167C8" w:rsidRDefault="006167C8">
      <w:pPr>
        <w:ind w:left="708" w:right="1752"/>
        <w:jc w:val="both"/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En ese tenor, la suscrita considera que, para proteger cabalmente a los elementos sustantivos/operativos de dicha área, no solo deben resguardarse los datos relativos a sus nombres, sino también los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  <w:u w:val="single"/>
        </w:rPr>
        <w:t>cargos y adscripciones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toda vez que se trata de personal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sustantivo/operativo cuyas funciones van encaminadas a resguardar la Seguridad Pública.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Es por ello, que como lo he señalado en anteriores votos particulares y que la misma Ley de Transparencia y Acceso a la Información Pública del Estado de México y Municipios, contempla la excepción particular en el caso de </w:t>
      </w:r>
      <w:r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</w:rPr>
        <w:t>Seguridad Pública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y dado que esto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 elementos pertenecen a ese rubro, y son parte fundamental para el debido ejercicio de las obligaciones del Estado en cualquiera de sus tres niveles de gobierno, es importante reservar dicha información.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Ahora bien, la Suprema Corte de Justicia de la Nac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ión se ha pronunciado, estableciendo que es jurídicamente correcto hacer restricciones al derecho de Acceso a la Información cuando estas persiguen un fin constitucionalmente válido, como se puede apreciar en la siguiente tesis publicada en el Semanario Ju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dicial de la Federación y su Gaceta, Novena Época, Tomo XI, abril de 2000, página 74;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 xml:space="preserve">que cuenta con el siguiente rubro: </w:t>
      </w:r>
      <w:r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/>
        </w:rPr>
        <w:t>“DERECHO A LA INFORMACIÓN. SU EJERCICIO SE ENCUENTRA LIMITADO TANTO POR LOS INTERESES NACIONALES Y DE LA SOCIEDAD, COMO POR LOS DERECHO</w:t>
      </w:r>
      <w:r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/>
        </w:rPr>
        <w:t>S DE TERCEROS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, la cual señala: 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ind w:left="1417" w:right="1468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El ejercicio del derecho a la información no es irrestricto, sino que tiene límites que se sustentan en la protección de la seguridad nacional y en el respeto a los intereses de la sociedad y a los derechos de los gobernados, en atención a la materia de qu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e se trat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e. En ese sentido, el citado precepto, al remitir a diversas normas ordinarias que establezcan restricciones a la información, no viola la garantía de acceso a la información contenida en el artículo 6o. de la Constitución Política de los Estados 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 xml:space="preserve">Unidos Mexicanos, porque 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es jurídicamente adecuado que en las leyes reguladoras de cada materia, el legislador federal o local establezca las restricciones correspondientes y clasifique a determinados datos como confidenciales o reservados, con la condició</w:t>
      </w:r>
      <w:r>
        <w:rPr>
          <w:rFonts w:ascii="Palatino Linotype" w:eastAsia="Palatino Linotype" w:hAnsi="Palatino Linotype" w:cs="Palatino Linotype"/>
          <w:b/>
          <w:i/>
          <w:color w:val="000000"/>
          <w:sz w:val="20"/>
          <w:szCs w:val="20"/>
        </w:rPr>
        <w:t>n de que tales límites atiendan a intereses públicos o de los particulares y encuentren justificación racional en función del bien jurídico a proteger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, es decir, que exista proporcionalidad y congruencia entre el derecho fundamental de que se trata y la ra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zón que motive la restricción legislativa correspondiente, la cual debe ser adecuada y necesaria para alcanzar el fin perseguido, de manera que las ventajas obtenidas con la reserva compensen el sacrificio que ésta implique para los titulares de la garantí</w:t>
      </w: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a individual mencionada o para la sociedad en general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.”</w:t>
      </w:r>
    </w:p>
    <w:p w:rsidR="006167C8" w:rsidRDefault="00000FD9">
      <w:pPr>
        <w:ind w:left="1417" w:right="1467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000000"/>
          <w:sz w:val="20"/>
          <w:szCs w:val="20"/>
        </w:rPr>
        <w:t>(Énfasis añadido)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En atención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 lo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antes señalado, se establece que resguardar la Seguridad Pública es un criterio objetivo para indicar la reserva de información, pues tiene como fin salvaguardar la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integridad y derechos de las personas, así como preservar las libertades, el orden y la paz pública.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Criterio que el Máximo Tribunal de Justicia de este país reiteró el doce de mayo del presente año, dentro de la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Controversia Constitucional 325/2019. 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P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or ende, en el caso que nos ocupa, no sólo se debe ponderar la colisión de derechos entre  resguardar datos concernientes a personal de Seguridad Pública y el ejercicio del Derecho de Acceso a la Información, sino que también se tiene que tomar en cuenta e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 impacto que esta información pueda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 xml:space="preserve">significar en la integridad personal de los servidores públicos que forman parte de los elementos de Seguridad Pública del </w:t>
      </w:r>
      <w:r>
        <w:rPr>
          <w:rFonts w:ascii="Palatino Linotype" w:eastAsia="Palatino Linotype" w:hAnsi="Palatino Linotype" w:cs="Palatino Linotype"/>
          <w:sz w:val="22"/>
          <w:szCs w:val="22"/>
        </w:rPr>
        <w:t>Ayuntamiento de Temascaltepec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pues a criterio de esta Ponencia, aun eliminando los nombres de l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a información solicitada, estos siguen siendo identificables mediante el cargo y área de adscripción.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En ese sentido, si bien, el cargo y las áreas de adscripción de mandos medios en adelante, deben ser de conocimiento público, también lo es, que existen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salvedades previstas en la norma, como el caso del personal de seguridad pública.</w:t>
      </w:r>
    </w:p>
    <w:p w:rsidR="006167C8" w:rsidRDefault="006167C8">
      <w:pPr>
        <w:spacing w:line="360" w:lineRule="auto"/>
        <w:ind w:right="49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De lo anteriormente expuesto emito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VOTO DISIDENTE,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pues se debió privilegiar la </w:t>
      </w: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reserva de los datos relativos al </w:t>
      </w: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  <w:u w:val="single"/>
        </w:rPr>
        <w:t>cargo y área de adscripción del personal de Seguridad Pública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 w:rsidRPr="00C85054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 xml:space="preserve">del Municipio </w:t>
      </w:r>
      <w:r w:rsidRPr="00C85054">
        <w:rPr>
          <w:rFonts w:ascii="Palatino Linotype" w:eastAsia="Palatino Linotype" w:hAnsi="Palatino Linotype" w:cs="Palatino Linotype"/>
          <w:b/>
          <w:sz w:val="22"/>
          <w:szCs w:val="22"/>
        </w:rPr>
        <w:t>de Temascaltepec</w:t>
      </w:r>
      <w:r w:rsidRPr="00C85054"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,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por ser considerada un área indispensable en el adecuado funcionamiento de la Seguridad Pública y porque su ámbito de protección es mucho más amplio por las funci</w:t>
      </w:r>
      <w:r>
        <w:rPr>
          <w:rFonts w:ascii="Palatino Linotype" w:eastAsia="Palatino Linotype" w:hAnsi="Palatino Linotype" w:cs="Palatino Linotype"/>
          <w:sz w:val="22"/>
          <w:szCs w:val="22"/>
        </w:rPr>
        <w:t>ones que realizan y como resultado de una ponderación de derechos el riesgo de divulgar su información supera el interés público general ya que el bien jurídico tutelado es superior al derecho de acceso a la información al tratarse de la seguridad, integri</w:t>
      </w:r>
      <w:r>
        <w:rPr>
          <w:rFonts w:ascii="Palatino Linotype" w:eastAsia="Palatino Linotype" w:hAnsi="Palatino Linotype" w:cs="Palatino Linotype"/>
          <w:sz w:val="22"/>
          <w:szCs w:val="22"/>
        </w:rPr>
        <w:t>dad y la vida de una persona.</w:t>
      </w: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9"/>
        <w:tblW w:w="552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29"/>
      </w:tblGrid>
      <w:tr w:rsidR="006167C8">
        <w:trPr>
          <w:jc w:val="center"/>
        </w:trPr>
        <w:tc>
          <w:tcPr>
            <w:tcW w:w="5529" w:type="dxa"/>
          </w:tcPr>
          <w:p w:rsidR="006167C8" w:rsidRDefault="00000FD9">
            <w:pPr>
              <w:jc w:val="center"/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SHARON CRISTINA MORALES MARTÍNEZ </w:t>
            </w:r>
          </w:p>
          <w:p w:rsidR="006167C8" w:rsidRDefault="00000FD9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COMISIONADA</w:t>
            </w:r>
          </w:p>
          <w:p w:rsidR="006167C8" w:rsidRDefault="006167C8">
            <w:pPr>
              <w:spacing w:line="360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4"/>
          <w:szCs w:val="14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4"/>
          <w:szCs w:val="14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4"/>
          <w:szCs w:val="14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4"/>
          <w:szCs w:val="14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color w:val="000000"/>
          <w:sz w:val="14"/>
          <w:szCs w:val="14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bookmarkStart w:id="1" w:name="_GoBack"/>
      <w:bookmarkEnd w:id="1"/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6167C8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6167C8" w:rsidRDefault="00000FD9">
      <w:pPr>
        <w:spacing w:line="36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16"/>
          <w:szCs w:val="16"/>
        </w:rPr>
        <w:t>BLA/DEMF/PMRE</w:t>
      </w:r>
    </w:p>
    <w:sectPr w:rsidR="006167C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134" w:header="708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D9" w:rsidRDefault="00000FD9">
      <w:r>
        <w:separator/>
      </w:r>
    </w:p>
  </w:endnote>
  <w:endnote w:type="continuationSeparator" w:id="0">
    <w:p w:rsidR="00000FD9" w:rsidRDefault="0000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28"/>
      </w:tabs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28"/>
      </w:tabs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28"/>
      </w:tabs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t xml:space="preserve">Página </w:t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instrText>PAGE</w:instrText>
    </w:r>
    <w:r w:rsidR="006C4E00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separate"/>
    </w:r>
    <w:r w:rsidR="006C4E00">
      <w:rPr>
        <w:rFonts w:ascii="Palatino Linotype" w:eastAsia="Palatino Linotype" w:hAnsi="Palatino Linotype" w:cs="Palatino Linotype"/>
        <w:b/>
        <w:noProof/>
        <w:color w:val="000000"/>
        <w:sz w:val="20"/>
        <w:szCs w:val="20"/>
      </w:rPr>
      <w:t>1</w:t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de </w:t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instrText>NUMPAGES</w:instrText>
    </w:r>
    <w:r w:rsidR="006C4E00"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separate"/>
    </w:r>
    <w:r w:rsidR="006C4E00">
      <w:rPr>
        <w:rFonts w:ascii="Palatino Linotype" w:eastAsia="Palatino Linotype" w:hAnsi="Palatino Linotype" w:cs="Palatino Linotype"/>
        <w:b/>
        <w:noProof/>
        <w:color w:val="000000"/>
        <w:sz w:val="20"/>
        <w:szCs w:val="20"/>
      </w:rPr>
      <w:t>1</w:t>
    </w: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fldChar w:fldCharType="end"/>
    </w: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8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D9" w:rsidRDefault="00000FD9">
      <w:r>
        <w:separator/>
      </w:r>
    </w:p>
  </w:footnote>
  <w:footnote w:type="continuationSeparator" w:id="0">
    <w:p w:rsidR="00000FD9" w:rsidRDefault="0000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C8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611.25pt;height:91.65pt;rotation:315;z-index:-251657216;visibility:visible;mso-position-horizontal:center;mso-position-horizontal-relative:margin;mso-position-vertical:center;mso-position-vertical-relative:margin" fillcolor="#f7caac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C8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center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Calibri" w:eastAsia="Calibri" w:hAnsi="Calibri" w:cs="Calibri"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left:0;text-align:left;margin-left:0;margin-top:0;width:614.65pt;height:91.65pt;rotation:315;z-index:-251659264;visibility:visible;mso-position-horizontal:center;mso-position-horizontal-relative:margin;mso-position-vertical:center;mso-position-vertical-relative:margin" fillcolor="gray" stroked="f">
          <v:fill opacity=".5"/>
          <v:textpath style="font-family:&quot;&amp;quot&quot;;font-size:1pt" string="VOTO DISIDENTE"/>
          <w10:wrap anchorx="margin" anchory="margin"/>
        </v:shape>
      </w:pict>
    </w:r>
    <w:r>
      <w:rPr>
        <w:noProof/>
      </w:rPr>
      <w:drawing>
        <wp:anchor distT="0" distB="0" distL="0" distR="0" simplePos="0" relativeHeight="251656192" behindDoc="1" locked="0" layoutInCell="1" hidden="0" allowOverlap="1">
          <wp:simplePos x="0" y="0"/>
          <wp:positionH relativeFrom="column">
            <wp:posOffset>-694679</wp:posOffset>
          </wp:positionH>
          <wp:positionV relativeFrom="paragraph">
            <wp:posOffset>-342254</wp:posOffset>
          </wp:positionV>
          <wp:extent cx="7604125" cy="9903460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right"/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right"/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b/>
        <w:color w:val="000000"/>
        <w:sz w:val="20"/>
        <w:szCs w:val="20"/>
      </w:rPr>
      <w:t>VOTO DISIDENTE</w:t>
    </w:r>
  </w:p>
  <w:p w:rsidR="006167C8" w:rsidRPr="006C4E00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right"/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  <w:r w:rsidRPr="006C4E00">
      <w:rPr>
        <w:rFonts w:ascii="Palatino Linotype" w:eastAsia="Palatino Linotype" w:hAnsi="Palatino Linotype" w:cs="Palatino Linotype"/>
        <w:b/>
        <w:color w:val="000000"/>
        <w:sz w:val="20"/>
        <w:szCs w:val="20"/>
      </w:rPr>
      <w:t xml:space="preserve">                RECURSO DE REVISIÓN </w:t>
    </w:r>
    <w:r w:rsidRPr="006C4E00">
      <w:rPr>
        <w:rFonts w:ascii="Palatino Linotype" w:eastAsia="Palatino Linotype" w:hAnsi="Palatino Linotype" w:cs="Palatino Linotype"/>
        <w:b/>
        <w:sz w:val="20"/>
        <w:szCs w:val="20"/>
      </w:rPr>
      <w:t>11989</w:t>
    </w:r>
    <w:r w:rsidRPr="006C4E00">
      <w:rPr>
        <w:rFonts w:ascii="Palatino Linotype" w:eastAsia="Palatino Linotype" w:hAnsi="Palatino Linotype" w:cs="Palatino Linotype"/>
        <w:b/>
        <w:color w:val="000000"/>
        <w:sz w:val="20"/>
        <w:szCs w:val="20"/>
      </w:rPr>
      <w:t xml:space="preserve">/INFOEM/IP/RR/2022 </w:t>
    </w:r>
    <w:r w:rsidR="006C4E00">
      <w:rPr>
        <w:rFonts w:ascii="Palatino Linotype" w:eastAsia="Palatino Linotype" w:hAnsi="Palatino Linotype" w:cs="Palatino Linotype"/>
        <w:b/>
        <w:color w:val="000000"/>
        <w:sz w:val="20"/>
        <w:szCs w:val="20"/>
      </w:rPr>
      <w:t>Y ACUMULADOS</w:t>
    </w: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right"/>
      <w:rPr>
        <w:rFonts w:ascii="Palatino Linotype" w:eastAsia="Palatino Linotype" w:hAnsi="Palatino Linotype" w:cs="Palatino Linotype"/>
        <w:b/>
        <w:color w:val="000000"/>
        <w:sz w:val="20"/>
        <w:szCs w:val="20"/>
      </w:rPr>
    </w:pPr>
  </w:p>
  <w:p w:rsidR="006167C8" w:rsidRDefault="006167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26"/>
      </w:tabs>
      <w:jc w:val="right"/>
      <w:rPr>
        <w:rFonts w:ascii="Palatino Linotype" w:eastAsia="Palatino Linotype" w:hAnsi="Palatino Linotype" w:cs="Palatino Linotype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C8" w:rsidRDefault="00000F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611.25pt;height:91.65pt;rotation:315;z-index:-251658240;visibility:visible;mso-position-horizontal:center;mso-position-horizontal-relative:margin;mso-position-vertical:center;mso-position-vertical-relative:margin" fillcolor="#f7caac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0420"/>
    <w:multiLevelType w:val="multilevel"/>
    <w:tmpl w:val="CBA29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C8"/>
    <w:rsid w:val="00000FD9"/>
    <w:rsid w:val="006167C8"/>
    <w:rsid w:val="006C4E00"/>
    <w:rsid w:val="00C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F8343E"/>
  <w15:docId w15:val="{DE79BB28-3791-4F8D-A75C-188087C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38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143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81438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8143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38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aliases w:val="Footnotes refss,Texto de nota al pie,Ref. de nota al pie 2,Appel note de bas de page,referencia nota al pie,BVI fnr,Footnote number,f,4_G,16 Point,Superscript 6 Point,Texto nota al pie,Footnote Reference Char3"/>
    <w:uiPriority w:val="99"/>
    <w:unhideWhenUsed/>
    <w:rsid w:val="0028660C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28660C"/>
    <w:rPr>
      <w:sz w:val="20"/>
      <w:szCs w:val="20"/>
    </w:rPr>
  </w:style>
  <w:style w:type="character" w:customStyle="1" w:styleId="TextonotapieCar">
    <w:name w:val="Texto nota pie Car"/>
    <w:basedOn w:val="Fuentedeprrafopredeter"/>
    <w:uiPriority w:val="99"/>
    <w:semiHidden/>
    <w:rsid w:val="002866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1">
    <w:name w:val="Texto nota pie Car1"/>
    <w:link w:val="Textonotapie"/>
    <w:uiPriority w:val="99"/>
    <w:semiHidden/>
    <w:rsid w:val="0028660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4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49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B2511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457C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2D3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rsid w:val="003868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,INAI"/>
    <w:link w:val="SinespaciadoCar"/>
    <w:uiPriority w:val="1"/>
    <w:qFormat/>
    <w:rsid w:val="00630A16"/>
    <w:rPr>
      <w:rFonts w:eastAsiaTheme="minorEastAsia"/>
      <w:lang w:val="es-ES_tradnl" w:eastAsia="es-ES"/>
    </w:rPr>
  </w:style>
  <w:style w:type="character" w:customStyle="1" w:styleId="SinespaciadoCar">
    <w:name w:val="Sin espaciado Car"/>
    <w:aliases w:val="Francesa Car,INAI Car"/>
    <w:link w:val="Sinespaciado"/>
    <w:uiPriority w:val="1"/>
    <w:locked/>
    <w:rsid w:val="00630A16"/>
    <w:rPr>
      <w:rFonts w:eastAsiaTheme="minorEastAsia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rvCfOx1Uj5MaOnQwmhU/KkT/IQ==">AMUW2mWA0GzzVXc95stynbFVHFzW8g1hrvmxi4xhY2CW0iIhocj6M9L7CDb5339KuMbvulOh7ofqRkKQ8Vvq8r3xgC0+CZN89RriNk+BFStSOPg2DfxpsAtHwPmjdJkwqPItewCudFmD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2220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Edith Mejia</cp:lastModifiedBy>
  <cp:revision>2</cp:revision>
  <dcterms:created xsi:type="dcterms:W3CDTF">2022-05-30T22:20:00Z</dcterms:created>
  <dcterms:modified xsi:type="dcterms:W3CDTF">2023-01-16T05:44:00Z</dcterms:modified>
</cp:coreProperties>
</file>