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9A" w:rsidRDefault="00530561">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DÉCIMA SEGUNDA SESIÓN ORDINARIA DEL VEINTINUEVE DE MARZO DE DOS MIL VEINTITRÉS, EN EL RECURSO DE REVISIÓN 00311/INFOEM/IP/RR/2023. </w:t>
      </w:r>
    </w:p>
    <w:p w:rsidR="003E419A" w:rsidRDefault="003E419A">
      <w:pPr>
        <w:spacing w:after="0" w:line="360" w:lineRule="auto"/>
        <w:jc w:val="both"/>
        <w:rPr>
          <w:rFonts w:ascii="Palatino Linotype" w:eastAsia="Palatino Linotype" w:hAnsi="Palatino Linotype" w:cs="Palatino Linotype"/>
          <w:b/>
          <w:sz w:val="24"/>
          <w:szCs w:val="24"/>
        </w:rPr>
      </w:pPr>
    </w:p>
    <w:p w:rsidR="003E419A" w:rsidRDefault="005305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00311/INFOEM/IP/RR/2023 </w:t>
      </w:r>
      <w:r>
        <w:rPr>
          <w:rFonts w:ascii="Palatino Linotype" w:eastAsia="Palatino Linotype" w:hAnsi="Palatino Linotype" w:cs="Palatino Linotype"/>
          <w:sz w:val="24"/>
          <w:szCs w:val="24"/>
        </w:rPr>
        <w:t>pronunciada por el Pleno de este Instituto ante el proyecto presentado por el Comisionado Luis Gustavo Parra Noriega, el cual se formuló, conforme al tenor siguiente:</w:t>
      </w:r>
    </w:p>
    <w:p w:rsidR="003E419A" w:rsidRDefault="003E419A">
      <w:pPr>
        <w:spacing w:after="0" w:line="360" w:lineRule="auto"/>
        <w:jc w:val="both"/>
        <w:rPr>
          <w:rFonts w:ascii="Palatino Linotype" w:eastAsia="Palatino Linotype" w:hAnsi="Palatino Linotype" w:cs="Palatino Linotype"/>
          <w:b/>
          <w:sz w:val="24"/>
          <w:szCs w:val="24"/>
        </w:rPr>
      </w:pPr>
    </w:p>
    <w:p w:rsidR="003E419A" w:rsidRDefault="00530561">
      <w:pPr>
        <w:numPr>
          <w:ilvl w:val="0"/>
          <w:numId w:val="1"/>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3E419A" w:rsidRDefault="003E419A">
      <w:pPr>
        <w:spacing w:after="0" w:line="360" w:lineRule="auto"/>
        <w:jc w:val="both"/>
        <w:rPr>
          <w:rFonts w:ascii="Palatino Linotype" w:eastAsia="Palatino Linotype" w:hAnsi="Palatino Linotype" w:cs="Palatino Linotype"/>
          <w:sz w:val="24"/>
          <w:szCs w:val="24"/>
        </w:rPr>
      </w:pPr>
    </w:p>
    <w:p w:rsidR="003E419A" w:rsidRDefault="005305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3E419A" w:rsidRDefault="003E419A">
      <w:pPr>
        <w:spacing w:after="0" w:line="360" w:lineRule="auto"/>
        <w:jc w:val="both"/>
        <w:rPr>
          <w:rFonts w:ascii="Palatino Linotype" w:eastAsia="Palatino Linotype" w:hAnsi="Palatino Linotype" w:cs="Palatino Linotype"/>
          <w:sz w:val="24"/>
          <w:szCs w:val="24"/>
        </w:rPr>
      </w:pPr>
    </w:p>
    <w:p w:rsidR="003E419A" w:rsidRDefault="00530561">
      <w:pPr>
        <w:pBdr>
          <w:top w:val="nil"/>
          <w:left w:val="nil"/>
          <w:bottom w:val="nil"/>
          <w:right w:val="nil"/>
          <w:between w:val="nil"/>
        </w:pBdr>
        <w:tabs>
          <w:tab w:val="left" w:pos="567"/>
        </w:tabs>
        <w:spacing w:after="0" w:line="240" w:lineRule="auto"/>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“C</w:t>
      </w:r>
      <w:r>
        <w:rPr>
          <w:rFonts w:ascii="Palatino Linotype" w:eastAsia="Palatino Linotype" w:hAnsi="Palatino Linotype" w:cs="Palatino Linotype"/>
          <w:i/>
          <w:color w:val="000000"/>
        </w:rPr>
        <w:t xml:space="preserve">on fundamento jurídico en el artículo 6 de la Constitución Política de los Estados Unidos Mexicanos y del artículo 5 de la Constitución Política del Estado Libre y Soberano de México que tutelan el derecho de acceso a la información pública así como del artículo </w:t>
      </w:r>
      <w:r>
        <w:rPr>
          <w:rFonts w:ascii="Palatino Linotype" w:eastAsia="Palatino Linotype" w:hAnsi="Palatino Linotype" w:cs="Palatino Linotype"/>
          <w:i/>
          <w:color w:val="000000"/>
        </w:rPr>
        <w:lastRenderedPageBreak/>
        <w:t xml:space="preserve">23, Fracción IV, Capítulo II de la Ley de Transparencia y Acceso a la Información Pública del Estado de México y Municipios, tenemos a bien solicitar: </w:t>
      </w:r>
      <w:r>
        <w:rPr>
          <w:rFonts w:ascii="Palatino Linotype" w:eastAsia="Palatino Linotype" w:hAnsi="Palatino Linotype" w:cs="Palatino Linotype"/>
          <w:b/>
          <w:i/>
          <w:color w:val="000000"/>
          <w:u w:val="single"/>
        </w:rPr>
        <w:t>a).Convenio y Pólizas cheque que amparen los finiquitos por las Renuncias de los servidores públicos a la relación laboral con el H. Ayuntamiento de los meses de ENERO A NOVIEMBRE del 2022."</w:t>
      </w:r>
    </w:p>
    <w:p w:rsidR="003E419A" w:rsidRDefault="003E419A" w:rsidP="00530561">
      <w:pPr>
        <w:spacing w:after="0" w:line="360" w:lineRule="auto"/>
        <w:jc w:val="both"/>
        <w:rPr>
          <w:rFonts w:ascii="Palatino Linotype" w:eastAsia="Palatino Linotype" w:hAnsi="Palatino Linotype" w:cs="Palatino Linotype"/>
        </w:rPr>
      </w:pPr>
    </w:p>
    <w:p w:rsidR="003E419A" w:rsidRDefault="0053056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su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refirió a través de su Tesorería Municipal que derivado de una búsqueda exhaustiva y razonable dentro de los archivos que integran al Sujeto Obligado, no se encontró registro alguno por concepto de renuncias, toda vez que </w:t>
      </w:r>
      <w:r>
        <w:rPr>
          <w:rFonts w:ascii="Palatino Linotype" w:eastAsia="Palatino Linotype" w:hAnsi="Palatino Linotype" w:cs="Palatino Linotype"/>
          <w:b/>
          <w:sz w:val="24"/>
          <w:szCs w:val="24"/>
        </w:rPr>
        <w:t xml:space="preserve">no ha sido generado, poseído y/o administrado. </w:t>
      </w:r>
    </w:p>
    <w:p w:rsidR="003E419A" w:rsidRDefault="003E419A">
      <w:pPr>
        <w:spacing w:after="0" w:line="360" w:lineRule="auto"/>
        <w:jc w:val="both"/>
        <w:rPr>
          <w:rFonts w:ascii="Palatino Linotype" w:eastAsia="Palatino Linotype" w:hAnsi="Palatino Linotype" w:cs="Palatino Linotype"/>
          <w:sz w:val="24"/>
          <w:szCs w:val="24"/>
        </w:rPr>
      </w:pPr>
    </w:p>
    <w:p w:rsidR="003E419A" w:rsidRDefault="005305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3E419A" w:rsidRDefault="003E419A">
      <w:pPr>
        <w:tabs>
          <w:tab w:val="left" w:pos="709"/>
        </w:tabs>
        <w:spacing w:after="0" w:line="360" w:lineRule="auto"/>
        <w:ind w:left="850" w:right="899"/>
        <w:jc w:val="both"/>
        <w:rPr>
          <w:rFonts w:ascii="Palatino Linotype" w:eastAsia="Palatino Linotype" w:hAnsi="Palatino Linotype" w:cs="Palatino Linotype"/>
          <w:i/>
        </w:rPr>
      </w:pPr>
    </w:p>
    <w:p w:rsidR="003E419A" w:rsidRDefault="00530561">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“No me entregaron nada de lo que solicité por transparencia,” </w:t>
      </w:r>
    </w:p>
    <w:p w:rsidR="003E419A" w:rsidRDefault="003E419A">
      <w:pPr>
        <w:tabs>
          <w:tab w:val="left" w:pos="709"/>
        </w:tabs>
        <w:spacing w:after="0" w:line="360" w:lineRule="auto"/>
        <w:ind w:left="850" w:right="899"/>
        <w:jc w:val="both"/>
        <w:rPr>
          <w:rFonts w:ascii="Palatino Linotype" w:eastAsia="Palatino Linotype" w:hAnsi="Palatino Linotype" w:cs="Palatino Linotype"/>
          <w:i/>
        </w:rPr>
      </w:pPr>
    </w:p>
    <w:p w:rsidR="003E419A" w:rsidRDefault="005305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las constancias que obran en el expediente en el SAIMEX, se advierte que el Sujeto Obligado mediante informe justificado nuevamente informó que no contaba con la documentación requerida en la solicitud de información.  </w:t>
      </w:r>
    </w:p>
    <w:p w:rsidR="003E419A" w:rsidRDefault="003E419A">
      <w:pPr>
        <w:spacing w:after="0" w:line="360" w:lineRule="auto"/>
        <w:ind w:right="-6"/>
        <w:jc w:val="both"/>
        <w:rPr>
          <w:rFonts w:ascii="Palatino Linotype" w:eastAsia="Palatino Linotype" w:hAnsi="Palatino Linotype" w:cs="Palatino Linotype"/>
          <w:sz w:val="24"/>
          <w:szCs w:val="24"/>
        </w:rPr>
      </w:pPr>
    </w:p>
    <w:p w:rsidR="003E419A" w:rsidRDefault="00530561">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y determinó </w:t>
      </w:r>
      <w:r>
        <w:rPr>
          <w:rFonts w:ascii="Palatino Linotype" w:eastAsia="Palatino Linotype" w:hAnsi="Palatino Linotype" w:cs="Palatino Linotype"/>
          <w:b/>
          <w:sz w:val="24"/>
          <w:szCs w:val="24"/>
        </w:rPr>
        <w:t>MODIFICAR</w:t>
      </w:r>
      <w:r>
        <w:rPr>
          <w:rFonts w:ascii="Palatino Linotype" w:eastAsia="Palatino Linotype" w:hAnsi="Palatino Linotype" w:cs="Palatino Linotype"/>
          <w:sz w:val="24"/>
          <w:szCs w:val="24"/>
        </w:rPr>
        <w:t xml:space="preserv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ordenar lo siguiente:</w:t>
      </w:r>
    </w:p>
    <w:p w:rsidR="003E419A" w:rsidRDefault="003E419A">
      <w:pPr>
        <w:pBdr>
          <w:top w:val="nil"/>
          <w:left w:val="nil"/>
          <w:bottom w:val="nil"/>
          <w:right w:val="nil"/>
          <w:between w:val="nil"/>
        </w:pBdr>
        <w:spacing w:after="0" w:line="360" w:lineRule="auto"/>
        <w:ind w:left="851" w:right="706"/>
        <w:rPr>
          <w:rFonts w:ascii="Palatino Linotype" w:eastAsia="Palatino Linotype" w:hAnsi="Palatino Linotype" w:cs="Palatino Linotype"/>
          <w:i/>
          <w:color w:val="000000"/>
        </w:rPr>
      </w:pPr>
      <w:bookmarkStart w:id="1" w:name="_heading=h.30j0zll" w:colFirst="0" w:colLast="0"/>
      <w:bookmarkEnd w:id="1"/>
    </w:p>
    <w:p w:rsidR="003E419A" w:rsidRDefault="00530561">
      <w:pPr>
        <w:pBdr>
          <w:top w:val="nil"/>
          <w:left w:val="nil"/>
          <w:bottom w:val="nil"/>
          <w:right w:val="nil"/>
          <w:between w:val="nil"/>
        </w:pBdr>
        <w:spacing w:after="0" w:line="360" w:lineRule="auto"/>
        <w:ind w:left="851" w:right="706"/>
        <w:jc w:val="center"/>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3E419A" w:rsidRDefault="00530561">
      <w:pPr>
        <w:spacing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w:t>
      </w:r>
      <w:r>
        <w:rPr>
          <w:rFonts w:ascii="Palatino Linotype" w:eastAsia="Palatino Linotype" w:hAnsi="Palatino Linotype" w:cs="Palatino Linotype"/>
          <w:b/>
          <w:i/>
        </w:rPr>
        <w:t>Ayuntamiento de Toluca</w:t>
      </w:r>
      <w:r>
        <w:rPr>
          <w:rFonts w:ascii="Palatino Linotype" w:eastAsia="Palatino Linotype" w:hAnsi="Palatino Linotype" w:cs="Palatino Linotype"/>
          <w:i/>
        </w:rPr>
        <w:t xml:space="preserve">, a efecto de que, previa búsqueda exhaustiva y razonable en los archivos de sus áreas competentes, remita, a través del Sistema de Acceso a la Información Mexiquense (SAIMEX), de ser procedente en versión pública los documentos en donde conste de los servidores públicos que renunciaron del primero de enero al veinticuatro de noviembre de dos mil veintidós los convenios y las pólizas cheque del pago de finiquitos. </w:t>
      </w:r>
    </w:p>
    <w:p w:rsidR="003E419A" w:rsidRDefault="00530561">
      <w:pPr>
        <w:spacing w:after="0" w:line="36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b/>
          <w:i/>
        </w:rPr>
        <w:t>…</w:t>
      </w:r>
    </w:p>
    <w:p w:rsidR="003E419A" w:rsidRDefault="00530561">
      <w:pPr>
        <w:numPr>
          <w:ilvl w:val="0"/>
          <w:numId w:val="1"/>
        </w:numPr>
        <w:pBdr>
          <w:top w:val="nil"/>
          <w:left w:val="nil"/>
          <w:bottom w:val="nil"/>
          <w:right w:val="nil"/>
          <w:between w:val="nil"/>
        </w:pBdr>
        <w:spacing w:after="0" w:line="360" w:lineRule="auto"/>
        <w:ind w:left="284"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3E419A" w:rsidRDefault="003E419A">
      <w:pPr>
        <w:pBdr>
          <w:top w:val="nil"/>
          <w:left w:val="nil"/>
          <w:bottom w:val="nil"/>
          <w:right w:val="nil"/>
          <w:between w:val="nil"/>
        </w:pBdr>
        <w:spacing w:after="0" w:line="360" w:lineRule="auto"/>
        <w:ind w:left="284"/>
        <w:jc w:val="both"/>
        <w:rPr>
          <w:rFonts w:ascii="Palatino Linotype" w:eastAsia="Palatino Linotype" w:hAnsi="Palatino Linotype" w:cs="Palatino Linotype"/>
          <w:b/>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principio, es de recordar que la pretensión del Particular era obtener la información relacionada con los convenios y pólizas cheque que amparen finiquitos por concepto de renuncia. </w:t>
      </w: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es de señalar que el </w:t>
      </w:r>
      <w:r>
        <w:rPr>
          <w:rFonts w:ascii="Palatino Linotype" w:eastAsia="Palatino Linotype" w:hAnsi="Palatino Linotype" w:cs="Palatino Linotype"/>
          <w:i/>
          <w:sz w:val="24"/>
          <w:szCs w:val="24"/>
        </w:rPr>
        <w:t xml:space="preserve">“finiquito” </w:t>
      </w:r>
      <w:r>
        <w:rPr>
          <w:rFonts w:ascii="Palatino Linotype" w:eastAsia="Palatino Linotype" w:hAnsi="Palatino Linotype" w:cs="Palatino Linotype"/>
          <w:sz w:val="24"/>
          <w:szCs w:val="24"/>
        </w:rPr>
        <w:t xml:space="preserve">es entendido como el pago que debe recibir el trabajador por la rescisión del contrato laboral y mediante el cual se saldan las diferencias salariales entre el trabajador y el patrón. </w:t>
      </w: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presente caso, se tiene que, en caso de existir rescisiones de contratos laborales, quien erogaría el recurso sería el Ayuntamiento de Toluca, por lo que, al tratarse de una erogación de recursos públicos, estas operaciones deben estar asentadas en pólizas; entendidas estas como aquellos documentos en donde se indican los movimientos u operaciones realizados por su titular. </w:t>
      </w: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así que, el Ayuntamiento de Toluca a través de su unidad administrativa competente, llevaría a cabo estas operaciones, asentando en los documentos respectivos los movimientos de recursos públicos que en su caso acontecieran, en ese contexto, de conformidad con lo que establece el Código Reglamentario Municipal de Toluca, la Tesorería Municipal tendrá las siguientes atribuciones:</w:t>
      </w:r>
    </w:p>
    <w:p w:rsidR="003E419A" w:rsidRDefault="003E419A">
      <w:pPr>
        <w:spacing w:after="0" w:line="360" w:lineRule="auto"/>
        <w:ind w:left="567" w:right="539"/>
        <w:jc w:val="both"/>
        <w:rPr>
          <w:rFonts w:ascii="Palatino Linotype" w:eastAsia="Palatino Linotype" w:hAnsi="Palatino Linotype" w:cs="Palatino Linotype"/>
          <w:b/>
          <w:i/>
          <w:sz w:val="24"/>
          <w:szCs w:val="24"/>
        </w:rPr>
      </w:pPr>
    </w:p>
    <w:p w:rsidR="003E419A" w:rsidRDefault="00530561">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i/>
        </w:rPr>
        <w:t>Artículo 3.19.</w:t>
      </w:r>
      <w:r>
        <w:rPr>
          <w:rFonts w:ascii="Palatino Linotype" w:eastAsia="Palatino Linotype" w:hAnsi="Palatino Linotype" w:cs="Palatino Linotype"/>
          <w:i/>
        </w:rPr>
        <w:t xml:space="preserve"> La o el titular de la Tesorería Municipal tendrá las siguientes atribuciones:</w:t>
      </w:r>
    </w:p>
    <w:p w:rsidR="003E419A" w:rsidRDefault="00530561">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i/>
        </w:rPr>
        <w:t>…</w:t>
      </w:r>
    </w:p>
    <w:p w:rsidR="003E419A" w:rsidRDefault="00530561">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3E419A" w:rsidRDefault="00530561">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sz w:val="24"/>
          <w:szCs w:val="24"/>
        </w:rPr>
        <w:t xml:space="preserve"> </w:t>
      </w:r>
    </w:p>
    <w:p w:rsidR="003E419A" w:rsidRDefault="003E419A">
      <w:pPr>
        <w:tabs>
          <w:tab w:val="left" w:pos="7938"/>
        </w:tabs>
        <w:spacing w:after="0" w:line="276" w:lineRule="auto"/>
        <w:ind w:left="567" w:right="706"/>
        <w:jc w:val="both"/>
        <w:rPr>
          <w:rFonts w:ascii="Palatino Linotype" w:eastAsia="Palatino Linotype" w:hAnsi="Palatino Linotype" w:cs="Palatino Linotype"/>
          <w:i/>
        </w:rPr>
      </w:pPr>
    </w:p>
    <w:p w:rsidR="003E419A" w:rsidRDefault="00530561">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 anterior, se advierte que la unidad administrativa competente para conocer, generar y administrar las operaciones financieras presupuestables y contables que lleva a cabo el ayuntamiento, es la Tesorería Municipal, siendo que, en el asunto que nos ocupa, esta dependencia fue quien se pronunció en respuesta a la solicitud de </w:t>
      </w:r>
      <w:r>
        <w:rPr>
          <w:rFonts w:ascii="Palatino Linotype" w:eastAsia="Palatino Linotype" w:hAnsi="Palatino Linotype" w:cs="Palatino Linotype"/>
          <w:sz w:val="24"/>
          <w:szCs w:val="24"/>
        </w:rPr>
        <w:lastRenderedPageBreak/>
        <w:t xml:space="preserve">información </w:t>
      </w:r>
      <w:r>
        <w:rPr>
          <w:rFonts w:ascii="Palatino Linotype" w:eastAsia="Palatino Linotype" w:hAnsi="Palatino Linotype" w:cs="Palatino Linotype"/>
          <w:b/>
        </w:rPr>
        <w:t xml:space="preserve">02604/TOLUCA/IP/2022 </w:t>
      </w:r>
      <w:r>
        <w:rPr>
          <w:rFonts w:ascii="Palatino Linotype" w:eastAsia="Palatino Linotype" w:hAnsi="Palatino Linotype" w:cs="Palatino Linotype"/>
          <w:sz w:val="24"/>
          <w:szCs w:val="24"/>
        </w:rPr>
        <w:t xml:space="preserve">señalando que no se había encontrado registro alguno por concepto de renuncia, toda vez que </w:t>
      </w:r>
      <w:r>
        <w:rPr>
          <w:rFonts w:ascii="Palatino Linotype" w:eastAsia="Palatino Linotype" w:hAnsi="Palatino Linotype" w:cs="Palatino Linotype"/>
          <w:b/>
          <w:sz w:val="24"/>
          <w:szCs w:val="24"/>
        </w:rPr>
        <w:t xml:space="preserve">no se había generado dicha información. </w:t>
      </w:r>
    </w:p>
    <w:p w:rsidR="003E419A" w:rsidRDefault="003E419A">
      <w:pPr>
        <w:tabs>
          <w:tab w:val="left" w:pos="142"/>
          <w:tab w:val="left" w:pos="284"/>
        </w:tabs>
        <w:spacing w:after="0" w:line="360" w:lineRule="auto"/>
        <w:jc w:val="both"/>
        <w:rPr>
          <w:rFonts w:ascii="Palatino Linotype" w:eastAsia="Palatino Linotype" w:hAnsi="Palatino Linotype" w:cs="Palatino Linotype"/>
          <w:sz w:val="24"/>
          <w:szCs w:val="24"/>
        </w:rPr>
      </w:pPr>
    </w:p>
    <w:p w:rsidR="003E419A" w:rsidRDefault="00530561">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esta razón que considero que, debido a que la unidad administrativa competente se pronunció señalando que no había generado la información solicitada, nos encontramos en presencia de la figura conocida como hechos negativos, la cual establece que:</w:t>
      </w:r>
    </w:p>
    <w:p w:rsidR="003E419A" w:rsidRDefault="003E419A">
      <w:pPr>
        <w:tabs>
          <w:tab w:val="left" w:pos="142"/>
          <w:tab w:val="left" w:pos="284"/>
        </w:tabs>
        <w:spacing w:after="0" w:line="360" w:lineRule="auto"/>
        <w:jc w:val="both"/>
        <w:rPr>
          <w:rFonts w:ascii="Palatino Linotype" w:eastAsia="Palatino Linotype" w:hAnsi="Palatino Linotype" w:cs="Palatino Linotype"/>
          <w:sz w:val="24"/>
          <w:szCs w:val="24"/>
        </w:rPr>
      </w:pPr>
    </w:p>
    <w:p w:rsidR="003E419A" w:rsidRDefault="00530561">
      <w:pPr>
        <w:spacing w:after="0" w:line="276" w:lineRule="auto"/>
        <w:ind w:left="567" w:right="851"/>
        <w:jc w:val="center"/>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b/>
          <w:i/>
        </w:rPr>
        <w:t>HECHOS NEGATIVOS, NO SON SUSCEPTIBLES DE DEMOSTRACIÓN</w:t>
      </w:r>
      <w:r>
        <w:rPr>
          <w:rFonts w:ascii="Palatino Linotype" w:eastAsia="Palatino Linotype" w:hAnsi="Palatino Linotype" w:cs="Palatino Linotype"/>
          <w:i/>
        </w:rPr>
        <w:t>.</w:t>
      </w:r>
    </w:p>
    <w:p w:rsidR="003E419A" w:rsidRDefault="00530561">
      <w:pPr>
        <w:spacing w:after="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rsidR="003E419A" w:rsidRDefault="003E419A">
      <w:pPr>
        <w:ind w:left="851" w:right="851"/>
        <w:jc w:val="both"/>
        <w:rPr>
          <w:rFonts w:ascii="Palatino Linotype" w:eastAsia="Palatino Linotype" w:hAnsi="Palatino Linotype" w:cs="Palatino Linotype"/>
          <w:i/>
        </w:rPr>
      </w:pPr>
    </w:p>
    <w:p w:rsidR="003E419A" w:rsidRDefault="00530561">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Máxime que, del pronunciamiento del Sujeto Obligado, este Órgano Garante estima conveniente señalar que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que a la letra establece lo siguiente:</w:t>
      </w:r>
    </w:p>
    <w:p w:rsidR="003E419A" w:rsidRDefault="003E419A">
      <w:pPr>
        <w:spacing w:after="0" w:line="360" w:lineRule="auto"/>
        <w:ind w:right="-3"/>
        <w:jc w:val="both"/>
        <w:rPr>
          <w:rFonts w:ascii="Palatino Linotype" w:eastAsia="Palatino Linotype" w:hAnsi="Palatino Linotype" w:cs="Palatino Linotype"/>
          <w:i/>
        </w:rPr>
      </w:pPr>
    </w:p>
    <w:p w:rsidR="003E419A" w:rsidRDefault="00530561">
      <w:pPr>
        <w:spacing w:after="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w:t>
      </w:r>
      <w:r>
        <w:rPr>
          <w:rFonts w:ascii="Palatino Linotype" w:eastAsia="Palatino Linotype" w:hAnsi="Palatino Linotype" w:cs="Palatino Linotype"/>
          <w:i/>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419A" w:rsidRDefault="003E419A">
      <w:pPr>
        <w:tabs>
          <w:tab w:val="left" w:pos="142"/>
          <w:tab w:val="left" w:pos="284"/>
        </w:tabs>
        <w:spacing w:after="0" w:line="360" w:lineRule="auto"/>
        <w:jc w:val="both"/>
        <w:rPr>
          <w:rFonts w:ascii="Palatino Linotype" w:eastAsia="Palatino Linotype" w:hAnsi="Palatino Linotype" w:cs="Palatino Linotype"/>
          <w:sz w:val="24"/>
          <w:szCs w:val="24"/>
        </w:rPr>
      </w:pPr>
    </w:p>
    <w:p w:rsidR="003E419A" w:rsidRDefault="0053056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p>
    <w:p w:rsidR="003E419A" w:rsidRDefault="003E419A">
      <w:pPr>
        <w:spacing w:after="0" w:line="360" w:lineRule="auto"/>
        <w:ind w:right="139"/>
        <w:jc w:val="both"/>
        <w:rPr>
          <w:rFonts w:ascii="Palatino Linotype" w:eastAsia="Palatino Linotype" w:hAnsi="Palatino Linotype" w:cs="Palatino Linotype"/>
          <w:sz w:val="24"/>
          <w:szCs w:val="24"/>
        </w:rPr>
      </w:pPr>
      <w:bookmarkStart w:id="2" w:name="_GoBack"/>
      <w:bookmarkEnd w:id="2"/>
    </w:p>
    <w:sectPr w:rsidR="003E419A">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06E" w:rsidRDefault="00BE306E">
      <w:pPr>
        <w:spacing w:after="0" w:line="240" w:lineRule="auto"/>
      </w:pPr>
      <w:r>
        <w:separator/>
      </w:r>
    </w:p>
  </w:endnote>
  <w:endnote w:type="continuationSeparator" w:id="0">
    <w:p w:rsidR="00BE306E" w:rsidRDefault="00BE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06E" w:rsidRDefault="00BE306E">
      <w:pPr>
        <w:spacing w:after="0" w:line="240" w:lineRule="auto"/>
      </w:pPr>
      <w:r>
        <w:separator/>
      </w:r>
    </w:p>
  </w:footnote>
  <w:footnote w:type="continuationSeparator" w:id="0">
    <w:p w:rsidR="00BE306E" w:rsidRDefault="00BE3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19A" w:rsidRDefault="0053056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-683894</wp:posOffset>
          </wp:positionH>
          <wp:positionV relativeFrom="paragraph">
            <wp:posOffset>-605154</wp:posOffset>
          </wp:positionV>
          <wp:extent cx="7510145" cy="9883775"/>
          <wp:effectExtent l="0" t="0" r="0" b="0"/>
          <wp:wrapNone/>
          <wp:docPr id="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3E419A" w:rsidRDefault="0053056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3E419A" w:rsidRDefault="0053056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00311/INFOEM/IP/RR/2023 </w:t>
    </w:r>
  </w:p>
  <w:p w:rsidR="003E419A" w:rsidRDefault="003E419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4024"/>
    <w:multiLevelType w:val="multilevel"/>
    <w:tmpl w:val="E57076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9A"/>
    <w:rsid w:val="003E419A"/>
    <w:rsid w:val="00530561"/>
    <w:rsid w:val="00807063"/>
    <w:rsid w:val="00BE306E"/>
    <w:rsid w:val="00CF6A0B"/>
    <w:rsid w:val="00F15F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2D71D-37C1-4E84-A084-98E8DDEA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8u4YgHOhxAeJnH4lWYSy85kaIg==">AMUW2mWFSsA++HkcKZ88t7iP72lGubjFYZNu//QHWiCWXQMMQTO9GVjx8rOlPyG5QrFWbaygy99dh08MfEasj9sCaeiMzcMlP4SSTTZ+a1AhAQxZoiwJ9HdU5SvLCxkWMaA5ftdy1Q8V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6480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INFOEM415</cp:lastModifiedBy>
  <cp:revision>3</cp:revision>
  <dcterms:created xsi:type="dcterms:W3CDTF">2023-10-17T19:44:00Z</dcterms:created>
  <dcterms:modified xsi:type="dcterms:W3CDTF">2025-02-10T20:50:00Z</dcterms:modified>
</cp:coreProperties>
</file>