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AD" w:rsidRPr="0009741C" w:rsidRDefault="005527AD" w:rsidP="005527AD">
      <w:pPr>
        <w:spacing w:after="0" w:line="360" w:lineRule="auto"/>
        <w:ind w:right="49"/>
        <w:jc w:val="both"/>
        <w:rPr>
          <w:rFonts w:ascii="Palatino Linotype" w:eastAsia="Times New Roman" w:hAnsi="Palatino Linotype" w:cs="Arial"/>
          <w:b/>
          <w:color w:val="000000" w:themeColor="text1"/>
        </w:rPr>
      </w:pPr>
      <w:r w:rsidRPr="0009741C">
        <w:rPr>
          <w:rFonts w:ascii="Palatino Linotype" w:hAnsi="Palatino Linotype" w:cs="Tahoma"/>
          <w:b/>
        </w:rPr>
        <w:t xml:space="preserve">VOTO </w:t>
      </w:r>
      <w:r w:rsidR="00C12762" w:rsidRPr="0009741C">
        <w:rPr>
          <w:rFonts w:ascii="Palatino Linotype" w:hAnsi="Palatino Linotype" w:cs="Tahoma"/>
          <w:b/>
        </w:rPr>
        <w:t>DISIDENTE</w:t>
      </w:r>
      <w:r w:rsidRPr="0009741C">
        <w:rPr>
          <w:rFonts w:ascii="Palatino Linotype" w:hAnsi="Palatino Linotype" w:cs="Tahoma"/>
          <w:b/>
        </w:rPr>
        <w:t xml:space="preserve"> QUE FORMULA EL COMISIONADO LUIS GUSTAVO PARRA NORIEGA, A LA RESO</w:t>
      </w:r>
      <w:r w:rsidR="00201767" w:rsidRPr="0009741C">
        <w:rPr>
          <w:rFonts w:ascii="Palatino Linotype" w:hAnsi="Palatino Linotype" w:cs="Tahoma"/>
          <w:b/>
        </w:rPr>
        <w:t>L</w:t>
      </w:r>
      <w:r w:rsidRPr="0009741C">
        <w:rPr>
          <w:rFonts w:ascii="Palatino Linotype" w:hAnsi="Palatino Linotype" w:cs="Tahoma"/>
          <w:b/>
        </w:rPr>
        <w:t xml:space="preserve">UCIÓN DEL RECURSO DE REVISIÓN </w:t>
      </w:r>
      <w:r w:rsidR="0037193B" w:rsidRPr="0009741C">
        <w:rPr>
          <w:rFonts w:ascii="Palatino Linotype" w:hAnsi="Palatino Linotype" w:cs="Arial"/>
          <w:b/>
          <w:lang w:val="es-MX"/>
        </w:rPr>
        <w:t>15047</w:t>
      </w:r>
      <w:r w:rsidRPr="0009741C">
        <w:rPr>
          <w:rFonts w:ascii="Palatino Linotype" w:hAnsi="Palatino Linotype" w:cs="Arial"/>
          <w:b/>
          <w:lang w:val="es-MX"/>
        </w:rPr>
        <w:t>/INFOEM/IP/RR/202</w:t>
      </w:r>
      <w:r w:rsidR="0037193B" w:rsidRPr="0009741C">
        <w:rPr>
          <w:rFonts w:ascii="Palatino Linotype" w:hAnsi="Palatino Linotype" w:cs="Arial"/>
          <w:b/>
          <w:lang w:val="es-MX"/>
        </w:rPr>
        <w:t>2</w:t>
      </w:r>
      <w:r w:rsidRPr="0009741C">
        <w:rPr>
          <w:rFonts w:ascii="Palatino Linotype" w:hAnsi="Palatino Linotype" w:cs="Tahoma"/>
          <w:b/>
        </w:rPr>
        <w:t xml:space="preserve">, PROMOVIDO EN CONTRA DEL </w:t>
      </w:r>
      <w:r w:rsidR="0037193B" w:rsidRPr="0009741C">
        <w:rPr>
          <w:rFonts w:ascii="Palatino Linotype" w:hAnsi="Palatino Linotype"/>
          <w:b/>
          <w:lang w:val="es-ES_tradnl"/>
        </w:rPr>
        <w:t>AYUNTAMIENTO DE TOLUCA</w:t>
      </w:r>
      <w:r w:rsidR="00394936" w:rsidRPr="0009741C">
        <w:rPr>
          <w:rFonts w:ascii="Palatino Linotype" w:eastAsia="Times New Roman" w:hAnsi="Palatino Linotype" w:cs="Arial"/>
          <w:b/>
          <w:color w:val="000000" w:themeColor="text1"/>
        </w:rPr>
        <w:t>.</w:t>
      </w:r>
    </w:p>
    <w:p w:rsidR="005527AD" w:rsidRPr="0009741C" w:rsidRDefault="005527AD" w:rsidP="005527AD">
      <w:pPr>
        <w:spacing w:after="0" w:line="360" w:lineRule="auto"/>
        <w:ind w:right="49"/>
        <w:jc w:val="both"/>
        <w:rPr>
          <w:rFonts w:ascii="Palatino Linotype" w:hAnsi="Palatino Linotype" w:cs="Tahoma"/>
          <w:sz w:val="20"/>
          <w:szCs w:val="20"/>
        </w:rPr>
      </w:pPr>
    </w:p>
    <w:p w:rsidR="005527AD" w:rsidRPr="0009741C" w:rsidRDefault="005527AD" w:rsidP="005527AD">
      <w:pPr>
        <w:spacing w:after="0" w:line="360" w:lineRule="auto"/>
        <w:ind w:right="49"/>
        <w:jc w:val="both"/>
        <w:rPr>
          <w:rFonts w:ascii="Palatino Linotype" w:hAnsi="Palatino Linotype" w:cs="Tahoma"/>
          <w:b/>
        </w:rPr>
      </w:pPr>
      <w:r w:rsidRPr="0009741C">
        <w:rPr>
          <w:rFonts w:ascii="Palatino Linotype" w:hAnsi="Palatino Linotype" w:cs="Tahoma"/>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w:t>
      </w:r>
      <w:r w:rsidR="0037193B" w:rsidRPr="0009741C">
        <w:rPr>
          <w:rFonts w:ascii="Palatino Linotype" w:hAnsi="Palatino Linotype" w:cs="Tahoma"/>
        </w:rPr>
        <w:t>I</w:t>
      </w:r>
      <w:r w:rsidRPr="0009741C">
        <w:rPr>
          <w:rFonts w:ascii="Palatino Linotype" w:hAnsi="Palatino Linotype" w:cs="Tahoma"/>
        </w:rPr>
        <w:t xml:space="preserve">, de los Lineamientos para el funcionamiento del Pleno y las Comisiones del Instituto de Transparencia, Acceso a la Información Pública y Protección de Datos Personales del Estado de México y Municipios, emito el presente </w:t>
      </w:r>
      <w:r w:rsidRPr="0009741C">
        <w:rPr>
          <w:rFonts w:ascii="Palatino Linotype" w:hAnsi="Palatino Linotype" w:cs="Tahoma"/>
          <w:b/>
        </w:rPr>
        <w:t xml:space="preserve">Voto </w:t>
      </w:r>
      <w:r w:rsidR="00F94829" w:rsidRPr="0009741C">
        <w:rPr>
          <w:rFonts w:ascii="Palatino Linotype" w:hAnsi="Palatino Linotype" w:cs="Tahoma"/>
          <w:b/>
        </w:rPr>
        <w:t>Disidente</w:t>
      </w:r>
      <w:r w:rsidRPr="0009741C">
        <w:rPr>
          <w:rFonts w:ascii="Palatino Linotype" w:hAnsi="Palatino Linotype" w:cs="Tahoma"/>
        </w:rPr>
        <w:t xml:space="preserve"> por no compartir las consideraciones que sustentan la Resolución del Recurso de Revisión </w:t>
      </w:r>
      <w:r w:rsidR="0037193B" w:rsidRPr="0009741C">
        <w:rPr>
          <w:rFonts w:ascii="Palatino Linotype" w:hAnsi="Palatino Linotype" w:cs="Arial"/>
          <w:b/>
          <w:lang w:val="es-MX"/>
        </w:rPr>
        <w:t>15047INFOEM/IP/RR/2022</w:t>
      </w:r>
      <w:r w:rsidRPr="0009741C">
        <w:rPr>
          <w:rFonts w:ascii="Palatino Linotype" w:hAnsi="Palatino Linotype" w:cs="Tahoma"/>
          <w:b/>
          <w:lang w:val="es-ES_tradnl"/>
        </w:rPr>
        <w:t>.</w:t>
      </w:r>
    </w:p>
    <w:p w:rsidR="005527AD" w:rsidRPr="0009741C" w:rsidRDefault="005527AD" w:rsidP="005527AD">
      <w:pPr>
        <w:spacing w:after="0" w:line="360" w:lineRule="auto"/>
        <w:ind w:right="49"/>
        <w:jc w:val="both"/>
        <w:rPr>
          <w:rFonts w:ascii="Palatino Linotype" w:hAnsi="Palatino Linotype" w:cs="Tahoma"/>
          <w:sz w:val="16"/>
        </w:rPr>
      </w:pPr>
    </w:p>
    <w:p w:rsidR="00EB43F0" w:rsidRPr="0009741C" w:rsidRDefault="005527AD" w:rsidP="0037193B">
      <w:pPr>
        <w:spacing w:after="0" w:line="360" w:lineRule="auto"/>
        <w:ind w:right="49"/>
        <w:jc w:val="both"/>
        <w:rPr>
          <w:rFonts w:ascii="Palatino Linotype" w:hAnsi="Palatino Linotype" w:cs="Tahoma"/>
        </w:rPr>
      </w:pPr>
      <w:r w:rsidRPr="0009741C">
        <w:rPr>
          <w:rFonts w:ascii="Palatino Linotype" w:hAnsi="Palatino Linotype" w:cs="Tahoma"/>
        </w:rPr>
        <w:t>Como se desprende de la Resolución en comento, el Particular solicitó</w:t>
      </w:r>
      <w:r w:rsidR="00EB43F0" w:rsidRPr="0009741C">
        <w:rPr>
          <w:rFonts w:ascii="Palatino Linotype" w:hAnsi="Palatino Linotype" w:cs="Tahoma"/>
        </w:rPr>
        <w:t xml:space="preserve"> </w:t>
      </w:r>
      <w:r w:rsidR="00096357" w:rsidRPr="0009741C">
        <w:rPr>
          <w:rFonts w:ascii="Palatino Linotype" w:hAnsi="Palatino Linotype" w:cs="Tahoma"/>
        </w:rPr>
        <w:t>respecto de un inmueble, el</w:t>
      </w:r>
      <w:r w:rsidR="0037193B" w:rsidRPr="0009741C">
        <w:rPr>
          <w:rFonts w:ascii="Palatino Linotype" w:hAnsi="Palatino Linotype" w:cs="Tahoma"/>
        </w:rPr>
        <w:t xml:space="preserve"> expediente en donde se realizó una denuncia, así como verificaciones, permisos o licencias</w:t>
      </w:r>
      <w:r w:rsidR="00096357" w:rsidRPr="0009741C">
        <w:rPr>
          <w:rFonts w:ascii="Palatino Linotype" w:hAnsi="Palatino Linotype" w:cs="Tahoma"/>
          <w:lang w:val="es-ES_tradnl"/>
        </w:rPr>
        <w:t>. Al respecto,</w:t>
      </w:r>
      <w:r w:rsidR="005455F4" w:rsidRPr="0009741C">
        <w:rPr>
          <w:rFonts w:ascii="Palatino Linotype" w:hAnsi="Palatino Linotype" w:cs="Tahoma"/>
          <w:lang w:val="es-ES_tradnl"/>
        </w:rPr>
        <w:t xml:space="preserve"> </w:t>
      </w:r>
      <w:r w:rsidR="00394936" w:rsidRPr="0009741C">
        <w:rPr>
          <w:rFonts w:ascii="Palatino Linotype" w:hAnsi="Palatino Linotype" w:cs="Tahoma"/>
          <w:lang w:val="es-ES_tradnl"/>
        </w:rPr>
        <w:t xml:space="preserve">el Sujeto Obligado </w:t>
      </w:r>
      <w:r w:rsidR="0037193B" w:rsidRPr="0009741C">
        <w:rPr>
          <w:rFonts w:ascii="Palatino Linotype" w:hAnsi="Palatino Linotype" w:cs="Tahoma"/>
          <w:lang w:val="es-ES_tradnl"/>
        </w:rPr>
        <w:t>en respuesta señaló que la información se encontraba clasificada como reservada</w:t>
      </w:r>
      <w:r w:rsidR="00394936" w:rsidRPr="0009741C">
        <w:rPr>
          <w:rFonts w:ascii="Palatino Linotype" w:eastAsiaTheme="minorEastAsia" w:hAnsi="Palatino Linotype" w:cs="Arial"/>
          <w:color w:val="000000" w:themeColor="text1"/>
          <w:szCs w:val="20"/>
          <w:lang w:val="es-ES_tradnl"/>
        </w:rPr>
        <w:t>.</w:t>
      </w:r>
      <w:r w:rsidR="0037193B" w:rsidRPr="0009741C">
        <w:rPr>
          <w:rFonts w:ascii="Palatino Linotype" w:eastAsiaTheme="minorEastAsia" w:hAnsi="Palatino Linotype" w:cs="Arial"/>
          <w:color w:val="000000" w:themeColor="text1"/>
          <w:szCs w:val="20"/>
          <w:lang w:val="es-ES_tradnl"/>
        </w:rPr>
        <w:t xml:space="preserve"> </w:t>
      </w:r>
      <w:r w:rsidR="00E91F1B" w:rsidRPr="0009741C">
        <w:rPr>
          <w:rFonts w:ascii="Palatino Linotype" w:hAnsi="Palatino Linotype" w:cs="Tahoma"/>
        </w:rPr>
        <w:t xml:space="preserve">En esta consecución de ideas, este Organismo Garante, determinó </w:t>
      </w:r>
      <w:r w:rsidR="0037193B" w:rsidRPr="0009741C">
        <w:rPr>
          <w:rFonts w:ascii="Palatino Linotype" w:hAnsi="Palatino Linotype" w:cs="Tahoma"/>
        </w:rPr>
        <w:t>ordenar el Acuerdo realizado de manera correcta ya que no se encontraba debidamente fundamentado y motivado.</w:t>
      </w:r>
      <w:r w:rsidR="00096357" w:rsidRPr="0009741C">
        <w:rPr>
          <w:rFonts w:ascii="Palatino Linotype" w:hAnsi="Palatino Linotype" w:cs="Tahoma"/>
        </w:rPr>
        <w:t xml:space="preserve"> Sin embargo es de destacar que de acuerdo a lo manifestado por el Recurrente y corroborado por la propia Ponencia Resolutora, la misma información fue solicitada por el ahora Recurrente previamente y en el mismo sentido, la información fue clasificada como reservada sin acreditar la prueba de daño, como lo establece la Ley de Transparencia y Acceso a la Información Pública del Estado de México y Municipios.</w:t>
      </w:r>
    </w:p>
    <w:p w:rsidR="0037193B" w:rsidRPr="0009741C" w:rsidRDefault="0037193B" w:rsidP="00F3411E">
      <w:pPr>
        <w:spacing w:after="0" w:line="360" w:lineRule="auto"/>
        <w:jc w:val="both"/>
        <w:rPr>
          <w:rFonts w:ascii="Palatino Linotype" w:hAnsi="Palatino Linotype" w:cs="Arial"/>
          <w:bCs/>
          <w:sz w:val="18"/>
        </w:rPr>
      </w:pPr>
    </w:p>
    <w:p w:rsidR="00096357" w:rsidRPr="0009741C" w:rsidRDefault="00313980" w:rsidP="00F3411E">
      <w:pPr>
        <w:spacing w:after="0" w:line="360" w:lineRule="auto"/>
        <w:jc w:val="both"/>
        <w:rPr>
          <w:rFonts w:ascii="Palatino Linotype" w:hAnsi="Palatino Linotype" w:cs="Arial"/>
          <w:bCs/>
        </w:rPr>
      </w:pPr>
      <w:r w:rsidRPr="0009741C">
        <w:rPr>
          <w:rFonts w:ascii="Palatino Linotype" w:hAnsi="Palatino Linotype" w:cs="Arial"/>
          <w:bCs/>
        </w:rPr>
        <w:t xml:space="preserve">Al respecto, no comparto el sentido de la resolución pues considero que </w:t>
      </w:r>
      <w:r w:rsidR="00096357" w:rsidRPr="0009741C">
        <w:rPr>
          <w:rFonts w:ascii="Palatino Linotype" w:hAnsi="Palatino Linotype" w:cs="Arial"/>
          <w:bCs/>
        </w:rPr>
        <w:t>en el expediente electrónico no se cuenta con</w:t>
      </w:r>
      <w:r w:rsidR="0037193B" w:rsidRPr="0009741C">
        <w:rPr>
          <w:rFonts w:ascii="Palatino Linotype" w:hAnsi="Palatino Linotype" w:cs="Arial"/>
          <w:bCs/>
        </w:rPr>
        <w:t xml:space="preserve"> los elementos necesarios para ordenar la clasificación de la información, </w:t>
      </w:r>
      <w:r w:rsidR="00096357" w:rsidRPr="0009741C">
        <w:rPr>
          <w:rFonts w:ascii="Palatino Linotype" w:hAnsi="Palatino Linotype" w:cs="Arial"/>
          <w:bCs/>
        </w:rPr>
        <w:t xml:space="preserve">así como tampoco para determinar que el o los expedientes se encuentren concluidos y </w:t>
      </w:r>
      <w:r w:rsidR="008A73A1" w:rsidRPr="0009741C">
        <w:rPr>
          <w:rFonts w:ascii="Palatino Linotype" w:hAnsi="Palatino Linotype" w:cs="Arial"/>
          <w:bCs/>
        </w:rPr>
        <w:t>por lo tanto, proceda su entrega en versión pública en la que se eliminen los datos personales confidenciales.</w:t>
      </w:r>
    </w:p>
    <w:p w:rsidR="00096357" w:rsidRPr="0009741C" w:rsidRDefault="00096357" w:rsidP="00F3411E">
      <w:pPr>
        <w:spacing w:after="0" w:line="360" w:lineRule="auto"/>
        <w:jc w:val="both"/>
        <w:rPr>
          <w:rFonts w:ascii="Palatino Linotype" w:hAnsi="Palatino Linotype" w:cs="Arial"/>
          <w:bCs/>
        </w:rPr>
      </w:pPr>
    </w:p>
    <w:p w:rsidR="00A832ED" w:rsidRPr="0009741C" w:rsidRDefault="00964F2B" w:rsidP="00F3411E">
      <w:pPr>
        <w:spacing w:after="0" w:line="360" w:lineRule="auto"/>
        <w:jc w:val="both"/>
        <w:rPr>
          <w:rFonts w:ascii="Palatino Linotype" w:hAnsi="Palatino Linotype" w:cs="Arial"/>
          <w:bCs/>
        </w:rPr>
      </w:pPr>
      <w:r w:rsidRPr="0009741C">
        <w:rPr>
          <w:rFonts w:ascii="Palatino Linotype" w:hAnsi="Palatino Linotype" w:cs="Arial"/>
          <w:bCs/>
        </w:rPr>
        <w:t>De tal suerte, en este asunto y toda vez que ya fue requerida la información y clasificada en un primer momento mediante acuerdo del Comité de Transparencia del Sujeto Obligado, se</w:t>
      </w:r>
      <w:r w:rsidR="0037193B" w:rsidRPr="0009741C">
        <w:rPr>
          <w:rFonts w:ascii="Palatino Linotype" w:hAnsi="Palatino Linotype" w:cs="Arial"/>
          <w:bCs/>
        </w:rPr>
        <w:t xml:space="preserve"> debió analizar en qué consistía el expediente</w:t>
      </w:r>
      <w:r w:rsidR="003703A5" w:rsidRPr="0009741C">
        <w:rPr>
          <w:rFonts w:ascii="Palatino Linotype" w:hAnsi="Palatino Linotype" w:cs="Arial"/>
          <w:bCs/>
        </w:rPr>
        <w:t xml:space="preserve"> y su estado procesal</w:t>
      </w:r>
      <w:r w:rsidR="0037193B" w:rsidRPr="0009741C">
        <w:rPr>
          <w:rFonts w:ascii="Palatino Linotype" w:hAnsi="Palatino Linotype" w:cs="Arial"/>
          <w:bCs/>
        </w:rPr>
        <w:t xml:space="preserve"> a fin de establecer a qué p</w:t>
      </w:r>
      <w:r w:rsidR="00A832ED" w:rsidRPr="0009741C">
        <w:rPr>
          <w:rFonts w:ascii="Palatino Linotype" w:hAnsi="Palatino Linotype" w:cs="Arial"/>
          <w:bCs/>
        </w:rPr>
        <w:t>rocedimiento corresponde o bien e incluso estar en condiciones de identificar si existe algún elemento que implique que, por interés público debe entregarse, como el hecho de tratarse de investigación por posibles actos de corrupción, tal como lo establece el artículo 142 de la Ley de Transparencia como una excepción de la reserva de información.</w:t>
      </w:r>
    </w:p>
    <w:p w:rsidR="00A832ED" w:rsidRPr="0009741C" w:rsidRDefault="00A832ED" w:rsidP="00F3411E">
      <w:pPr>
        <w:spacing w:after="0" w:line="360" w:lineRule="auto"/>
        <w:jc w:val="both"/>
        <w:rPr>
          <w:rFonts w:ascii="Palatino Linotype" w:hAnsi="Palatino Linotype" w:cs="Arial"/>
          <w:bCs/>
        </w:rPr>
      </w:pPr>
    </w:p>
    <w:p w:rsidR="000448BB" w:rsidRPr="0009741C" w:rsidRDefault="00A832ED" w:rsidP="000448BB">
      <w:pPr>
        <w:spacing w:after="0" w:line="360" w:lineRule="auto"/>
        <w:jc w:val="both"/>
        <w:rPr>
          <w:rFonts w:ascii="Palatino Linotype" w:hAnsi="Palatino Linotype" w:cs="Arial"/>
          <w:b/>
          <w:bCs/>
          <w:iCs/>
          <w:lang w:val="es-MX"/>
        </w:rPr>
      </w:pPr>
      <w:r w:rsidRPr="0009741C">
        <w:rPr>
          <w:rFonts w:ascii="Palatino Linotype" w:hAnsi="Palatino Linotype" w:cs="Arial"/>
          <w:bCs/>
        </w:rPr>
        <w:t xml:space="preserve"> </w:t>
      </w:r>
      <w:r w:rsidR="000448BB" w:rsidRPr="0009741C">
        <w:rPr>
          <w:rFonts w:ascii="Palatino Linotype" w:hAnsi="Palatino Linotype" w:cs="Arial"/>
          <w:bCs/>
          <w:lang w:val="es-MX"/>
        </w:rPr>
        <w:t xml:space="preserve">En este sentido, considero se debió requerir al Sujeto Obligado a efecto de que aportara mayores elementos con la finalidad de </w:t>
      </w:r>
      <w:r w:rsidR="0009741C" w:rsidRPr="0009741C">
        <w:rPr>
          <w:rFonts w:ascii="Palatino Linotype" w:hAnsi="Palatino Linotype" w:cs="Arial"/>
          <w:bCs/>
          <w:lang w:val="es-MX"/>
        </w:rPr>
        <w:t>acreditar</w:t>
      </w:r>
      <w:r w:rsidR="000448BB" w:rsidRPr="0009741C">
        <w:rPr>
          <w:rFonts w:ascii="Palatino Linotype" w:hAnsi="Palatino Linotype" w:cs="Arial"/>
          <w:bCs/>
          <w:lang w:val="es-MX"/>
        </w:rPr>
        <w:t xml:space="preserve"> si </w:t>
      </w:r>
      <w:r w:rsidR="0009741C" w:rsidRPr="0009741C">
        <w:rPr>
          <w:rFonts w:ascii="Palatino Linotype" w:hAnsi="Palatino Linotype" w:cs="Arial"/>
          <w:bCs/>
          <w:lang w:val="es-MX"/>
        </w:rPr>
        <w:t>la</w:t>
      </w:r>
      <w:r w:rsidR="000448BB" w:rsidRPr="0009741C">
        <w:rPr>
          <w:rFonts w:ascii="Palatino Linotype" w:hAnsi="Palatino Linotype" w:cs="Arial"/>
          <w:bCs/>
          <w:lang w:val="es-MX"/>
        </w:rPr>
        <w:t xml:space="preserve"> </w:t>
      </w:r>
      <w:r w:rsidR="000448BB" w:rsidRPr="0009741C">
        <w:rPr>
          <w:rFonts w:ascii="Palatino Linotype" w:hAnsi="Palatino Linotype" w:cs="Arial"/>
          <w:bCs/>
          <w:u w:val="single"/>
          <w:lang w:val="es-MX"/>
        </w:rPr>
        <w:t>clasificación</w:t>
      </w:r>
      <w:r w:rsidR="0009741C" w:rsidRPr="0009741C">
        <w:rPr>
          <w:rFonts w:ascii="Palatino Linotype" w:hAnsi="Palatino Linotype" w:cs="Arial"/>
          <w:bCs/>
          <w:u w:val="single"/>
          <w:lang w:val="es-MX"/>
        </w:rPr>
        <w:t xml:space="preserve"> reiterada</w:t>
      </w:r>
      <w:r w:rsidR="0009741C" w:rsidRPr="0009741C">
        <w:rPr>
          <w:rFonts w:ascii="Palatino Linotype" w:hAnsi="Palatino Linotype" w:cs="Arial"/>
          <w:bCs/>
          <w:lang w:val="es-MX"/>
        </w:rPr>
        <w:t xml:space="preserve"> del expediente</w:t>
      </w:r>
      <w:r w:rsidR="000448BB" w:rsidRPr="0009741C">
        <w:rPr>
          <w:rFonts w:ascii="Palatino Linotype" w:hAnsi="Palatino Linotype" w:cs="Arial"/>
          <w:bCs/>
          <w:lang w:val="es-MX"/>
        </w:rPr>
        <w:t xml:space="preserve"> encuadraba en algún supuesto para negar la información al Particular, </w:t>
      </w:r>
      <w:r w:rsidR="004C1B11" w:rsidRPr="0009741C">
        <w:rPr>
          <w:rFonts w:ascii="Palatino Linotype" w:hAnsi="Palatino Linotype" w:cs="Arial"/>
          <w:bCs/>
          <w:lang w:val="es-MX"/>
        </w:rPr>
        <w:t xml:space="preserve">así </w:t>
      </w:r>
      <w:r w:rsidR="000448BB" w:rsidRPr="0009741C">
        <w:rPr>
          <w:rFonts w:ascii="Palatino Linotype" w:hAnsi="Palatino Linotype" w:cs="Arial"/>
          <w:bCs/>
          <w:lang w:val="es-MX"/>
        </w:rPr>
        <w:t>se trae a colación el</w:t>
      </w:r>
      <w:r w:rsidR="000448BB" w:rsidRPr="0009741C">
        <w:rPr>
          <w:rFonts w:ascii="Palatino Linotype" w:hAnsi="Palatino Linotype" w:cs="Arial"/>
          <w:bCs/>
          <w:iCs/>
          <w:lang w:val="es-MX"/>
        </w:rPr>
        <w:t xml:space="preserve"> artículo 20 de la Ley de Transparencia y Acceso a la Información Pública del Estado de México y Municipios, el cual establece que, </w:t>
      </w:r>
      <w:r w:rsidR="000448BB" w:rsidRPr="0009741C">
        <w:rPr>
          <w:rFonts w:ascii="Palatino Linotype" w:hAnsi="Palatino Linotype" w:cs="Arial"/>
          <w:b/>
          <w:bCs/>
          <w:iCs/>
          <w:lang w:val="es-MX"/>
        </w:rPr>
        <w:t>ante la negativa de acceso a la información o su inexistencia, el sujeto obligado deberá demostrar que encuentra en alguna de las excepciones establecidas en la normatividad aplicable.</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jc w:val="both"/>
        <w:rPr>
          <w:rFonts w:ascii="Palatino Linotype" w:hAnsi="Palatino Linotype" w:cs="Arial"/>
          <w:bCs/>
          <w:iCs/>
          <w:lang w:val="es-MX"/>
        </w:rPr>
      </w:pPr>
      <w:r w:rsidRPr="0009741C">
        <w:rPr>
          <w:rFonts w:ascii="Palatino Linotype" w:hAnsi="Palatino Linotype" w:cs="Arial"/>
          <w:bCs/>
          <w:iCs/>
          <w:lang w:val="es-MX"/>
        </w:rPr>
        <w:t xml:space="preserve">En ese sentido, según Trujillo, Humberto (2019), en el “Diccionario de Transparencia y Acceso a la Información Pública” (p. 201), </w:t>
      </w:r>
      <w:r w:rsidRPr="0009741C">
        <w:rPr>
          <w:rFonts w:ascii="Palatino Linotype" w:hAnsi="Palatino Linotype" w:cs="Arial"/>
          <w:b/>
          <w:bCs/>
          <w:iCs/>
          <w:lang w:val="es-MX"/>
        </w:rPr>
        <w:t xml:space="preserve">la negativa de acceso a la información </w:t>
      </w:r>
      <w:r w:rsidRPr="0009741C">
        <w:rPr>
          <w:rFonts w:ascii="Palatino Linotype" w:hAnsi="Palatino Linotype" w:cs="Arial"/>
          <w:bCs/>
          <w:iCs/>
          <w:lang w:val="es-MX"/>
        </w:rPr>
        <w:t xml:space="preserve">ocurre </w:t>
      </w:r>
      <w:r w:rsidRPr="0009741C">
        <w:rPr>
          <w:rFonts w:ascii="Palatino Linotype" w:hAnsi="Palatino Linotype" w:cs="Arial"/>
          <w:bCs/>
          <w:iCs/>
          <w:lang w:val="es-MX"/>
        </w:rPr>
        <w:lastRenderedPageBreak/>
        <w:t xml:space="preserve">cuanto de manera fundada y motivada, una autoridad la niega o la limita, por alguna de las siguientes razones: </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numPr>
          <w:ilvl w:val="0"/>
          <w:numId w:val="2"/>
        </w:numPr>
        <w:spacing w:after="0" w:line="360" w:lineRule="auto"/>
        <w:jc w:val="both"/>
        <w:rPr>
          <w:rFonts w:ascii="Palatino Linotype" w:hAnsi="Palatino Linotype" w:cs="Arial"/>
          <w:b/>
          <w:bCs/>
          <w:iCs/>
          <w:lang w:val="es-MX"/>
        </w:rPr>
      </w:pPr>
      <w:r w:rsidRPr="0009741C">
        <w:rPr>
          <w:rFonts w:ascii="Palatino Linotype" w:hAnsi="Palatino Linotype" w:cs="Arial"/>
          <w:b/>
          <w:bCs/>
          <w:iCs/>
          <w:lang w:val="es-MX"/>
        </w:rPr>
        <w:t xml:space="preserve">La inexistencia de la información (p. 171): </w:t>
      </w:r>
      <w:r w:rsidRPr="0009741C">
        <w:rPr>
          <w:rFonts w:ascii="Palatino Linotype" w:hAnsi="Palatino Linotype" w:cs="Arial"/>
          <w:bCs/>
          <w:iCs/>
          <w:lang w:val="es-MX"/>
        </w:rPr>
        <w:t>Sucede cuando la información solicitada no se encuentra en los archivos públicos o clasificados de los entes sujetos a las Leyes de Transparencia.</w:t>
      </w:r>
    </w:p>
    <w:p w:rsidR="000448BB" w:rsidRPr="0009741C" w:rsidRDefault="000448BB" w:rsidP="000448BB">
      <w:pPr>
        <w:numPr>
          <w:ilvl w:val="0"/>
          <w:numId w:val="2"/>
        </w:numPr>
        <w:spacing w:after="0" w:line="360" w:lineRule="auto"/>
        <w:jc w:val="both"/>
        <w:rPr>
          <w:rFonts w:ascii="Palatino Linotype" w:hAnsi="Palatino Linotype" w:cs="Arial"/>
          <w:b/>
          <w:bCs/>
          <w:iCs/>
          <w:lang w:val="es-MX"/>
        </w:rPr>
      </w:pPr>
      <w:r w:rsidRPr="0009741C">
        <w:rPr>
          <w:rFonts w:ascii="Palatino Linotype" w:hAnsi="Palatino Linotype" w:cs="Arial"/>
          <w:b/>
          <w:bCs/>
          <w:iCs/>
          <w:lang w:val="es-MX"/>
        </w:rPr>
        <w:t xml:space="preserve">La incompetencia del Sujeto Obligado (p. 171): </w:t>
      </w:r>
      <w:r w:rsidRPr="0009741C">
        <w:rPr>
          <w:rFonts w:ascii="Palatino Linotype" w:hAnsi="Palatino Linotype" w:cs="Arial"/>
          <w:bCs/>
          <w:iCs/>
          <w:lang w:val="es-MX"/>
        </w:rPr>
        <w:t>Ocurre cuando el Sujeto Obligado carece de atribuciones para poseer la información peticionada.</w:t>
      </w:r>
    </w:p>
    <w:p w:rsidR="000448BB" w:rsidRPr="0009741C" w:rsidRDefault="000448BB" w:rsidP="000448BB">
      <w:pPr>
        <w:numPr>
          <w:ilvl w:val="0"/>
          <w:numId w:val="2"/>
        </w:numPr>
        <w:spacing w:after="0" w:line="360" w:lineRule="auto"/>
        <w:jc w:val="both"/>
        <w:rPr>
          <w:rFonts w:ascii="Palatino Linotype" w:hAnsi="Palatino Linotype" w:cs="Arial"/>
          <w:b/>
          <w:bCs/>
          <w:iCs/>
          <w:lang w:val="es-MX"/>
        </w:rPr>
      </w:pPr>
      <w:r w:rsidRPr="0009741C">
        <w:rPr>
          <w:rFonts w:ascii="Palatino Linotype" w:hAnsi="Palatino Linotype" w:cs="Arial"/>
          <w:b/>
          <w:bCs/>
          <w:iCs/>
          <w:lang w:val="es-MX"/>
        </w:rPr>
        <w:t xml:space="preserve">La clasificación de la información (p. 70): </w:t>
      </w:r>
      <w:r w:rsidRPr="0009741C">
        <w:rPr>
          <w:rFonts w:ascii="Palatino Linotype" w:hAnsi="Palatino Linotype" w:cs="Arial"/>
          <w:bCs/>
          <w:iCs/>
          <w:lang w:val="es-MX"/>
        </w:rPr>
        <w:t>Es el proceso o conjunto de acciones que realizan los sujetos obligados para establecer que determinada información se encuentra en alguno de los supuestos de reserva o confidencialidad establecidos en la legislación en materia de transparencia.</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jc w:val="both"/>
        <w:rPr>
          <w:rFonts w:ascii="Palatino Linotype" w:hAnsi="Palatino Linotype" w:cs="Arial"/>
          <w:bCs/>
          <w:iCs/>
        </w:rPr>
      </w:pPr>
      <w:r w:rsidRPr="0009741C">
        <w:rPr>
          <w:rFonts w:ascii="Palatino Linotype" w:hAnsi="Palatino Linotype" w:cs="Arial"/>
          <w:bCs/>
          <w:iCs/>
          <w:lang w:val="es-MX"/>
        </w:rPr>
        <w:t>Conforme a lo anterior, es de señalar que l</w:t>
      </w:r>
      <w:r w:rsidRPr="0009741C">
        <w:rPr>
          <w:rFonts w:ascii="Palatino Linotype" w:hAnsi="Palatino Linotype" w:cs="Arial"/>
          <w:bCs/>
          <w:iCs/>
        </w:rPr>
        <w:t xml:space="preserve">as excepciones al derecho de acceso a la información, consisten en que </w:t>
      </w:r>
      <w:r w:rsidRPr="0009741C">
        <w:rPr>
          <w:rFonts w:ascii="Palatino Linotype" w:hAnsi="Palatino Linotype" w:cs="Arial"/>
          <w:b/>
          <w:bCs/>
          <w:iCs/>
        </w:rPr>
        <w:t>la documentación sea inexistente, obre en los archivos, pero se encuentre clasificada, o bien, el Sujeto Obligado sea incompetente</w:t>
      </w:r>
      <w:r w:rsidRPr="0009741C">
        <w:rPr>
          <w:rFonts w:ascii="Palatino Linotype" w:hAnsi="Palatino Linotype" w:cs="Arial"/>
          <w:bCs/>
          <w:iCs/>
        </w:rPr>
        <w:t xml:space="preserve"> para contar con esta; esto es, la negativa de acceso a la información, recae cuando la documentación no se encuentre en los archivos del sujeto obligado, o bien exista, pero no pueda proporcionarse por contener datos </w:t>
      </w:r>
      <w:r w:rsidRPr="0009741C">
        <w:rPr>
          <w:rFonts w:ascii="Palatino Linotype" w:hAnsi="Palatino Linotype" w:cs="Arial"/>
          <w:b/>
          <w:bCs/>
          <w:iCs/>
        </w:rPr>
        <w:t>confidenciales o reservados.</w:t>
      </w:r>
    </w:p>
    <w:p w:rsidR="000448BB" w:rsidRPr="0009741C" w:rsidRDefault="000448BB" w:rsidP="000448BB">
      <w:pPr>
        <w:spacing w:after="0" w:line="360" w:lineRule="auto"/>
        <w:jc w:val="both"/>
        <w:rPr>
          <w:rFonts w:ascii="Palatino Linotype" w:hAnsi="Palatino Linotype" w:cs="Arial"/>
          <w:bCs/>
          <w:iCs/>
        </w:rPr>
      </w:pPr>
    </w:p>
    <w:p w:rsidR="000448BB" w:rsidRPr="0009741C" w:rsidRDefault="000448BB" w:rsidP="000448BB">
      <w:pPr>
        <w:spacing w:after="0" w:line="360" w:lineRule="auto"/>
        <w:jc w:val="both"/>
        <w:rPr>
          <w:rFonts w:ascii="Palatino Linotype" w:hAnsi="Palatino Linotype" w:cs="Arial"/>
          <w:bCs/>
          <w:iCs/>
        </w:rPr>
      </w:pPr>
      <w:r w:rsidRPr="0009741C">
        <w:rPr>
          <w:rFonts w:ascii="Palatino Linotype" w:hAnsi="Palatino Linotype" w:cs="Arial"/>
          <w:bCs/>
          <w:iCs/>
        </w:rPr>
        <w:t xml:space="preserve">En ese contexto, </w:t>
      </w:r>
      <w:r w:rsidRPr="0009741C">
        <w:rPr>
          <w:rFonts w:ascii="Palatino Linotype" w:hAnsi="Palatino Linotype" w:cs="Arial"/>
          <w:bCs/>
          <w:iCs/>
          <w:lang w:val="es-MX"/>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09741C">
        <w:rPr>
          <w:rFonts w:ascii="Palatino Linotype" w:hAnsi="Palatino Linotype" w:cs="Arial"/>
          <w:b/>
          <w:bCs/>
          <w:iCs/>
          <w:lang w:val="es-MX"/>
        </w:rPr>
        <w:t xml:space="preserve">la clasificación </w:t>
      </w:r>
      <w:r w:rsidRPr="0009741C">
        <w:rPr>
          <w:rFonts w:ascii="Palatino Linotype" w:hAnsi="Palatino Linotype" w:cs="Arial"/>
          <w:bCs/>
          <w:iCs/>
          <w:lang w:val="es-MX"/>
        </w:rPr>
        <w:t xml:space="preserve">es el proceso mediante el cual los sujetos obligados determinan que la información en su poder, actualiza alguno de los supuestos de reserva o confidencialidad. </w:t>
      </w:r>
      <w:r w:rsidRPr="0009741C">
        <w:rPr>
          <w:rFonts w:ascii="Palatino Linotype" w:hAnsi="Palatino Linotype" w:cs="Arial"/>
          <w:bCs/>
          <w:iCs/>
        </w:rPr>
        <w:t xml:space="preserve">Además, que dichos entes </w:t>
      </w:r>
      <w:r w:rsidRPr="0009741C">
        <w:rPr>
          <w:rFonts w:ascii="Palatino Linotype" w:hAnsi="Palatino Linotype" w:cs="Arial"/>
          <w:bCs/>
          <w:iCs/>
        </w:rPr>
        <w:lastRenderedPageBreak/>
        <w:t>deberán aplicar de manera restrictiva y limitada, las excepciones al derecho de acceso a la información, por lo que, tendrán que acreditar la procedencia.</w:t>
      </w:r>
    </w:p>
    <w:p w:rsidR="000448BB" w:rsidRPr="0009741C" w:rsidRDefault="000448BB" w:rsidP="000448BB">
      <w:pPr>
        <w:spacing w:after="0" w:line="360" w:lineRule="auto"/>
        <w:jc w:val="both"/>
        <w:rPr>
          <w:rFonts w:ascii="Palatino Linotype" w:hAnsi="Palatino Linotype" w:cs="Arial"/>
          <w:bCs/>
          <w:iCs/>
        </w:rPr>
      </w:pPr>
    </w:p>
    <w:p w:rsidR="000448BB" w:rsidRPr="0009741C" w:rsidRDefault="000448BB" w:rsidP="000448BB">
      <w:pPr>
        <w:spacing w:after="0" w:line="360" w:lineRule="auto"/>
        <w:jc w:val="both"/>
        <w:rPr>
          <w:rFonts w:ascii="Palatino Linotype" w:hAnsi="Palatino Linotype" w:cs="Arial"/>
          <w:b/>
          <w:bCs/>
          <w:iCs/>
        </w:rPr>
      </w:pPr>
      <w:r w:rsidRPr="0009741C">
        <w:rPr>
          <w:rFonts w:ascii="Palatino Linotype" w:hAnsi="Palatino Linotype" w:cs="Arial"/>
          <w:bCs/>
          <w:iCs/>
        </w:rPr>
        <w:t xml:space="preserve">Por lo cual, en los casos en que se niegue el acceso a la información, por actualizarse alguno de los supuestos de clasificación, una de las formalidades a la cuales está sujeto el procedimiento de acceso a la información pública, es que </w:t>
      </w:r>
      <w:r w:rsidRPr="0009741C">
        <w:rPr>
          <w:rFonts w:ascii="Palatino Linotype" w:hAnsi="Palatino Linotype" w:cs="Arial"/>
          <w:b/>
          <w:bCs/>
          <w:iCs/>
        </w:rPr>
        <w:t xml:space="preserve">el </w:t>
      </w:r>
      <w:r w:rsidRPr="0009741C">
        <w:rPr>
          <w:rFonts w:ascii="Palatino Linotype" w:hAnsi="Palatino Linotype" w:cs="Arial"/>
          <w:bCs/>
          <w:iCs/>
        </w:rPr>
        <w:t>Comité de Transparencia deberá confirmar, modificar o revocar la decisión</w:t>
      </w:r>
      <w:r w:rsidRPr="0009741C">
        <w:rPr>
          <w:rFonts w:ascii="Palatino Linotype" w:hAnsi="Palatino Linotype" w:cs="Arial"/>
          <w:b/>
          <w:bCs/>
          <w:iCs/>
        </w:rPr>
        <w:t xml:space="preserve">; </w:t>
      </w:r>
      <w:r w:rsidRPr="0009741C">
        <w:rPr>
          <w:rFonts w:ascii="Palatino Linotype" w:hAnsi="Palatino Linotype" w:cs="Arial"/>
          <w:bCs/>
          <w:iCs/>
        </w:rPr>
        <w:t xml:space="preserve">además, </w:t>
      </w:r>
      <w:r w:rsidRPr="0009741C">
        <w:rPr>
          <w:rFonts w:ascii="Palatino Linotype" w:hAnsi="Palatino Linotype" w:cs="Arial"/>
          <w:b/>
          <w:bCs/>
          <w:iCs/>
        </w:rPr>
        <w:t>deberá motivar la confirmación de dicha situación, señalando las razones, motivos o circunstancias especiales que llevaron al sujeto obligado a concluir que en el caso particular se ajusta al supuesto previsto por la norma legal invocada como fundamento.</w:t>
      </w:r>
    </w:p>
    <w:p w:rsidR="000448BB" w:rsidRPr="0009741C" w:rsidRDefault="000448BB" w:rsidP="000448BB">
      <w:pPr>
        <w:spacing w:after="0" w:line="360" w:lineRule="auto"/>
        <w:jc w:val="both"/>
        <w:rPr>
          <w:rFonts w:ascii="Palatino Linotype" w:hAnsi="Palatino Linotype" w:cs="Arial"/>
          <w:bCs/>
          <w:iCs/>
        </w:rPr>
      </w:pPr>
    </w:p>
    <w:p w:rsidR="000448BB" w:rsidRPr="0009741C" w:rsidRDefault="000448BB" w:rsidP="000448BB">
      <w:pPr>
        <w:spacing w:after="0" w:line="360" w:lineRule="auto"/>
        <w:jc w:val="both"/>
        <w:rPr>
          <w:rFonts w:ascii="Palatino Linotype" w:hAnsi="Palatino Linotype" w:cs="Arial"/>
          <w:bCs/>
          <w:iCs/>
          <w:lang w:val="es-MX"/>
        </w:rPr>
      </w:pPr>
      <w:r w:rsidRPr="0009741C">
        <w:rPr>
          <w:rFonts w:ascii="Palatino Linotype" w:hAnsi="Palatino Linotype" w:cs="Arial"/>
          <w:bCs/>
          <w:iCs/>
        </w:rPr>
        <w:t xml:space="preserve">En ese contexto, </w:t>
      </w:r>
      <w:r w:rsidRPr="0009741C">
        <w:rPr>
          <w:rFonts w:ascii="Palatino Linotype" w:hAnsi="Palatino Linotype" w:cs="Arial"/>
          <w:bCs/>
          <w:iCs/>
          <w:lang w:val="es-MX"/>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jc w:val="both"/>
        <w:rPr>
          <w:rFonts w:ascii="Palatino Linotype" w:hAnsi="Palatino Linotype" w:cs="Arial"/>
          <w:b/>
          <w:bCs/>
          <w:iCs/>
          <w:lang w:val="es-MX"/>
        </w:rPr>
      </w:pPr>
      <w:r w:rsidRPr="0009741C">
        <w:rPr>
          <w:rFonts w:ascii="Palatino Linotype" w:hAnsi="Palatino Linotype" w:cs="Arial"/>
          <w:bCs/>
          <w:iCs/>
          <w:lang w:val="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rsidR="000448BB" w:rsidRPr="0009741C" w:rsidRDefault="000448BB" w:rsidP="000448BB">
      <w:pPr>
        <w:spacing w:after="0" w:line="360" w:lineRule="auto"/>
        <w:jc w:val="both"/>
        <w:rPr>
          <w:rFonts w:ascii="Palatino Linotype" w:hAnsi="Palatino Linotype" w:cs="Arial"/>
          <w:bCs/>
          <w:iCs/>
        </w:rPr>
      </w:pPr>
    </w:p>
    <w:p w:rsidR="000448BB" w:rsidRPr="0009741C" w:rsidRDefault="000448BB" w:rsidP="000448BB">
      <w:pPr>
        <w:spacing w:after="0" w:line="360" w:lineRule="auto"/>
        <w:jc w:val="both"/>
        <w:rPr>
          <w:rFonts w:ascii="Palatino Linotype" w:hAnsi="Palatino Linotype" w:cs="Arial"/>
          <w:b/>
          <w:bCs/>
          <w:iCs/>
          <w:lang w:val="es-MX"/>
        </w:rPr>
      </w:pPr>
      <w:r w:rsidRPr="0009741C">
        <w:rPr>
          <w:rFonts w:ascii="Palatino Linotype" w:hAnsi="Palatino Linotype" w:cs="Arial"/>
          <w:bCs/>
          <w:iCs/>
        </w:rPr>
        <w:t xml:space="preserve">En ese contexto, </w:t>
      </w:r>
      <w:r w:rsidRPr="0009741C">
        <w:rPr>
          <w:rFonts w:ascii="Palatino Linotype" w:hAnsi="Palatino Linotype" w:cs="Arial"/>
          <w:bCs/>
          <w:iCs/>
          <w:lang w:val="es-MX"/>
        </w:rPr>
        <w:t xml:space="preserve">según Bonifaz, Leticia (2016), en la “Ley General de Transparencia y Acceso a la Información Pública Comentada” (p. 342), la </w:t>
      </w:r>
      <w:r w:rsidRPr="0009741C">
        <w:rPr>
          <w:rFonts w:ascii="Palatino Linotype" w:hAnsi="Palatino Linotype" w:cs="Arial"/>
          <w:b/>
          <w:bCs/>
          <w:iCs/>
          <w:lang w:val="es-MX"/>
        </w:rPr>
        <w:t>clasificación de la información</w:t>
      </w:r>
      <w:r w:rsidRPr="0009741C">
        <w:rPr>
          <w:rFonts w:ascii="Palatino Linotype" w:hAnsi="Palatino Linotype" w:cs="Arial"/>
          <w:bCs/>
          <w:iCs/>
          <w:lang w:val="es-MX"/>
        </w:rPr>
        <w:t xml:space="preserve">, ocurre cuando la autoridad niega el acceso a esta, por ser confidencial o reservada, para lo cual, los </w:t>
      </w:r>
      <w:r w:rsidRPr="0009741C">
        <w:rPr>
          <w:rFonts w:ascii="Palatino Linotype" w:hAnsi="Palatino Linotype" w:cs="Arial"/>
          <w:bCs/>
          <w:iCs/>
          <w:lang w:val="es-MX"/>
        </w:rPr>
        <w:lastRenderedPageBreak/>
        <w:t xml:space="preserve">sujetos obligados, deberán realizar el proceso de clasificación, a la luz de los principios y disposiciones establecidas en las Leyes de Transparencia, fundando y motivando, </w:t>
      </w:r>
      <w:r w:rsidRPr="0009741C">
        <w:rPr>
          <w:rFonts w:ascii="Palatino Linotype" w:hAnsi="Palatino Linotype" w:cs="Arial"/>
          <w:b/>
          <w:bCs/>
          <w:iCs/>
          <w:lang w:val="es-MX"/>
        </w:rPr>
        <w:t>de manera adecuada la negativa de información.</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jc w:val="both"/>
        <w:rPr>
          <w:rFonts w:ascii="Palatino Linotype" w:hAnsi="Palatino Linotype" w:cs="Arial"/>
          <w:b/>
          <w:bCs/>
          <w:iCs/>
          <w:lang w:val="es-MX"/>
        </w:rPr>
      </w:pPr>
      <w:r w:rsidRPr="0009741C">
        <w:rPr>
          <w:rFonts w:ascii="Palatino Linotype" w:hAnsi="Palatino Linotype" w:cs="Arial"/>
          <w:bCs/>
          <w:iCs/>
          <w:lang w:val="es-MX"/>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9741C">
        <w:rPr>
          <w:rFonts w:ascii="Palatino Linotype" w:hAnsi="Palatino Linotype" w:cs="Arial"/>
          <w:b/>
          <w:bCs/>
          <w:iCs/>
          <w:lang w:val="es-MX"/>
        </w:rPr>
        <w:t>análisis caso por caso.</w:t>
      </w:r>
    </w:p>
    <w:p w:rsidR="000448BB" w:rsidRPr="0009741C" w:rsidRDefault="000448BB" w:rsidP="000448BB">
      <w:pPr>
        <w:spacing w:after="0" w:line="360" w:lineRule="auto"/>
        <w:jc w:val="both"/>
        <w:rPr>
          <w:rFonts w:ascii="Palatino Linotype" w:hAnsi="Palatino Linotype" w:cs="Arial"/>
          <w:b/>
          <w:bCs/>
          <w:iCs/>
          <w:lang w:val="es-MX"/>
        </w:rPr>
      </w:pPr>
    </w:p>
    <w:p w:rsidR="000448BB" w:rsidRPr="0009741C" w:rsidRDefault="000448BB" w:rsidP="000448BB">
      <w:pPr>
        <w:spacing w:after="0" w:line="360" w:lineRule="auto"/>
        <w:jc w:val="both"/>
        <w:rPr>
          <w:rFonts w:ascii="Palatino Linotype" w:hAnsi="Palatino Linotype" w:cs="Arial"/>
          <w:bCs/>
          <w:iCs/>
          <w:lang w:val="es-MX"/>
        </w:rPr>
      </w:pPr>
      <w:r w:rsidRPr="0009741C">
        <w:rPr>
          <w:rFonts w:ascii="Palatino Linotype" w:hAnsi="Palatino Linotype" w:cs="Arial"/>
          <w:bCs/>
          <w:iCs/>
          <w:lang w:val="es-MX"/>
        </w:rPr>
        <w:t xml:space="preserve">Sobre lo anterior, el artículo 131 de la Ley referida, así como el Quinto de los Lineamientos Generales, establecen que los sujetos obligados </w:t>
      </w:r>
      <w:r w:rsidRPr="0009741C">
        <w:rPr>
          <w:rFonts w:ascii="Palatino Linotype" w:hAnsi="Palatino Linotype" w:cs="Arial"/>
          <w:b/>
          <w:bCs/>
          <w:iCs/>
          <w:lang w:val="es-MX"/>
        </w:rPr>
        <w:t>deberán fundar y motivar</w:t>
      </w:r>
      <w:r w:rsidRPr="0009741C">
        <w:rPr>
          <w:rFonts w:ascii="Palatino Linotype" w:hAnsi="Palatino Linotype" w:cs="Arial"/>
          <w:bCs/>
          <w:iCs/>
          <w:lang w:val="es-MX"/>
        </w:rPr>
        <w:t xml:space="preserve"> debidamente la clasificación de la información.</w:t>
      </w:r>
    </w:p>
    <w:p w:rsidR="000448BB" w:rsidRPr="0009741C" w:rsidRDefault="000448BB" w:rsidP="000448BB">
      <w:pPr>
        <w:spacing w:after="0" w:line="360" w:lineRule="auto"/>
        <w:jc w:val="both"/>
        <w:rPr>
          <w:rFonts w:ascii="Palatino Linotype" w:hAnsi="Palatino Linotype" w:cs="Arial"/>
          <w:b/>
          <w:bCs/>
          <w:iCs/>
          <w:lang w:val="es-MX"/>
        </w:rPr>
      </w:pPr>
    </w:p>
    <w:p w:rsidR="000448BB" w:rsidRPr="0009741C" w:rsidRDefault="000448BB" w:rsidP="000448BB">
      <w:pPr>
        <w:spacing w:after="0" w:line="360" w:lineRule="auto"/>
        <w:jc w:val="both"/>
        <w:rPr>
          <w:rFonts w:ascii="Palatino Linotype" w:hAnsi="Palatino Linotype" w:cs="Arial"/>
          <w:bCs/>
          <w:iCs/>
          <w:lang w:val="es-MX"/>
        </w:rPr>
      </w:pPr>
      <w:r w:rsidRPr="0009741C">
        <w:rPr>
          <w:rFonts w:ascii="Palatino Linotype" w:hAnsi="Palatino Linotype" w:cs="Arial"/>
          <w:bCs/>
          <w:iCs/>
          <w:lang w:val="es-MX"/>
        </w:rPr>
        <w:t>Al respecto, el Octavo de los Lineamientos Generales, precisa lo siguiente:</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numPr>
          <w:ilvl w:val="0"/>
          <w:numId w:val="1"/>
        </w:numPr>
        <w:spacing w:after="0" w:line="360" w:lineRule="auto"/>
        <w:jc w:val="both"/>
        <w:rPr>
          <w:rFonts w:ascii="Palatino Linotype" w:hAnsi="Palatino Linotype" w:cs="Arial"/>
          <w:bCs/>
          <w:iCs/>
          <w:u w:val="single"/>
          <w:lang w:val="es-MX"/>
        </w:rPr>
      </w:pPr>
      <w:r w:rsidRPr="0009741C">
        <w:rPr>
          <w:rFonts w:ascii="Palatino Linotype" w:hAnsi="Palatino Linotype" w:cs="Arial"/>
          <w:b/>
          <w:bCs/>
          <w:iCs/>
          <w:lang w:val="es-MX"/>
        </w:rPr>
        <w:t>Para fundar la clasificación</w:t>
      </w:r>
      <w:r w:rsidRPr="0009741C">
        <w:rPr>
          <w:rFonts w:ascii="Palatino Linotype" w:hAnsi="Palatino Linotype" w:cs="Arial"/>
          <w:bCs/>
          <w:iCs/>
          <w:lang w:val="es-MX"/>
        </w:rPr>
        <w:t xml:space="preserve"> de la información se deberán </w:t>
      </w:r>
      <w:r w:rsidRPr="0009741C">
        <w:rPr>
          <w:rFonts w:ascii="Palatino Linotype" w:hAnsi="Palatino Linotype" w:cs="Arial"/>
          <w:bCs/>
          <w:iCs/>
          <w:u w:val="single"/>
          <w:lang w:val="es-MX"/>
        </w:rPr>
        <w:t>señalar el artículo, fracción, inciso, párrafo o numeral de la Ley aplicable;</w:t>
      </w:r>
    </w:p>
    <w:p w:rsidR="000448BB" w:rsidRPr="0009741C" w:rsidRDefault="000448BB" w:rsidP="000448BB">
      <w:pPr>
        <w:numPr>
          <w:ilvl w:val="0"/>
          <w:numId w:val="1"/>
        </w:numPr>
        <w:spacing w:after="0" w:line="360" w:lineRule="auto"/>
        <w:jc w:val="both"/>
        <w:rPr>
          <w:rFonts w:ascii="Palatino Linotype" w:hAnsi="Palatino Linotype" w:cs="Arial"/>
          <w:bCs/>
          <w:iCs/>
          <w:lang w:val="es-MX"/>
        </w:rPr>
      </w:pPr>
      <w:r w:rsidRPr="0009741C">
        <w:rPr>
          <w:rFonts w:ascii="Palatino Linotype" w:hAnsi="Palatino Linotype" w:cs="Arial"/>
          <w:b/>
          <w:bCs/>
          <w:iCs/>
          <w:lang w:val="es-MX"/>
        </w:rPr>
        <w:t>Para motivar la clasificación</w:t>
      </w:r>
      <w:r w:rsidRPr="0009741C">
        <w:rPr>
          <w:rFonts w:ascii="Palatino Linotype" w:hAnsi="Palatino Linotype" w:cs="Arial"/>
          <w:bCs/>
          <w:iCs/>
          <w:lang w:val="es-MX"/>
        </w:rPr>
        <w:t xml:space="preserve"> se deberán </w:t>
      </w:r>
      <w:r w:rsidRPr="0009741C">
        <w:rPr>
          <w:rFonts w:ascii="Palatino Linotype" w:hAnsi="Palatino Linotype" w:cs="Arial"/>
          <w:bCs/>
          <w:iCs/>
          <w:u w:val="single"/>
          <w:lang w:val="es-MX"/>
        </w:rPr>
        <w:t>indicar las razones y circunstancias</w:t>
      </w:r>
      <w:r w:rsidRPr="0009741C">
        <w:rPr>
          <w:rFonts w:ascii="Palatino Linotype" w:hAnsi="Palatino Linotype" w:cs="Arial"/>
          <w:bCs/>
          <w:iCs/>
          <w:lang w:val="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jc w:val="both"/>
        <w:rPr>
          <w:rFonts w:ascii="Palatino Linotype" w:hAnsi="Palatino Linotype" w:cs="Arial"/>
          <w:bCs/>
          <w:iCs/>
          <w:lang w:val="es-MX"/>
        </w:rPr>
      </w:pPr>
      <w:r w:rsidRPr="0009741C">
        <w:rPr>
          <w:rFonts w:ascii="Palatino Linotype" w:hAnsi="Palatino Linotype" w:cs="Arial"/>
          <w:bCs/>
          <w:iCs/>
          <w:lang w:val="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ind w:left="567" w:right="616"/>
        <w:jc w:val="both"/>
        <w:rPr>
          <w:rFonts w:ascii="Palatino Linotype" w:hAnsi="Palatino Linotype" w:cs="Arial"/>
          <w:bCs/>
          <w:i/>
          <w:iCs/>
          <w:sz w:val="20"/>
          <w:lang w:val="es-MX"/>
        </w:rPr>
      </w:pPr>
      <w:r w:rsidRPr="0009741C">
        <w:rPr>
          <w:rFonts w:ascii="Palatino Linotype" w:hAnsi="Palatino Linotype" w:cs="Arial"/>
          <w:b/>
          <w:bCs/>
          <w:i/>
          <w:iCs/>
          <w:sz w:val="20"/>
          <w:lang w:val="es-MX"/>
        </w:rPr>
        <w:t xml:space="preserve">“FUNDAMENTACION Y MOTIVACION, CONCEPTO DE. </w:t>
      </w:r>
      <w:r w:rsidRPr="0009741C">
        <w:rPr>
          <w:rFonts w:ascii="Palatino Linotype" w:hAnsi="Palatino Linotype" w:cs="Arial"/>
          <w:bCs/>
          <w:i/>
          <w:iCs/>
          <w:sz w:val="20"/>
          <w:lang w:val="es-MX"/>
        </w:rPr>
        <w:t xml:space="preserve">La </w:t>
      </w:r>
      <w:r w:rsidRPr="0009741C">
        <w:rPr>
          <w:rFonts w:ascii="Palatino Linotype" w:hAnsi="Palatino Linotype" w:cs="Arial"/>
          <w:bCs/>
          <w:i/>
          <w:iCs/>
          <w:sz w:val="20"/>
          <w:u w:val="single"/>
          <w:lang w:val="es-MX"/>
        </w:rPr>
        <w:t>garantía de legalidad consagrada en el artículo 16 de nuestra Carta Magna</w:t>
      </w:r>
      <w:r w:rsidRPr="0009741C">
        <w:rPr>
          <w:rFonts w:ascii="Palatino Linotype" w:hAnsi="Palatino Linotype" w:cs="Arial"/>
          <w:bCs/>
          <w:i/>
          <w:iCs/>
          <w:sz w:val="20"/>
          <w:lang w:val="es-MX"/>
        </w:rPr>
        <w:t>,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spacing w:after="0" w:line="360" w:lineRule="auto"/>
        <w:jc w:val="both"/>
        <w:rPr>
          <w:rFonts w:ascii="Palatino Linotype" w:hAnsi="Palatino Linotype" w:cs="Arial"/>
          <w:bCs/>
          <w:iCs/>
          <w:lang w:val="es-MX"/>
        </w:rPr>
      </w:pPr>
      <w:r w:rsidRPr="0009741C">
        <w:rPr>
          <w:rFonts w:ascii="Palatino Linotype" w:hAnsi="Palatino Linotype" w:cs="Arial"/>
          <w:bCs/>
          <w:iCs/>
          <w:lang w:val="es-MX"/>
        </w:rPr>
        <w:t>Conforme a lo anterior, se advierte lo siguiente:</w:t>
      </w:r>
    </w:p>
    <w:p w:rsidR="000448BB" w:rsidRPr="0009741C" w:rsidRDefault="000448BB" w:rsidP="000448BB">
      <w:pPr>
        <w:spacing w:after="0" w:line="360" w:lineRule="auto"/>
        <w:jc w:val="both"/>
        <w:rPr>
          <w:rFonts w:ascii="Palatino Linotype" w:hAnsi="Palatino Linotype" w:cs="Arial"/>
          <w:bCs/>
          <w:iCs/>
          <w:lang w:val="es-MX"/>
        </w:rPr>
      </w:pPr>
    </w:p>
    <w:p w:rsidR="000448BB" w:rsidRPr="0009741C" w:rsidRDefault="000448BB" w:rsidP="000448BB">
      <w:pPr>
        <w:numPr>
          <w:ilvl w:val="0"/>
          <w:numId w:val="3"/>
        </w:numPr>
        <w:spacing w:after="0" w:line="360" w:lineRule="auto"/>
        <w:jc w:val="both"/>
        <w:rPr>
          <w:rFonts w:ascii="Palatino Linotype" w:hAnsi="Palatino Linotype" w:cs="Arial"/>
          <w:b/>
          <w:bCs/>
          <w:iCs/>
          <w:lang w:val="es-MX"/>
        </w:rPr>
      </w:pPr>
      <w:r w:rsidRPr="0009741C">
        <w:rPr>
          <w:rFonts w:ascii="Palatino Linotype" w:hAnsi="Palatino Linotype" w:cs="Arial"/>
          <w:b/>
          <w:bCs/>
          <w:iCs/>
          <w:lang w:val="es-MX"/>
        </w:rPr>
        <w:t xml:space="preserve">Fundamentación: </w:t>
      </w:r>
      <w:r w:rsidRPr="0009741C">
        <w:rPr>
          <w:rFonts w:ascii="Palatino Linotype" w:hAnsi="Palatino Linotype" w:cs="Arial"/>
          <w:bCs/>
          <w:iCs/>
          <w:lang w:val="es-MX"/>
        </w:rPr>
        <w:t>Obligación de la autoridad que emite un acto, para citar los preceptos legales, sustantivos y adjetivos, en que se apoye para la determinación tomada.</w:t>
      </w:r>
    </w:p>
    <w:p w:rsidR="000448BB" w:rsidRPr="0009741C" w:rsidRDefault="000448BB" w:rsidP="000448BB">
      <w:pPr>
        <w:numPr>
          <w:ilvl w:val="0"/>
          <w:numId w:val="3"/>
        </w:numPr>
        <w:spacing w:after="0" w:line="360" w:lineRule="auto"/>
        <w:jc w:val="both"/>
        <w:rPr>
          <w:rFonts w:ascii="Palatino Linotype" w:hAnsi="Palatino Linotype" w:cs="Arial"/>
          <w:b/>
          <w:bCs/>
          <w:iCs/>
          <w:lang w:val="es-MX"/>
        </w:rPr>
      </w:pPr>
      <w:r w:rsidRPr="0009741C">
        <w:rPr>
          <w:rFonts w:ascii="Palatino Linotype" w:hAnsi="Palatino Linotype" w:cs="Arial"/>
          <w:b/>
          <w:bCs/>
          <w:iCs/>
          <w:lang w:val="es-MX"/>
        </w:rPr>
        <w:t xml:space="preserve">Motivación: </w:t>
      </w:r>
      <w:r w:rsidRPr="0009741C">
        <w:rPr>
          <w:rFonts w:ascii="Palatino Linotype" w:hAnsi="Palatino Linotype" w:cs="Arial"/>
          <w:bCs/>
          <w:iCs/>
          <w:lang w:val="es-MX"/>
        </w:rPr>
        <w:t>Razonamientos lógico-jurídicos sobre porque se consideró en el caso en concreto, que se ajusta a la hipótesis normativa.</w:t>
      </w:r>
    </w:p>
    <w:p w:rsidR="000448BB" w:rsidRPr="0009741C" w:rsidRDefault="000448BB" w:rsidP="000448BB">
      <w:pPr>
        <w:spacing w:after="0" w:line="360" w:lineRule="auto"/>
        <w:jc w:val="both"/>
        <w:rPr>
          <w:rFonts w:ascii="Palatino Linotype" w:hAnsi="Palatino Linotype" w:cs="Arial"/>
          <w:bCs/>
          <w:iCs/>
        </w:rPr>
      </w:pPr>
    </w:p>
    <w:p w:rsidR="000448BB" w:rsidRPr="0009741C" w:rsidRDefault="000448BB" w:rsidP="000448BB">
      <w:pPr>
        <w:spacing w:after="0" w:line="360" w:lineRule="auto"/>
        <w:jc w:val="both"/>
        <w:rPr>
          <w:rFonts w:ascii="Palatino Linotype" w:hAnsi="Palatino Linotype" w:cs="Arial"/>
          <w:bCs/>
          <w:iCs/>
        </w:rPr>
      </w:pPr>
      <w:r w:rsidRPr="0009741C">
        <w:rPr>
          <w:rFonts w:ascii="Palatino Linotype" w:hAnsi="Palatino Linotype" w:cs="Arial"/>
          <w:bCs/>
          <w:iCs/>
        </w:rPr>
        <w:lastRenderedPageBreak/>
        <w:t>Situación que toma relevancia, pues conforme al artículo 149 de la Ley de Transparencia y Acceso a la Información Pública del Estado de México y Municipios, todo acuerdo que clasifique la información, deberá contener un razonamiento lógico en el que se demuestre que la información actualiza alguna de las hipótesis previstas en el artículo 143 del ordenamiento jurídico establecido.</w:t>
      </w:r>
    </w:p>
    <w:p w:rsidR="000448BB" w:rsidRPr="0009741C" w:rsidRDefault="000448BB" w:rsidP="000448BB">
      <w:pPr>
        <w:spacing w:after="0" w:line="360" w:lineRule="auto"/>
        <w:jc w:val="both"/>
        <w:rPr>
          <w:rFonts w:ascii="Palatino Linotype" w:hAnsi="Palatino Linotype" w:cs="Arial"/>
          <w:bCs/>
          <w:iCs/>
        </w:rPr>
      </w:pPr>
    </w:p>
    <w:p w:rsidR="00571508" w:rsidRPr="0009741C" w:rsidRDefault="000448BB" w:rsidP="000448BB">
      <w:pPr>
        <w:spacing w:after="0" w:line="360" w:lineRule="auto"/>
        <w:jc w:val="both"/>
        <w:rPr>
          <w:rFonts w:ascii="Palatino Linotype" w:hAnsi="Palatino Linotype" w:cs="Arial"/>
          <w:bCs/>
          <w:iCs/>
        </w:rPr>
      </w:pPr>
      <w:r w:rsidRPr="0009741C">
        <w:rPr>
          <w:rFonts w:ascii="Palatino Linotype" w:hAnsi="Palatino Linotype" w:cs="Arial"/>
          <w:bCs/>
          <w:iCs/>
        </w:rPr>
        <w:t xml:space="preserve">Ahora bien, </w:t>
      </w:r>
      <w:r w:rsidR="00BF24E0" w:rsidRPr="0009741C">
        <w:rPr>
          <w:rFonts w:ascii="Palatino Linotype" w:hAnsi="Palatino Linotype" w:cs="Arial"/>
          <w:bCs/>
          <w:iCs/>
        </w:rPr>
        <w:t xml:space="preserve">ante tal negativa de la información, </w:t>
      </w:r>
      <w:r w:rsidR="00571508" w:rsidRPr="0009741C">
        <w:rPr>
          <w:rFonts w:ascii="Palatino Linotype" w:hAnsi="Palatino Linotype" w:cs="Arial"/>
          <w:bCs/>
          <w:iCs/>
        </w:rPr>
        <w:t>el artículo 182 de la Ley de la materia señala que en todo momento, los Comisionados deberán tener acceso a la información clasificada para determinar su naturaleza según se requiera, por tal razón se debió hacer valer tal atribución con la finalidad de verificar que la información encuadraba en alguno de los supuestos de clasificación o en su caso desclasificarla por ser de acceso pública</w:t>
      </w:r>
      <w:r w:rsidR="004C1B11" w:rsidRPr="0009741C">
        <w:rPr>
          <w:rFonts w:ascii="Palatino Linotype" w:hAnsi="Palatino Linotype" w:cs="Arial"/>
          <w:bCs/>
          <w:iCs/>
        </w:rPr>
        <w:t>,</w:t>
      </w:r>
      <w:r w:rsidR="00571508" w:rsidRPr="0009741C">
        <w:rPr>
          <w:rFonts w:ascii="Palatino Linotype" w:hAnsi="Palatino Linotype" w:cs="Arial"/>
          <w:bCs/>
          <w:iCs/>
        </w:rPr>
        <w:t xml:space="preserve"> de acuerdo a lo previsto por el artículo 183 de la misma Ley el cual se transcribe para pronta referencia:</w:t>
      </w:r>
    </w:p>
    <w:p w:rsidR="00571508" w:rsidRPr="0009741C" w:rsidRDefault="00571508" w:rsidP="000448BB">
      <w:pPr>
        <w:spacing w:after="0" w:line="360" w:lineRule="auto"/>
        <w:jc w:val="both"/>
        <w:rPr>
          <w:rFonts w:ascii="Palatino Linotype" w:hAnsi="Palatino Linotype" w:cs="Arial"/>
          <w:bCs/>
          <w:iCs/>
        </w:rPr>
      </w:pPr>
    </w:p>
    <w:p w:rsidR="00571508" w:rsidRPr="0009741C" w:rsidRDefault="00571508" w:rsidP="00571508">
      <w:pPr>
        <w:spacing w:after="0" w:line="360" w:lineRule="auto"/>
        <w:ind w:left="567" w:right="616"/>
        <w:jc w:val="both"/>
        <w:rPr>
          <w:rFonts w:ascii="Palatino Linotype" w:hAnsi="Palatino Linotype" w:cs="Arial"/>
          <w:bCs/>
          <w:i/>
          <w:iCs/>
          <w:sz w:val="20"/>
        </w:rPr>
      </w:pPr>
      <w:r w:rsidRPr="0009741C">
        <w:rPr>
          <w:rFonts w:ascii="Palatino Linotype" w:hAnsi="Palatino Linotype" w:cs="Arial"/>
          <w:b/>
          <w:bCs/>
          <w:i/>
          <w:iCs/>
          <w:sz w:val="20"/>
        </w:rPr>
        <w:t>Artículo 183.</w:t>
      </w:r>
      <w:r w:rsidRPr="0009741C">
        <w:rPr>
          <w:rFonts w:ascii="Palatino Linotype" w:hAnsi="Palatino Linotype" w:cs="Arial"/>
          <w:bCs/>
          <w:i/>
          <w:iCs/>
          <w:sz w:val="20"/>
        </w:rPr>
        <w:t xml:space="preserve"> La información reservada o confidencial que, en su caso, sea consultada por los Comisionados</w:t>
      </w:r>
      <w:r w:rsidRPr="0009741C">
        <w:rPr>
          <w:rFonts w:ascii="Palatino Linotype" w:hAnsi="Palatino Linotype" w:cs="Arial"/>
          <w:b/>
          <w:bCs/>
          <w:i/>
          <w:iCs/>
          <w:sz w:val="20"/>
          <w:u w:val="single"/>
        </w:rPr>
        <w:t>, por resultar indispensable para resolver el asunto</w:t>
      </w:r>
      <w:r w:rsidRPr="0009741C">
        <w:rPr>
          <w:rFonts w:ascii="Palatino Linotype" w:hAnsi="Palatino Linotype" w:cs="Arial"/>
          <w:bCs/>
          <w:i/>
          <w:iCs/>
          <w:sz w:val="20"/>
        </w:rPr>
        <w:t xml:space="preserve">, deberá ser mantenida con ese carácter y no deberá estar disponible en el Expediente, </w:t>
      </w:r>
      <w:r w:rsidRPr="0009741C">
        <w:rPr>
          <w:rFonts w:ascii="Palatino Linotype" w:hAnsi="Palatino Linotype" w:cs="Arial"/>
          <w:b/>
          <w:bCs/>
          <w:i/>
          <w:iCs/>
          <w:sz w:val="20"/>
          <w:u w:val="single"/>
        </w:rPr>
        <w:t>salvo en los casos en los que sobreviniera la desclasificación de dicha información</w:t>
      </w:r>
      <w:r w:rsidRPr="0009741C">
        <w:rPr>
          <w:rFonts w:ascii="Palatino Linotype" w:hAnsi="Palatino Linotype" w:cs="Arial"/>
          <w:bCs/>
          <w:i/>
          <w:iCs/>
          <w:sz w:val="20"/>
        </w:rPr>
        <w:t xml:space="preserve">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rsidR="00571508" w:rsidRPr="0009741C" w:rsidRDefault="00571508" w:rsidP="000448BB">
      <w:pPr>
        <w:spacing w:after="0" w:line="360" w:lineRule="auto"/>
        <w:jc w:val="both"/>
        <w:rPr>
          <w:rFonts w:ascii="Palatino Linotype" w:hAnsi="Palatino Linotype" w:cs="Arial"/>
          <w:bCs/>
          <w:iCs/>
        </w:rPr>
      </w:pPr>
    </w:p>
    <w:p w:rsidR="005D58CE" w:rsidRPr="0009741C" w:rsidRDefault="00571508" w:rsidP="005D58CE">
      <w:pPr>
        <w:spacing w:after="0" w:line="360" w:lineRule="auto"/>
        <w:jc w:val="both"/>
        <w:rPr>
          <w:rFonts w:ascii="Palatino Linotype" w:hAnsi="Palatino Linotype" w:cs="Arial"/>
          <w:b/>
          <w:bCs/>
          <w:iCs/>
          <w:u w:val="single"/>
          <w:lang w:val="es-MX"/>
        </w:rPr>
      </w:pPr>
      <w:r w:rsidRPr="0009741C">
        <w:rPr>
          <w:rFonts w:ascii="Palatino Linotype" w:hAnsi="Palatino Linotype" w:cs="Arial"/>
          <w:bCs/>
        </w:rPr>
        <w:t xml:space="preserve">Derivado de lo anterior, la clasificación invocada por el Sujeto Obligado </w:t>
      </w:r>
      <w:r w:rsidR="004C1B11" w:rsidRPr="0009741C">
        <w:rPr>
          <w:rFonts w:ascii="Palatino Linotype" w:hAnsi="Palatino Linotype" w:cs="Arial"/>
          <w:bCs/>
        </w:rPr>
        <w:t>no da</w:t>
      </w:r>
      <w:r w:rsidRPr="0009741C">
        <w:rPr>
          <w:rFonts w:ascii="Palatino Linotype" w:hAnsi="Palatino Linotype" w:cs="Arial"/>
          <w:bCs/>
        </w:rPr>
        <w:t xml:space="preserve"> certeza sobre que procedimiento se refería</w:t>
      </w:r>
      <w:r w:rsidR="005D58CE" w:rsidRPr="0009741C">
        <w:rPr>
          <w:rFonts w:ascii="Palatino Linotype" w:hAnsi="Palatino Linotype" w:cs="Arial"/>
          <w:bCs/>
        </w:rPr>
        <w:t>,</w:t>
      </w:r>
      <w:r w:rsidRPr="0009741C">
        <w:rPr>
          <w:rFonts w:ascii="Palatino Linotype" w:hAnsi="Palatino Linotype" w:cs="Arial"/>
          <w:bCs/>
        </w:rPr>
        <w:t xml:space="preserve"> </w:t>
      </w:r>
      <w:r w:rsidR="004C1B11" w:rsidRPr="0009741C">
        <w:rPr>
          <w:rFonts w:ascii="Palatino Linotype" w:hAnsi="Palatino Linotype" w:cs="Arial"/>
          <w:bCs/>
        </w:rPr>
        <w:t>situación que constreñía</w:t>
      </w:r>
      <w:r w:rsidR="00313980" w:rsidRPr="0009741C">
        <w:rPr>
          <w:rFonts w:ascii="Palatino Linotype" w:hAnsi="Palatino Linotype" w:cs="Arial"/>
          <w:bCs/>
        </w:rPr>
        <w:t xml:space="preserve"> a este Organismo Garante a entrar al estudio de la</w:t>
      </w:r>
      <w:r w:rsidRPr="0009741C">
        <w:rPr>
          <w:rFonts w:ascii="Palatino Linotype" w:hAnsi="Palatino Linotype" w:cs="Arial"/>
          <w:bCs/>
        </w:rPr>
        <w:t xml:space="preserve"> información </w:t>
      </w:r>
      <w:r w:rsidR="00313980" w:rsidRPr="0009741C">
        <w:rPr>
          <w:rFonts w:ascii="Palatino Linotype" w:hAnsi="Palatino Linotype" w:cs="Arial"/>
          <w:bCs/>
        </w:rPr>
        <w:t xml:space="preserve">para determinar </w:t>
      </w:r>
      <w:r w:rsidRPr="0009741C">
        <w:rPr>
          <w:rFonts w:ascii="Palatino Linotype" w:hAnsi="Palatino Linotype" w:cs="Arial"/>
          <w:bCs/>
        </w:rPr>
        <w:t>si encuadraba en tal supuesto</w:t>
      </w:r>
      <w:r w:rsidR="00313980" w:rsidRPr="0009741C">
        <w:rPr>
          <w:rFonts w:ascii="Palatino Linotype" w:hAnsi="Palatino Linotype" w:cs="Arial"/>
          <w:bCs/>
        </w:rPr>
        <w:t>, toda vez que desde mi perspectiva, se deb</w:t>
      </w:r>
      <w:r w:rsidRPr="0009741C">
        <w:rPr>
          <w:rFonts w:ascii="Palatino Linotype" w:hAnsi="Palatino Linotype" w:cs="Arial"/>
          <w:bCs/>
        </w:rPr>
        <w:t>e</w:t>
      </w:r>
      <w:r w:rsidR="00313980" w:rsidRPr="0009741C">
        <w:rPr>
          <w:rFonts w:ascii="Palatino Linotype" w:hAnsi="Palatino Linotype" w:cs="Arial"/>
          <w:bCs/>
        </w:rPr>
        <w:t xml:space="preserve"> privilegia</w:t>
      </w:r>
      <w:r w:rsidRPr="0009741C">
        <w:rPr>
          <w:rFonts w:ascii="Palatino Linotype" w:hAnsi="Palatino Linotype" w:cs="Arial"/>
          <w:bCs/>
        </w:rPr>
        <w:t>r</w:t>
      </w:r>
      <w:r w:rsidR="00313980" w:rsidRPr="0009741C">
        <w:rPr>
          <w:rFonts w:ascii="Palatino Linotype" w:hAnsi="Palatino Linotype" w:cs="Arial"/>
          <w:bCs/>
        </w:rPr>
        <w:t xml:space="preserve"> el derecho humano de acceso a la información del Recurrente</w:t>
      </w:r>
      <w:r w:rsidR="00394936" w:rsidRPr="0009741C">
        <w:rPr>
          <w:rFonts w:ascii="Palatino Linotype" w:hAnsi="Palatino Linotype" w:cs="Arial"/>
          <w:bCs/>
        </w:rPr>
        <w:t xml:space="preserve">, </w:t>
      </w:r>
      <w:r w:rsidR="005D58CE" w:rsidRPr="0009741C">
        <w:rPr>
          <w:rFonts w:ascii="Palatino Linotype" w:hAnsi="Palatino Linotype" w:cs="Arial"/>
          <w:bCs/>
        </w:rPr>
        <w:t xml:space="preserve">ya que incluso </w:t>
      </w:r>
      <w:r w:rsidR="004C1B11" w:rsidRPr="0009741C">
        <w:rPr>
          <w:rFonts w:ascii="Palatino Linotype" w:hAnsi="Palatino Linotype" w:cs="Arial"/>
          <w:bCs/>
        </w:rPr>
        <w:t xml:space="preserve">lo requerido </w:t>
      </w:r>
      <w:r w:rsidR="005D58CE" w:rsidRPr="0009741C">
        <w:rPr>
          <w:rFonts w:ascii="Palatino Linotype" w:hAnsi="Palatino Linotype" w:cs="Arial"/>
          <w:bCs/>
        </w:rPr>
        <w:t>p</w:t>
      </w:r>
      <w:r w:rsidR="004C1B11" w:rsidRPr="0009741C">
        <w:rPr>
          <w:rFonts w:ascii="Palatino Linotype" w:hAnsi="Palatino Linotype" w:cs="Arial"/>
          <w:bCs/>
        </w:rPr>
        <w:t xml:space="preserve">uede </w:t>
      </w:r>
      <w:r w:rsidR="005D58CE" w:rsidRPr="0009741C">
        <w:rPr>
          <w:rFonts w:ascii="Palatino Linotype" w:hAnsi="Palatino Linotype" w:cs="Arial"/>
          <w:bCs/>
        </w:rPr>
        <w:t xml:space="preserve">estar relacionados con actos de corrupción y </w:t>
      </w:r>
      <w:r w:rsidR="005D58CE" w:rsidRPr="0009741C">
        <w:rPr>
          <w:rFonts w:ascii="Palatino Linotype" w:hAnsi="Palatino Linotype" w:cs="Arial"/>
          <w:bCs/>
          <w:iCs/>
          <w:lang w:val="es-MX"/>
        </w:rPr>
        <w:lastRenderedPageBreak/>
        <w:t>conforme a al artículo 115 de la Ley General de Transparencia y Acceso a la Información Pública, relacionado con el 142 de la Ley de Transparencia y Acceso a la Información Pública del Estado de México y Municipios y el Trigésimo Séptimo de los Lineamientos Generales, no podrá invocarse la clasificación de aquella información que se encuentre relacionada con posibles violaciones a derechos humanos o actos de corrupción.</w:t>
      </w:r>
    </w:p>
    <w:p w:rsidR="005D58CE" w:rsidRPr="0009741C" w:rsidRDefault="005D58CE" w:rsidP="005D58CE">
      <w:pPr>
        <w:spacing w:after="0" w:line="360" w:lineRule="auto"/>
        <w:jc w:val="both"/>
        <w:rPr>
          <w:rFonts w:ascii="Palatino Linotype" w:hAnsi="Palatino Linotype" w:cs="Arial"/>
          <w:bCs/>
          <w:iCs/>
          <w:lang w:val="es-MX"/>
        </w:rPr>
      </w:pPr>
    </w:p>
    <w:p w:rsidR="005D58CE" w:rsidRPr="0009741C" w:rsidRDefault="005D58CE" w:rsidP="005D58CE">
      <w:pPr>
        <w:spacing w:after="0" w:line="360" w:lineRule="auto"/>
        <w:jc w:val="both"/>
        <w:rPr>
          <w:rFonts w:ascii="Palatino Linotype" w:hAnsi="Palatino Linotype" w:cs="Arial"/>
          <w:bCs/>
          <w:iCs/>
        </w:rPr>
      </w:pPr>
      <w:r w:rsidRPr="0009741C">
        <w:rPr>
          <w:rFonts w:ascii="Palatino Linotype" w:hAnsi="Palatino Linotype" w:cs="Arial"/>
          <w:bCs/>
          <w:iCs/>
        </w:rPr>
        <w:t>En ese contexto, resulta necesario,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rsidR="005D58CE" w:rsidRPr="0009741C" w:rsidRDefault="005D58CE" w:rsidP="005D58CE">
      <w:pPr>
        <w:spacing w:after="0" w:line="360" w:lineRule="auto"/>
        <w:jc w:val="both"/>
        <w:rPr>
          <w:rFonts w:ascii="Palatino Linotype" w:hAnsi="Palatino Linotype" w:cs="Arial"/>
          <w:bCs/>
          <w:iCs/>
        </w:rPr>
      </w:pPr>
    </w:p>
    <w:p w:rsidR="005D58CE" w:rsidRPr="0009741C" w:rsidRDefault="005D58CE" w:rsidP="005D58CE">
      <w:pPr>
        <w:numPr>
          <w:ilvl w:val="0"/>
          <w:numId w:val="4"/>
        </w:numPr>
        <w:spacing w:after="0" w:line="360" w:lineRule="auto"/>
        <w:jc w:val="both"/>
        <w:rPr>
          <w:rFonts w:ascii="Palatino Linotype" w:hAnsi="Palatino Linotype" w:cs="Arial"/>
          <w:b/>
          <w:bCs/>
          <w:iCs/>
        </w:rPr>
      </w:pPr>
      <w:r w:rsidRPr="0009741C">
        <w:rPr>
          <w:rFonts w:ascii="Palatino Linotype" w:hAnsi="Palatino Linotype" w:cs="Arial"/>
          <w:b/>
          <w:bCs/>
          <w:iCs/>
        </w:rPr>
        <w:t xml:space="preserve">Principio de Máxima Publicidad: </w:t>
      </w:r>
      <w:r w:rsidRPr="0009741C">
        <w:rPr>
          <w:rFonts w:ascii="Palatino Linotype" w:hAnsi="Palatino Linotype" w:cs="Arial"/>
          <w:bCs/>
          <w:iCs/>
        </w:rPr>
        <w:t>Precisa que toda la información en posesión de los entes sujetos a las Leyes de Transparencia, es pública, completa, oportuna y accesible, sujeta a un claro régimen de excepciones.</w:t>
      </w:r>
    </w:p>
    <w:p w:rsidR="005D58CE" w:rsidRPr="0009741C" w:rsidRDefault="005D58CE" w:rsidP="005D58CE">
      <w:pPr>
        <w:numPr>
          <w:ilvl w:val="0"/>
          <w:numId w:val="4"/>
        </w:numPr>
        <w:spacing w:after="0" w:line="360" w:lineRule="auto"/>
        <w:jc w:val="both"/>
        <w:rPr>
          <w:rFonts w:ascii="Palatino Linotype" w:hAnsi="Palatino Linotype" w:cs="Arial"/>
          <w:b/>
          <w:bCs/>
          <w:iCs/>
        </w:rPr>
      </w:pPr>
      <w:r w:rsidRPr="0009741C">
        <w:rPr>
          <w:rFonts w:ascii="Palatino Linotype" w:hAnsi="Palatino Linotype" w:cs="Arial"/>
          <w:b/>
          <w:bCs/>
          <w:iCs/>
        </w:rPr>
        <w:t xml:space="preserve">Información de Interés Público: </w:t>
      </w:r>
      <w:r w:rsidRPr="0009741C">
        <w:rPr>
          <w:rFonts w:ascii="Palatino Linotype" w:hAnsi="Palatino Linotype" w:cs="Arial"/>
          <w:bCs/>
          <w:iCs/>
        </w:rPr>
        <w:t>Es aquella que resulta relevante o beneficiosa para la sociedad y no simplemente de interés individual, cuya divulgación resulta útil para que el público comprenda las actividades que llevan a cabo los sujetos obligados.</w:t>
      </w:r>
    </w:p>
    <w:p w:rsidR="005D58CE" w:rsidRPr="0009741C" w:rsidRDefault="005D58CE" w:rsidP="005D58CE">
      <w:pPr>
        <w:spacing w:after="0" w:line="360" w:lineRule="auto"/>
        <w:jc w:val="both"/>
        <w:rPr>
          <w:rFonts w:ascii="Palatino Linotype" w:hAnsi="Palatino Linotype" w:cs="Arial"/>
          <w:bCs/>
          <w:iCs/>
          <w:lang w:val="es-MX"/>
        </w:rPr>
      </w:pPr>
    </w:p>
    <w:p w:rsidR="005D58CE" w:rsidRPr="0009741C" w:rsidRDefault="005D58CE" w:rsidP="005D58CE">
      <w:pPr>
        <w:spacing w:after="0" w:line="360" w:lineRule="auto"/>
        <w:jc w:val="both"/>
        <w:rPr>
          <w:rFonts w:ascii="Palatino Linotype" w:hAnsi="Palatino Linotype" w:cs="Arial"/>
          <w:bCs/>
          <w:iCs/>
        </w:rPr>
      </w:pPr>
      <w:r w:rsidRPr="0009741C">
        <w:rPr>
          <w:rFonts w:ascii="Palatino Linotype" w:hAnsi="Palatino Linotype" w:cs="Arial"/>
          <w:bCs/>
          <w:iCs/>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rsidR="0009741C" w:rsidRPr="0009741C" w:rsidRDefault="0009741C" w:rsidP="005D58CE">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lastRenderedPageBreak/>
        <w:t xml:space="preserve">Asimismo, como lo he reiterado, se debió acreditar la prueba de daño para dar certeza que en efecto, existe un fin legítimo protegido con la reserva de la información; esto es, </w:t>
      </w:r>
      <w:r w:rsidRPr="0009741C">
        <w:rPr>
          <w:rFonts w:ascii="Palatino Linotype" w:hAnsi="Palatino Linotype" w:cs="Arial"/>
          <w:bCs/>
          <w:iCs/>
        </w:rPr>
        <w:t>se debió realizar un estudio de la clasificación de información en donde se funde y motive la causal de reserva específica que se actualiza del artículo 140 de la Ley de Transparencia y Acceso a la Información Pública del Estado de México y Municipios. Lo anterior, ya que la información reservada, es aquella que cuando, de manera excepcional y por razones de interés público, su publicidad puede causar un daño al interés jurídico tutelado por la Ley, en el que se debe especificar alguno de los supuestos establecidos en el artículo mencionado y con ello especificar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 xml:space="preserve">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fundamentación incorrecta y por lo tanto una errónea clasificación de la información. 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w:t>
      </w:r>
      <w:r w:rsidRPr="0009741C">
        <w:rPr>
          <w:rFonts w:ascii="Palatino Linotype" w:hAnsi="Palatino Linotype" w:cs="Arial"/>
          <w:bCs/>
          <w:iCs/>
        </w:rPr>
        <w:lastRenderedPageBreak/>
        <w:t>correspondiente del artículo 140 de la Ley de Transparencia y Acceso a la Información Pública del Estado de México y Municipios, por lo tanto, se debe especificar la fracción que corresponda.</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En consecuencia, es necesario que en el análisis de las resoluciones que dicta este Pleno, se proporcione un estudio exhaustivo y ofrecer al Particular las herramientas para conocer las razones por las que procede o no la reserva de la información y en qué términos.</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De igual forma, emito el presente, en razón de que, se debió analizar de manera detallada la reserva, además de 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 Abona a lo expuesto, lo resuelto por el Instituto Nacional de Transparencia, Acceso a la Información Pública y Protección de </w:t>
      </w:r>
      <w:r w:rsidRPr="0009741C">
        <w:rPr>
          <w:rFonts w:ascii="Palatino Linotype" w:hAnsi="Palatino Linotype" w:cs="Arial"/>
          <w:bCs/>
          <w:iCs/>
        </w:rPr>
        <w:lastRenderedPageBreak/>
        <w:t xml:space="preserve">Datos Personales, en los Recursos de Inconformidad con número </w:t>
      </w:r>
      <w:r w:rsidRPr="0009741C">
        <w:rPr>
          <w:rFonts w:ascii="Palatino Linotype" w:hAnsi="Palatino Linotype" w:cs="Arial"/>
          <w:b/>
          <w:bCs/>
          <w:iCs/>
        </w:rPr>
        <w:t xml:space="preserve">RIA 0118/18, RIA 0124/19 y RIA 0118/19, </w:t>
      </w:r>
      <w:r w:rsidRPr="0009741C">
        <w:rPr>
          <w:rFonts w:ascii="Palatino Linotype" w:hAnsi="Palatino Linotype" w:cs="Arial"/>
          <w:bCs/>
          <w:iCs/>
        </w:rPr>
        <w:t>en donde se precisó que este Organismo Garante no debe ceñirse únicamente a verificar cuestiones de forma, sino también argumentar por qué la información solicitada se adecua o no a la o las hipótesis señaladas.</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eastAsia="Calibri" w:hAnsi="Palatino Linotype" w:cs="Tahoma"/>
        </w:rPr>
      </w:pPr>
      <w:r w:rsidRPr="0009741C">
        <w:rPr>
          <w:rFonts w:ascii="Palatino Linotype" w:eastAsia="Calibri" w:hAnsi="Palatino Linotype" w:cs="Tahoma"/>
        </w:rPr>
        <w:t>También, el Juicio de Amparo Indirecto 1232/2017 resuelto por el Juzgado Cuarto de Distrito en Materia Administrativa en la Ciud</w:t>
      </w:r>
      <w:bookmarkStart w:id="0" w:name="_GoBack"/>
      <w:bookmarkEnd w:id="0"/>
      <w:r w:rsidRPr="0009741C">
        <w:rPr>
          <w:rFonts w:ascii="Palatino Linotype" w:eastAsia="Calibri" w:hAnsi="Palatino Linotype" w:cs="Tahoma"/>
        </w:rPr>
        <w:t xml:space="preserve">ad de México, cuya síntesis se expone en el libro Casos Paradigmáticos del Poder Judicial de la Federación en materia de acceso a la información y protección de datos personal (Esquivel, Yasmin, </w:t>
      </w:r>
      <w:r w:rsidRPr="0009741C">
        <w:rPr>
          <w:rFonts w:ascii="Palatino Linotype" w:eastAsia="Calibri" w:hAnsi="Palatino Linotype" w:cs="Tahoma"/>
          <w:i/>
          <w:iCs/>
        </w:rPr>
        <w:t>et al</w:t>
      </w:r>
      <w:r w:rsidRPr="0009741C">
        <w:rPr>
          <w:rFonts w:ascii="Palatino Linotype" w:eastAsia="Calibri" w:hAnsi="Palatino Linotype" w:cs="Tahoma"/>
        </w:rPr>
        <w:t xml:space="preserve">. P. (2021), INAI, pp. 45 a 61 ), en donde </w:t>
      </w:r>
      <w:r w:rsidRPr="0009741C">
        <w:rPr>
          <w:rFonts w:ascii="Palatino Linotype" w:eastAsia="Calibri" w:hAnsi="Palatino Linotype" w:cs="Tahoma"/>
          <w:i/>
          <w:iCs/>
        </w:rPr>
        <w:t>grosso modo</w:t>
      </w:r>
      <w:r w:rsidRPr="0009741C">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numPr>
          <w:ilvl w:val="0"/>
          <w:numId w:val="5"/>
        </w:numPr>
        <w:spacing w:line="360" w:lineRule="auto"/>
        <w:contextualSpacing/>
        <w:jc w:val="both"/>
        <w:rPr>
          <w:rFonts w:ascii="Palatino Linotype" w:eastAsia="Calibri" w:hAnsi="Palatino Linotype" w:cs="Tahoma"/>
        </w:rPr>
      </w:pPr>
      <w:r w:rsidRPr="0009741C">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numPr>
          <w:ilvl w:val="0"/>
          <w:numId w:val="5"/>
        </w:numPr>
        <w:spacing w:line="360" w:lineRule="auto"/>
        <w:contextualSpacing/>
        <w:jc w:val="both"/>
        <w:rPr>
          <w:rFonts w:ascii="Palatino Linotype" w:eastAsia="Calibri" w:hAnsi="Palatino Linotype" w:cs="Tahoma"/>
        </w:rPr>
      </w:pPr>
      <w:r w:rsidRPr="0009741C">
        <w:rPr>
          <w:rFonts w:ascii="Palatino Linotype" w:eastAsia="Calibri" w:hAnsi="Palatino Linotype" w:cs="Tahoma"/>
        </w:rPr>
        <w:t xml:space="preserve">(…) en la sentencia se sostuvo que el </w:t>
      </w:r>
      <w:r w:rsidRPr="0009741C">
        <w:rPr>
          <w:rFonts w:ascii="Palatino Linotype" w:eastAsia="Calibri" w:hAnsi="Palatino Linotype" w:cs="Tahoma"/>
          <w:b/>
          <w:bCs/>
          <w:u w:val="single"/>
        </w:rPr>
        <w:t>INAI no había justificado debidamente la ponderación entre los intereses en conflicto al correr la prueba de daño</w:t>
      </w:r>
      <w:r w:rsidRPr="0009741C">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numPr>
          <w:ilvl w:val="0"/>
          <w:numId w:val="5"/>
        </w:numPr>
        <w:spacing w:line="360" w:lineRule="auto"/>
        <w:contextualSpacing/>
        <w:jc w:val="both"/>
        <w:rPr>
          <w:rFonts w:ascii="Palatino Linotype" w:eastAsia="Calibri" w:hAnsi="Palatino Linotype" w:cs="Tahoma"/>
        </w:rPr>
      </w:pPr>
      <w:r w:rsidRPr="0009741C">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spacing w:after="0" w:line="360" w:lineRule="auto"/>
        <w:jc w:val="both"/>
        <w:rPr>
          <w:rFonts w:ascii="Palatino Linotype" w:eastAsia="Calibri" w:hAnsi="Palatino Linotype" w:cs="Tahoma"/>
        </w:rPr>
      </w:pPr>
      <w:r w:rsidRPr="0009741C">
        <w:rPr>
          <w:rFonts w:ascii="Palatino Linotype" w:eastAsia="Calibri" w:hAnsi="Palatino Linotype" w:cs="Tahoma"/>
        </w:rPr>
        <w:t>Aún más, al resolverse la impugnación que interpuso el Instituto Nacional de Transparencia, Acceso a la Información y Protección de Datos Personales,  en términos del artículo 81, inciso e) de la Ley de Amparo, que primero fue turnada al Vigésimo Primer Tribunal Colegiado en Materia del Primer Circuito, bajo el número de expediente 192/2018, mismo que fue atraído por la Suprema Corte de Justicia, determinó que:</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numPr>
          <w:ilvl w:val="0"/>
          <w:numId w:val="6"/>
        </w:numPr>
        <w:spacing w:line="360" w:lineRule="auto"/>
        <w:contextualSpacing/>
        <w:jc w:val="both"/>
        <w:rPr>
          <w:rFonts w:ascii="Palatino Linotype" w:eastAsia="Calibri" w:hAnsi="Palatino Linotype" w:cs="Tahoma"/>
        </w:rPr>
      </w:pPr>
      <w:r w:rsidRPr="0009741C">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numPr>
          <w:ilvl w:val="0"/>
          <w:numId w:val="6"/>
        </w:numPr>
        <w:spacing w:line="360" w:lineRule="auto"/>
        <w:contextualSpacing/>
        <w:jc w:val="both"/>
        <w:rPr>
          <w:rFonts w:ascii="Palatino Linotype" w:eastAsia="Calibri" w:hAnsi="Palatino Linotype" w:cs="Tahoma"/>
          <w:b/>
          <w:bCs/>
          <w:u w:val="single"/>
        </w:rPr>
      </w:pPr>
      <w:r w:rsidRPr="0009741C">
        <w:rPr>
          <w:rFonts w:ascii="Palatino Linotype" w:eastAsia="Calibri" w:hAnsi="Palatino Linotype" w:cs="Tahoma"/>
          <w:b/>
          <w:bCs/>
          <w:u w:val="single"/>
        </w:rPr>
        <w:t xml:space="preserve">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w:t>
      </w:r>
      <w:r w:rsidRPr="0009741C">
        <w:rPr>
          <w:rFonts w:ascii="Palatino Linotype" w:eastAsia="Calibri" w:hAnsi="Palatino Linotype" w:cs="Tahoma"/>
          <w:b/>
          <w:bCs/>
          <w:u w:val="single"/>
        </w:rPr>
        <w:lastRenderedPageBreak/>
        <w:t>como beneficio al gobernado que su solicitud de acceso a la información quedara satisfecha en sede administrativa, sin verse en la necesidad de acudir a otras instancias, de tal suerte que se dilate el tiempo en el que verá satisfecho el ejercicio de su derecho.</w:t>
      </w:r>
    </w:p>
    <w:p w:rsidR="0009741C" w:rsidRPr="0009741C" w:rsidRDefault="0009741C" w:rsidP="0009741C">
      <w:pPr>
        <w:spacing w:after="0" w:line="360" w:lineRule="auto"/>
        <w:jc w:val="both"/>
        <w:rPr>
          <w:rFonts w:ascii="Palatino Linotype" w:eastAsia="Calibri" w:hAnsi="Palatino Linotype" w:cs="Tahoma"/>
        </w:rPr>
      </w:pPr>
    </w:p>
    <w:p w:rsidR="0009741C" w:rsidRPr="0009741C" w:rsidRDefault="0009741C" w:rsidP="0009741C">
      <w:pPr>
        <w:spacing w:after="0" w:line="360" w:lineRule="auto"/>
        <w:jc w:val="both"/>
        <w:rPr>
          <w:rFonts w:ascii="Palatino Linotype" w:eastAsia="Calibri" w:hAnsi="Palatino Linotype" w:cs="Tahoma"/>
        </w:rPr>
      </w:pPr>
      <w:r w:rsidRPr="0009741C">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rsidR="0009741C" w:rsidRPr="0009741C" w:rsidRDefault="0009741C" w:rsidP="0009741C">
      <w:pPr>
        <w:spacing w:after="0" w:line="360" w:lineRule="auto"/>
        <w:jc w:val="both"/>
        <w:rPr>
          <w:rFonts w:ascii="Palatino Linotype" w:hAnsi="Palatino Linotype" w:cs="Tahoma"/>
        </w:rPr>
      </w:pPr>
    </w:p>
    <w:p w:rsidR="0009741C" w:rsidRPr="0009741C" w:rsidRDefault="0009741C" w:rsidP="0009741C">
      <w:pPr>
        <w:spacing w:after="0" w:line="360" w:lineRule="auto"/>
        <w:jc w:val="both"/>
        <w:rPr>
          <w:rFonts w:ascii="Palatino Linotype" w:hAnsi="Palatino Linotype" w:cs="Tahoma"/>
        </w:rPr>
      </w:pPr>
      <w:r w:rsidRPr="0009741C">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w:t>
      </w:r>
      <w:r w:rsidRPr="0009741C">
        <w:rPr>
          <w:rFonts w:ascii="Palatino Linotype" w:hAnsi="Palatino Linotype" w:cs="Arial"/>
          <w:bCs/>
          <w:iCs/>
        </w:rPr>
        <w:lastRenderedPageBreak/>
        <w:t>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rsidR="0009741C" w:rsidRPr="0009741C" w:rsidRDefault="0009741C" w:rsidP="0009741C">
      <w:pPr>
        <w:spacing w:after="0" w:line="360" w:lineRule="auto"/>
        <w:jc w:val="both"/>
        <w:rPr>
          <w:rFonts w:ascii="Palatino Linotype" w:hAnsi="Palatino Linotype" w:cs="Arial"/>
          <w:bCs/>
          <w:iCs/>
        </w:rPr>
      </w:pPr>
    </w:p>
    <w:p w:rsidR="0009741C" w:rsidRPr="0009741C" w:rsidRDefault="0009741C" w:rsidP="0009741C">
      <w:pPr>
        <w:spacing w:after="0" w:line="360" w:lineRule="auto"/>
        <w:jc w:val="both"/>
        <w:rPr>
          <w:rFonts w:ascii="Palatino Linotype" w:hAnsi="Palatino Linotype" w:cs="Arial"/>
          <w:bCs/>
          <w:iCs/>
        </w:rPr>
      </w:pPr>
      <w:r w:rsidRPr="0009741C">
        <w:rPr>
          <w:rFonts w:ascii="Palatino Linotype" w:hAnsi="Palatino Linotype" w:cs="Arial"/>
          <w:bCs/>
          <w:iCs/>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p>
    <w:p w:rsidR="005D58CE" w:rsidRPr="0009741C" w:rsidRDefault="005D58CE" w:rsidP="005D58CE">
      <w:pPr>
        <w:spacing w:after="0" w:line="360" w:lineRule="auto"/>
        <w:jc w:val="both"/>
        <w:rPr>
          <w:rFonts w:ascii="Palatino Linotype" w:hAnsi="Palatino Linotype" w:cs="Arial"/>
          <w:bCs/>
          <w:iCs/>
        </w:rPr>
      </w:pPr>
    </w:p>
    <w:p w:rsidR="00BF6772" w:rsidRDefault="00E91F1B" w:rsidP="00E91F1B">
      <w:pPr>
        <w:spacing w:after="0" w:line="360" w:lineRule="auto"/>
        <w:jc w:val="both"/>
        <w:rPr>
          <w:rFonts w:ascii="Palatino Linotype" w:hAnsi="Palatino Linotype" w:cs="Arial"/>
          <w:bCs/>
        </w:rPr>
      </w:pPr>
      <w:r w:rsidRPr="0009741C">
        <w:rPr>
          <w:rFonts w:ascii="Palatino Linotype" w:hAnsi="Palatino Linotype" w:cs="Arial"/>
          <w:bCs/>
        </w:rPr>
        <w:t xml:space="preserve">Así, con base en los razonamientos expuestos, </w:t>
      </w:r>
      <w:r w:rsidRPr="0009741C">
        <w:rPr>
          <w:rFonts w:ascii="Palatino Linotype" w:hAnsi="Palatino Linotype" w:cs="Arial"/>
          <w:b/>
          <w:bCs/>
        </w:rPr>
        <w:t>se emite el presente Voto Disidente</w:t>
      </w:r>
      <w:r w:rsidRPr="0009741C">
        <w:rPr>
          <w:rFonts w:ascii="Palatino Linotype" w:hAnsi="Palatino Linotype" w:cs="Arial"/>
          <w:bCs/>
        </w:rPr>
        <w:t>. -------- ------------------------------------------------------------------------------------------------------------------------</w:t>
      </w:r>
      <w:r w:rsidRPr="00E91F1B">
        <w:rPr>
          <w:rFonts w:ascii="Palatino Linotype" w:hAnsi="Palatino Linotype" w:cs="Arial"/>
          <w:bCs/>
        </w:rPr>
        <w:t xml:space="preserve"> </w:t>
      </w:r>
    </w:p>
    <w:p w:rsidR="00BF6772" w:rsidRDefault="00BF6772">
      <w:pPr>
        <w:rPr>
          <w:rFonts w:ascii="Palatino Linotype" w:hAnsi="Palatino Linotype" w:cs="Arial"/>
          <w:bCs/>
        </w:rPr>
      </w:pPr>
      <w:r>
        <w:rPr>
          <w:rFonts w:ascii="Palatino Linotype" w:hAnsi="Palatino Linotype" w:cs="Arial"/>
          <w:bCs/>
        </w:rPr>
        <w:br w:type="page"/>
      </w:r>
    </w:p>
    <w:p w:rsidR="00E91F1B" w:rsidRPr="00E91F1B" w:rsidRDefault="00E91F1B" w:rsidP="00E91F1B">
      <w:pPr>
        <w:spacing w:after="0" w:line="360" w:lineRule="auto"/>
        <w:jc w:val="both"/>
        <w:rPr>
          <w:rFonts w:ascii="Palatino Linotype" w:hAnsi="Palatino Linotype" w:cs="Arial"/>
          <w:bCs/>
        </w:rPr>
      </w:pPr>
    </w:p>
    <w:sectPr w:rsidR="00E91F1B" w:rsidRPr="00E91F1B" w:rsidSect="009A041C">
      <w:headerReference w:type="default" r:id="rId7"/>
      <w:footerReference w:type="default" r:id="rId8"/>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A47" w:rsidRDefault="00FE7A47" w:rsidP="005527AD">
      <w:pPr>
        <w:spacing w:after="0" w:line="240" w:lineRule="auto"/>
      </w:pPr>
      <w:r>
        <w:separator/>
      </w:r>
    </w:p>
  </w:endnote>
  <w:endnote w:type="continuationSeparator" w:id="0">
    <w:p w:rsidR="00FE7A47" w:rsidRDefault="00FE7A47" w:rsidP="0055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rsidR="00271B83" w:rsidRDefault="00CF3C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9741C">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9741C">
              <w:rPr>
                <w:b/>
                <w:bCs/>
                <w:noProof/>
              </w:rPr>
              <w:t>15</w:t>
            </w:r>
            <w:r>
              <w:rPr>
                <w:b/>
                <w:bCs/>
                <w:sz w:val="24"/>
                <w:szCs w:val="24"/>
              </w:rPr>
              <w:fldChar w:fldCharType="end"/>
            </w:r>
          </w:p>
        </w:sdtContent>
      </w:sdt>
    </w:sdtContent>
  </w:sdt>
  <w:p w:rsidR="00271B83" w:rsidRDefault="00271B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A47" w:rsidRDefault="00FE7A47" w:rsidP="005527AD">
      <w:pPr>
        <w:spacing w:after="0" w:line="240" w:lineRule="auto"/>
      </w:pPr>
      <w:r>
        <w:separator/>
      </w:r>
    </w:p>
  </w:footnote>
  <w:footnote w:type="continuationSeparator" w:id="0">
    <w:p w:rsidR="00FE7A47" w:rsidRDefault="00FE7A47" w:rsidP="00552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528"/>
    </w:tblGrid>
    <w:tr w:rsidR="003212EB" w:rsidRPr="001106EA" w:rsidTr="007B12A8">
      <w:trPr>
        <w:trHeight w:val="1782"/>
      </w:trPr>
      <w:tc>
        <w:tcPr>
          <w:tcW w:w="3119" w:type="dxa"/>
          <w:vAlign w:val="bottom"/>
        </w:tcPr>
        <w:p w:rsidR="00271B83" w:rsidRDefault="00CF3C6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E726AAC" wp14:editId="167330C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71B83" w:rsidRDefault="00271B83" w:rsidP="00285C7B">
          <w:pPr>
            <w:pStyle w:val="Encabezado"/>
            <w:tabs>
              <w:tab w:val="clear" w:pos="4252"/>
              <w:tab w:val="center" w:pos="2614"/>
            </w:tabs>
            <w:ind w:left="-255"/>
          </w:pPr>
        </w:p>
      </w:tc>
      <w:tc>
        <w:tcPr>
          <w:tcW w:w="5528" w:type="dxa"/>
          <w:vAlign w:val="center"/>
        </w:tcPr>
        <w:p w:rsidR="00271B83" w:rsidRDefault="00271B83" w:rsidP="00C608FE">
          <w:pPr>
            <w:pStyle w:val="Encabezado"/>
            <w:spacing w:line="360" w:lineRule="auto"/>
            <w:ind w:left="-108" w:right="-250"/>
            <w:jc w:val="both"/>
            <w:rPr>
              <w:rFonts w:ascii="Palatino Linotype" w:hAnsi="Palatino Linotype" w:cs="Tahoma"/>
              <w:b/>
            </w:rPr>
          </w:pPr>
        </w:p>
        <w:p w:rsidR="00271B83" w:rsidRDefault="00271B83" w:rsidP="00C608FE">
          <w:pPr>
            <w:pStyle w:val="Encabezado"/>
            <w:spacing w:line="360" w:lineRule="auto"/>
            <w:ind w:left="-108" w:right="-250"/>
            <w:jc w:val="both"/>
            <w:rPr>
              <w:rFonts w:ascii="Palatino Linotype" w:hAnsi="Palatino Linotype" w:cs="Tahoma"/>
              <w:b/>
            </w:rPr>
          </w:pPr>
        </w:p>
        <w:p w:rsidR="00271B83" w:rsidRPr="00B9745A" w:rsidRDefault="006D201D" w:rsidP="00DC5CFF">
          <w:pPr>
            <w:pStyle w:val="Encabezado"/>
            <w:ind w:left="-108" w:right="-250"/>
            <w:jc w:val="both"/>
            <w:rPr>
              <w:rFonts w:ascii="Palatino Linotype" w:hAnsi="Palatino Linotype" w:cs="Tahoma"/>
              <w:b/>
            </w:rPr>
          </w:pPr>
          <w:r>
            <w:rPr>
              <w:rFonts w:ascii="Palatino Linotype" w:hAnsi="Palatino Linotype" w:cs="Tahoma"/>
              <w:b/>
            </w:rPr>
            <w:t xml:space="preserve">Voto </w:t>
          </w:r>
          <w:r w:rsidR="00EB43F0">
            <w:rPr>
              <w:rFonts w:ascii="Palatino Linotype" w:hAnsi="Palatino Linotype" w:cs="Tahoma"/>
              <w:b/>
            </w:rPr>
            <w:t>Disidente</w:t>
          </w:r>
        </w:p>
        <w:p w:rsidR="00271B83" w:rsidRDefault="00CF3C6E"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37193B">
            <w:rPr>
              <w:rFonts w:ascii="Palatino Linotype" w:hAnsi="Palatino Linotype" w:cs="Tahoma"/>
            </w:rPr>
            <w:t>15047</w:t>
          </w:r>
          <w:r w:rsidR="008F3A23" w:rsidRPr="008F3A23">
            <w:rPr>
              <w:rFonts w:ascii="Palatino Linotype" w:hAnsi="Palatino Linotype"/>
              <w:bCs/>
              <w:lang w:val="es-MX"/>
            </w:rPr>
            <w:t>/INFOEM/IP/RR/202</w:t>
          </w:r>
          <w:r w:rsidR="0037193B">
            <w:rPr>
              <w:rFonts w:ascii="Palatino Linotype" w:hAnsi="Palatino Linotype"/>
              <w:bCs/>
              <w:lang w:val="es-MX"/>
            </w:rPr>
            <w:t>2</w:t>
          </w:r>
        </w:p>
        <w:p w:rsidR="00EB43F0" w:rsidRDefault="00CF3C6E" w:rsidP="00201767">
          <w:pPr>
            <w:pStyle w:val="Encabezado"/>
            <w:ind w:left="-108"/>
            <w:jc w:val="both"/>
            <w:rPr>
              <w:rFonts w:ascii="Palatino Linotype" w:hAnsi="Palatino Linotype"/>
              <w:lang w:val="es-ES_tradnl"/>
            </w:rPr>
          </w:pPr>
          <w:r>
            <w:rPr>
              <w:rFonts w:ascii="Palatino Linotype" w:hAnsi="Palatino Linotype" w:cs="Tahoma"/>
              <w:b/>
            </w:rPr>
            <w:t>Sujeto Obligado:</w:t>
          </w:r>
          <w:r>
            <w:rPr>
              <w:rFonts w:ascii="Palatino Linotype" w:hAnsi="Palatino Linotype"/>
              <w:bCs/>
              <w:lang w:val="es-MX"/>
            </w:rPr>
            <w:t xml:space="preserve"> </w:t>
          </w:r>
          <w:r w:rsidR="0037193B" w:rsidRPr="0037193B">
            <w:rPr>
              <w:rFonts w:ascii="Palatino Linotype" w:hAnsi="Palatino Linotype"/>
              <w:lang w:val="es-ES_tradnl"/>
            </w:rPr>
            <w:t>Ayuntamiento de Toluca</w:t>
          </w:r>
        </w:p>
        <w:p w:rsidR="00271B83" w:rsidRDefault="00CF3C6E" w:rsidP="00201767">
          <w:pPr>
            <w:pStyle w:val="Encabezado"/>
            <w:ind w:left="-108"/>
            <w:jc w:val="both"/>
            <w:rPr>
              <w:rFonts w:ascii="Palatino Linotype" w:hAnsi="Palatino Linotype" w:cs="Arial"/>
              <w:szCs w:val="20"/>
            </w:rPr>
          </w:pPr>
          <w:r w:rsidRPr="00B9745A">
            <w:rPr>
              <w:rFonts w:ascii="Palatino Linotype" w:hAnsi="Palatino Linotype" w:cs="Tahoma"/>
              <w:b/>
            </w:rPr>
            <w:t>Comisionad</w:t>
          </w:r>
          <w:r w:rsidR="00EB43F0">
            <w:rPr>
              <w:rFonts w:ascii="Palatino Linotype" w:hAnsi="Palatino Linotype" w:cs="Tahoma"/>
              <w:b/>
            </w:rPr>
            <w:t>o</w:t>
          </w:r>
          <w:r w:rsidRPr="00B9745A">
            <w:rPr>
              <w:rFonts w:ascii="Palatino Linotype" w:hAnsi="Palatino Linotype" w:cs="Tahoma"/>
              <w:b/>
            </w:rPr>
            <w:t xml:space="preserve"> Ponente: </w:t>
          </w:r>
          <w:r w:rsidR="0037193B" w:rsidRPr="0037193B">
            <w:rPr>
              <w:rFonts w:ascii="Palatino Linotype" w:hAnsi="Palatino Linotype" w:cs="Arial"/>
              <w:bCs/>
              <w:szCs w:val="20"/>
              <w:lang w:val="es-ES_tradnl"/>
            </w:rPr>
            <w:t>Sharon Cristina Morales Martínez</w:t>
          </w:r>
        </w:p>
        <w:p w:rsidR="00201767" w:rsidRPr="009A041C" w:rsidRDefault="00201767" w:rsidP="00201767">
          <w:pPr>
            <w:pStyle w:val="Encabezado"/>
            <w:ind w:left="-108"/>
            <w:jc w:val="both"/>
            <w:rPr>
              <w:rFonts w:ascii="Palatino Linotype" w:hAnsi="Palatino Linotype" w:cs="Arial"/>
              <w:szCs w:val="20"/>
            </w:rPr>
          </w:pPr>
        </w:p>
      </w:tc>
    </w:tr>
  </w:tbl>
  <w:p w:rsidR="00271B83" w:rsidRPr="001106EA" w:rsidRDefault="00271B83">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AD"/>
    <w:rsid w:val="000038F8"/>
    <w:rsid w:val="000448BB"/>
    <w:rsid w:val="00050538"/>
    <w:rsid w:val="00057899"/>
    <w:rsid w:val="00063277"/>
    <w:rsid w:val="00067E1E"/>
    <w:rsid w:val="00092361"/>
    <w:rsid w:val="00096357"/>
    <w:rsid w:val="0009741C"/>
    <w:rsid w:val="00097771"/>
    <w:rsid w:val="000B239D"/>
    <w:rsid w:val="000C1129"/>
    <w:rsid w:val="000D1412"/>
    <w:rsid w:val="000D5C7C"/>
    <w:rsid w:val="000E1F87"/>
    <w:rsid w:val="000E7959"/>
    <w:rsid w:val="000F3E52"/>
    <w:rsid w:val="0010533B"/>
    <w:rsid w:val="00117595"/>
    <w:rsid w:val="00140578"/>
    <w:rsid w:val="001520CB"/>
    <w:rsid w:val="001665FB"/>
    <w:rsid w:val="00183BEF"/>
    <w:rsid w:val="001B50FA"/>
    <w:rsid w:val="001D1748"/>
    <w:rsid w:val="001E2151"/>
    <w:rsid w:val="001F09DE"/>
    <w:rsid w:val="00201767"/>
    <w:rsid w:val="00240774"/>
    <w:rsid w:val="0024286D"/>
    <w:rsid w:val="00245F8E"/>
    <w:rsid w:val="00255AA8"/>
    <w:rsid w:val="002702D4"/>
    <w:rsid w:val="002712FE"/>
    <w:rsid w:val="00271B83"/>
    <w:rsid w:val="00271E68"/>
    <w:rsid w:val="002850C4"/>
    <w:rsid w:val="00292B29"/>
    <w:rsid w:val="00294279"/>
    <w:rsid w:val="00313980"/>
    <w:rsid w:val="0032105B"/>
    <w:rsid w:val="003247C4"/>
    <w:rsid w:val="0033652D"/>
    <w:rsid w:val="00344DD5"/>
    <w:rsid w:val="0034655F"/>
    <w:rsid w:val="003601C4"/>
    <w:rsid w:val="003703A5"/>
    <w:rsid w:val="0037193B"/>
    <w:rsid w:val="00372E35"/>
    <w:rsid w:val="0039348A"/>
    <w:rsid w:val="00394936"/>
    <w:rsid w:val="00395B07"/>
    <w:rsid w:val="003A62CB"/>
    <w:rsid w:val="003B215E"/>
    <w:rsid w:val="003C5ADF"/>
    <w:rsid w:val="003C7677"/>
    <w:rsid w:val="003D6A8B"/>
    <w:rsid w:val="004005C5"/>
    <w:rsid w:val="00400D5A"/>
    <w:rsid w:val="00417AC1"/>
    <w:rsid w:val="00462A67"/>
    <w:rsid w:val="00466EA7"/>
    <w:rsid w:val="0046725B"/>
    <w:rsid w:val="004806E8"/>
    <w:rsid w:val="00495CCD"/>
    <w:rsid w:val="004A580F"/>
    <w:rsid w:val="004A6197"/>
    <w:rsid w:val="004C1B11"/>
    <w:rsid w:val="004D1E7C"/>
    <w:rsid w:val="00501B56"/>
    <w:rsid w:val="005022AF"/>
    <w:rsid w:val="00512653"/>
    <w:rsid w:val="00513084"/>
    <w:rsid w:val="00534890"/>
    <w:rsid w:val="00535341"/>
    <w:rsid w:val="0053759D"/>
    <w:rsid w:val="005455F4"/>
    <w:rsid w:val="005513AA"/>
    <w:rsid w:val="0055215F"/>
    <w:rsid w:val="005527AD"/>
    <w:rsid w:val="00564133"/>
    <w:rsid w:val="00571508"/>
    <w:rsid w:val="00571B1A"/>
    <w:rsid w:val="0058001B"/>
    <w:rsid w:val="00581AD5"/>
    <w:rsid w:val="00583254"/>
    <w:rsid w:val="0059043C"/>
    <w:rsid w:val="005B1050"/>
    <w:rsid w:val="005B34A5"/>
    <w:rsid w:val="005B4376"/>
    <w:rsid w:val="005C09B7"/>
    <w:rsid w:val="005C6EDE"/>
    <w:rsid w:val="005D3B67"/>
    <w:rsid w:val="005D58CE"/>
    <w:rsid w:val="005E10F4"/>
    <w:rsid w:val="005E2F6E"/>
    <w:rsid w:val="005E7E11"/>
    <w:rsid w:val="005F4E58"/>
    <w:rsid w:val="00612AE0"/>
    <w:rsid w:val="006304ED"/>
    <w:rsid w:val="00630E63"/>
    <w:rsid w:val="00655216"/>
    <w:rsid w:val="00655B0E"/>
    <w:rsid w:val="00656A8D"/>
    <w:rsid w:val="006641D6"/>
    <w:rsid w:val="006915AD"/>
    <w:rsid w:val="00693A28"/>
    <w:rsid w:val="006B0BD8"/>
    <w:rsid w:val="006B3B77"/>
    <w:rsid w:val="006B6DD2"/>
    <w:rsid w:val="006C6D98"/>
    <w:rsid w:val="006D201D"/>
    <w:rsid w:val="006D4F56"/>
    <w:rsid w:val="006F615C"/>
    <w:rsid w:val="00714251"/>
    <w:rsid w:val="007421D4"/>
    <w:rsid w:val="00746987"/>
    <w:rsid w:val="00766E3C"/>
    <w:rsid w:val="0077763B"/>
    <w:rsid w:val="007827AD"/>
    <w:rsid w:val="0078384E"/>
    <w:rsid w:val="007875A9"/>
    <w:rsid w:val="0079463E"/>
    <w:rsid w:val="00795616"/>
    <w:rsid w:val="007A2CE5"/>
    <w:rsid w:val="007B12A8"/>
    <w:rsid w:val="007C1142"/>
    <w:rsid w:val="007C1B77"/>
    <w:rsid w:val="007F369F"/>
    <w:rsid w:val="0082265A"/>
    <w:rsid w:val="00836BC1"/>
    <w:rsid w:val="008429BE"/>
    <w:rsid w:val="00851D1A"/>
    <w:rsid w:val="00861657"/>
    <w:rsid w:val="00872DD1"/>
    <w:rsid w:val="008730C6"/>
    <w:rsid w:val="008744D9"/>
    <w:rsid w:val="00877721"/>
    <w:rsid w:val="00892A93"/>
    <w:rsid w:val="008952E3"/>
    <w:rsid w:val="00895844"/>
    <w:rsid w:val="00896050"/>
    <w:rsid w:val="008963A5"/>
    <w:rsid w:val="0089744B"/>
    <w:rsid w:val="008A4EF3"/>
    <w:rsid w:val="008A73A1"/>
    <w:rsid w:val="008B12E1"/>
    <w:rsid w:val="008B2B06"/>
    <w:rsid w:val="008B648B"/>
    <w:rsid w:val="008B7A5A"/>
    <w:rsid w:val="008C188C"/>
    <w:rsid w:val="008D6D98"/>
    <w:rsid w:val="008F3A23"/>
    <w:rsid w:val="0090170F"/>
    <w:rsid w:val="009049C4"/>
    <w:rsid w:val="00913549"/>
    <w:rsid w:val="00921126"/>
    <w:rsid w:val="00943B05"/>
    <w:rsid w:val="00944699"/>
    <w:rsid w:val="00960B81"/>
    <w:rsid w:val="00964F2B"/>
    <w:rsid w:val="00980CCA"/>
    <w:rsid w:val="00985D47"/>
    <w:rsid w:val="009C54EB"/>
    <w:rsid w:val="009E0C62"/>
    <w:rsid w:val="009E2939"/>
    <w:rsid w:val="009F7BA9"/>
    <w:rsid w:val="00A07706"/>
    <w:rsid w:val="00A62F3D"/>
    <w:rsid w:val="00A832ED"/>
    <w:rsid w:val="00A86C97"/>
    <w:rsid w:val="00A90ECB"/>
    <w:rsid w:val="00A956C2"/>
    <w:rsid w:val="00AA5E21"/>
    <w:rsid w:val="00AB318A"/>
    <w:rsid w:val="00AD3DB2"/>
    <w:rsid w:val="00AD520B"/>
    <w:rsid w:val="00AE11BB"/>
    <w:rsid w:val="00AE37FE"/>
    <w:rsid w:val="00AF500A"/>
    <w:rsid w:val="00B14B78"/>
    <w:rsid w:val="00B212DB"/>
    <w:rsid w:val="00B344FD"/>
    <w:rsid w:val="00B45790"/>
    <w:rsid w:val="00B53D0D"/>
    <w:rsid w:val="00B7353E"/>
    <w:rsid w:val="00B7368B"/>
    <w:rsid w:val="00B77DCA"/>
    <w:rsid w:val="00B86838"/>
    <w:rsid w:val="00B9589A"/>
    <w:rsid w:val="00B976E2"/>
    <w:rsid w:val="00BA3B4E"/>
    <w:rsid w:val="00BE302D"/>
    <w:rsid w:val="00BF24E0"/>
    <w:rsid w:val="00BF6772"/>
    <w:rsid w:val="00C12762"/>
    <w:rsid w:val="00C2465F"/>
    <w:rsid w:val="00C25313"/>
    <w:rsid w:val="00C30B80"/>
    <w:rsid w:val="00C34B57"/>
    <w:rsid w:val="00C35398"/>
    <w:rsid w:val="00C36809"/>
    <w:rsid w:val="00C42FFE"/>
    <w:rsid w:val="00C43F86"/>
    <w:rsid w:val="00C72E0D"/>
    <w:rsid w:val="00C84546"/>
    <w:rsid w:val="00CD09A9"/>
    <w:rsid w:val="00CD20B2"/>
    <w:rsid w:val="00CD6925"/>
    <w:rsid w:val="00CE398F"/>
    <w:rsid w:val="00CF01F0"/>
    <w:rsid w:val="00CF3C6E"/>
    <w:rsid w:val="00D037A0"/>
    <w:rsid w:val="00D1679D"/>
    <w:rsid w:val="00D1733B"/>
    <w:rsid w:val="00D2553E"/>
    <w:rsid w:val="00D515C2"/>
    <w:rsid w:val="00D5650D"/>
    <w:rsid w:val="00D5782C"/>
    <w:rsid w:val="00D57B68"/>
    <w:rsid w:val="00D63B60"/>
    <w:rsid w:val="00D70906"/>
    <w:rsid w:val="00D70EA7"/>
    <w:rsid w:val="00D867B8"/>
    <w:rsid w:val="00DA6991"/>
    <w:rsid w:val="00DD5D6E"/>
    <w:rsid w:val="00DF4F96"/>
    <w:rsid w:val="00E07410"/>
    <w:rsid w:val="00E25C15"/>
    <w:rsid w:val="00E34C7A"/>
    <w:rsid w:val="00E510E8"/>
    <w:rsid w:val="00E84F6B"/>
    <w:rsid w:val="00E91F1B"/>
    <w:rsid w:val="00E93893"/>
    <w:rsid w:val="00EA0DC2"/>
    <w:rsid w:val="00EB43F0"/>
    <w:rsid w:val="00ED238A"/>
    <w:rsid w:val="00ED49D3"/>
    <w:rsid w:val="00ED5836"/>
    <w:rsid w:val="00EE42A5"/>
    <w:rsid w:val="00EE4EBB"/>
    <w:rsid w:val="00F10CE0"/>
    <w:rsid w:val="00F1502B"/>
    <w:rsid w:val="00F163DC"/>
    <w:rsid w:val="00F25B2A"/>
    <w:rsid w:val="00F3411E"/>
    <w:rsid w:val="00F50697"/>
    <w:rsid w:val="00F64FA5"/>
    <w:rsid w:val="00F817F0"/>
    <w:rsid w:val="00F81D5D"/>
    <w:rsid w:val="00F830EC"/>
    <w:rsid w:val="00F86C6C"/>
    <w:rsid w:val="00F94829"/>
    <w:rsid w:val="00F95FC0"/>
    <w:rsid w:val="00FA4133"/>
    <w:rsid w:val="00FE2973"/>
    <w:rsid w:val="00FE7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0B73DD-60AE-47AD-9F43-54E5E66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A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7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7AD"/>
    <w:rPr>
      <w:lang w:val="es-ES"/>
    </w:rPr>
  </w:style>
  <w:style w:type="paragraph" w:styleId="Piedepgina">
    <w:name w:val="footer"/>
    <w:basedOn w:val="Normal"/>
    <w:link w:val="PiedepginaCar"/>
    <w:uiPriority w:val="99"/>
    <w:unhideWhenUsed/>
    <w:rsid w:val="005527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7AD"/>
    <w:rPr>
      <w:lang w:val="es-ES"/>
    </w:rPr>
  </w:style>
  <w:style w:type="table" w:styleId="Tablaconcuadrcula">
    <w:name w:val="Table Grid"/>
    <w:basedOn w:val="Tablanormal"/>
    <w:uiPriority w:val="59"/>
    <w:rsid w:val="005527A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uentedeprrafopredeter"/>
    <w:rsid w:val="00655B0E"/>
  </w:style>
  <w:style w:type="character" w:styleId="Hipervnculo">
    <w:name w:val="Hyperlink"/>
    <w:basedOn w:val="Fuentedeprrafopredeter"/>
    <w:uiPriority w:val="99"/>
    <w:unhideWhenUsed/>
    <w:rsid w:val="00D70906"/>
    <w:rPr>
      <w:color w:val="0563C1" w:themeColor="hyperlink"/>
      <w:u w:val="single"/>
    </w:rPr>
  </w:style>
  <w:style w:type="character" w:customStyle="1" w:styleId="Mencinsinresolver1">
    <w:name w:val="Mención sin resolver1"/>
    <w:basedOn w:val="Fuentedeprrafopredeter"/>
    <w:uiPriority w:val="99"/>
    <w:semiHidden/>
    <w:unhideWhenUsed/>
    <w:rsid w:val="00D70906"/>
    <w:rPr>
      <w:color w:val="605E5C"/>
      <w:shd w:val="clear" w:color="auto" w:fill="E1DFDD"/>
    </w:rPr>
  </w:style>
  <w:style w:type="paragraph" w:styleId="Prrafodelista">
    <w:name w:val="List Paragraph"/>
    <w:basedOn w:val="Normal"/>
    <w:uiPriority w:val="34"/>
    <w:qFormat/>
    <w:rsid w:val="00E91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2215">
      <w:bodyDiv w:val="1"/>
      <w:marLeft w:val="0"/>
      <w:marRight w:val="0"/>
      <w:marTop w:val="0"/>
      <w:marBottom w:val="0"/>
      <w:divBdr>
        <w:top w:val="none" w:sz="0" w:space="0" w:color="auto"/>
        <w:left w:val="none" w:sz="0" w:space="0" w:color="auto"/>
        <w:bottom w:val="none" w:sz="0" w:space="0" w:color="auto"/>
        <w:right w:val="none" w:sz="0" w:space="0" w:color="auto"/>
      </w:divBdr>
    </w:div>
    <w:div w:id="16171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15</Pages>
  <Words>3749</Words>
  <Characters>20622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5</cp:revision>
  <cp:lastPrinted>2023-09-04T15:28:00Z</cp:lastPrinted>
  <dcterms:created xsi:type="dcterms:W3CDTF">2023-12-01T18:23:00Z</dcterms:created>
  <dcterms:modified xsi:type="dcterms:W3CDTF">2023-12-05T01:42:00Z</dcterms:modified>
</cp:coreProperties>
</file>