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D6A9" w14:textId="78E05E0E" w:rsidR="00E97758" w:rsidRPr="007B4FB5" w:rsidRDefault="00E97758" w:rsidP="00E97758">
      <w:pPr>
        <w:spacing w:after="0" w:line="360" w:lineRule="auto"/>
        <w:jc w:val="both"/>
        <w:rPr>
          <w:rFonts w:ascii="Palatino Linotype" w:hAnsi="Palatino Linotype" w:cs="Arial"/>
          <w:b/>
          <w:sz w:val="24"/>
          <w:szCs w:val="24"/>
        </w:rPr>
      </w:pPr>
      <w:r w:rsidRPr="007B4FB5">
        <w:rPr>
          <w:rFonts w:ascii="Palatino Linotype" w:hAnsi="Palatino Linotype" w:cs="Arial"/>
          <w:b/>
          <w:sz w:val="24"/>
          <w:szCs w:val="24"/>
        </w:rPr>
        <w:t xml:space="preserve">VOTO </w:t>
      </w:r>
      <w:r w:rsidR="001A23A2" w:rsidRPr="007B4FB5">
        <w:rPr>
          <w:rFonts w:ascii="Palatino Linotype" w:hAnsi="Palatino Linotype" w:cs="Arial"/>
          <w:b/>
          <w:sz w:val="24"/>
          <w:szCs w:val="24"/>
        </w:rPr>
        <w:t>DISIDENTE</w:t>
      </w:r>
      <w:r w:rsidR="001A1ECB" w:rsidRPr="007B4FB5">
        <w:rPr>
          <w:rFonts w:ascii="Palatino Linotype" w:hAnsi="Palatino Linotype" w:cs="Arial"/>
          <w:b/>
          <w:sz w:val="24"/>
          <w:szCs w:val="24"/>
        </w:rPr>
        <w:t xml:space="preserve"> DE LA COMISIONADA</w:t>
      </w:r>
      <w:r w:rsidRPr="007B4FB5">
        <w:rPr>
          <w:rFonts w:ascii="Palatino Linotype" w:hAnsi="Palatino Linotype" w:cs="Arial"/>
          <w:b/>
          <w:sz w:val="24"/>
          <w:szCs w:val="24"/>
        </w:rPr>
        <w:t xml:space="preserve"> </w:t>
      </w:r>
      <w:r w:rsidR="001A1ECB" w:rsidRPr="007B4FB5">
        <w:rPr>
          <w:rFonts w:ascii="Palatino Linotype" w:hAnsi="Palatino Linotype" w:cs="Arial"/>
          <w:b/>
          <w:sz w:val="24"/>
          <w:szCs w:val="24"/>
        </w:rPr>
        <w:t>MARÍA DEL ROSARIO MEJIA AYALA</w:t>
      </w:r>
      <w:r w:rsidR="00627742" w:rsidRPr="007B4FB5">
        <w:rPr>
          <w:rFonts w:ascii="Palatino Linotype" w:hAnsi="Palatino Linotype" w:cs="Arial"/>
          <w:b/>
          <w:sz w:val="24"/>
          <w:szCs w:val="24"/>
        </w:rPr>
        <w:t xml:space="preserve"> EN EL RECURSO DE REVISIÓN </w:t>
      </w:r>
      <w:r w:rsidR="00F67A7B" w:rsidRPr="007B4FB5">
        <w:rPr>
          <w:rFonts w:ascii="Palatino Linotype" w:hAnsi="Palatino Linotype" w:cs="Arial"/>
          <w:b/>
          <w:sz w:val="24"/>
          <w:szCs w:val="24"/>
        </w:rPr>
        <w:t>0</w:t>
      </w:r>
      <w:r w:rsidR="0035198B" w:rsidRPr="007B4FB5">
        <w:rPr>
          <w:rFonts w:ascii="Palatino Linotype" w:hAnsi="Palatino Linotype" w:cs="Arial"/>
          <w:b/>
          <w:sz w:val="24"/>
          <w:szCs w:val="24"/>
        </w:rPr>
        <w:t>3479</w:t>
      </w:r>
      <w:r w:rsidRPr="007B4FB5">
        <w:rPr>
          <w:rFonts w:ascii="Palatino Linotype" w:hAnsi="Palatino Linotype" w:cs="Arial"/>
          <w:b/>
          <w:sz w:val="24"/>
          <w:szCs w:val="24"/>
        </w:rPr>
        <w:t>/INFOEM/</w:t>
      </w:r>
      <w:r w:rsidR="0032435A" w:rsidRPr="007B4FB5">
        <w:rPr>
          <w:rFonts w:ascii="Palatino Linotype" w:hAnsi="Palatino Linotype" w:cs="Arial"/>
          <w:b/>
          <w:sz w:val="24"/>
          <w:szCs w:val="24"/>
        </w:rPr>
        <w:t>IP</w:t>
      </w:r>
      <w:r w:rsidRPr="007B4FB5">
        <w:rPr>
          <w:rFonts w:ascii="Palatino Linotype" w:hAnsi="Palatino Linotype" w:cs="Arial"/>
          <w:b/>
          <w:sz w:val="24"/>
          <w:szCs w:val="24"/>
        </w:rPr>
        <w:t>/RR/20</w:t>
      </w:r>
      <w:r w:rsidR="00F67A7B" w:rsidRPr="007B4FB5">
        <w:rPr>
          <w:rFonts w:ascii="Palatino Linotype" w:hAnsi="Palatino Linotype" w:cs="Arial"/>
          <w:b/>
          <w:sz w:val="24"/>
          <w:szCs w:val="24"/>
        </w:rPr>
        <w:t>23</w:t>
      </w:r>
      <w:r w:rsidR="005D2534">
        <w:rPr>
          <w:rFonts w:ascii="Palatino Linotype" w:hAnsi="Palatino Linotype" w:cs="Arial"/>
          <w:b/>
          <w:sz w:val="24"/>
          <w:szCs w:val="24"/>
        </w:rPr>
        <w:t>.</w:t>
      </w:r>
    </w:p>
    <w:p w14:paraId="2724EDEF" w14:textId="77777777" w:rsidR="00E97758" w:rsidRPr="007B4FB5" w:rsidRDefault="00E97758" w:rsidP="00E97758">
      <w:pPr>
        <w:spacing w:after="0" w:line="360" w:lineRule="auto"/>
        <w:jc w:val="both"/>
        <w:rPr>
          <w:rFonts w:ascii="Palatino Linotype" w:hAnsi="Palatino Linotype" w:cs="Arial"/>
          <w:b/>
          <w:sz w:val="24"/>
          <w:szCs w:val="24"/>
        </w:rPr>
      </w:pPr>
    </w:p>
    <w:p w14:paraId="030020FA" w14:textId="0668ECA5" w:rsidR="00E97758" w:rsidRPr="007B4FB5" w:rsidRDefault="00367EB2" w:rsidP="00367EB2">
      <w:pPr>
        <w:keepNext/>
        <w:keepLines/>
        <w:pBdr>
          <w:top w:val="nil"/>
          <w:left w:val="nil"/>
          <w:bottom w:val="nil"/>
          <w:right w:val="nil"/>
          <w:between w:val="nil"/>
          <w:bar w:val="nil"/>
        </w:pBdr>
        <w:tabs>
          <w:tab w:val="center" w:pos="4419"/>
          <w:tab w:val="left" w:pos="7237"/>
        </w:tabs>
        <w:spacing w:after="0" w:line="360" w:lineRule="auto"/>
        <w:outlineLvl w:val="0"/>
        <w:rPr>
          <w:rFonts w:ascii="Palatino Linotype" w:eastAsiaTheme="majorEastAsia" w:hAnsi="Palatino Linotype" w:cstheme="majorBidi"/>
          <w:b/>
          <w:sz w:val="24"/>
          <w:szCs w:val="24"/>
          <w:bdr w:val="nil"/>
        </w:rPr>
      </w:pPr>
      <w:bookmarkStart w:id="0" w:name="_Toc9873529"/>
      <w:bookmarkStart w:id="1" w:name="_Toc21366012"/>
      <w:r w:rsidRPr="007B4FB5">
        <w:rPr>
          <w:rFonts w:ascii="Palatino Linotype" w:eastAsiaTheme="majorEastAsia" w:hAnsi="Palatino Linotype" w:cstheme="majorBidi"/>
          <w:b/>
          <w:sz w:val="24"/>
          <w:szCs w:val="24"/>
          <w:bdr w:val="nil"/>
        </w:rPr>
        <w:tab/>
      </w:r>
      <w:r w:rsidR="00E97758" w:rsidRPr="007B4FB5">
        <w:rPr>
          <w:rFonts w:ascii="Palatino Linotype" w:eastAsiaTheme="majorEastAsia" w:hAnsi="Palatino Linotype" w:cstheme="majorBidi"/>
          <w:b/>
          <w:sz w:val="24"/>
          <w:szCs w:val="24"/>
          <w:bdr w:val="nil"/>
        </w:rPr>
        <w:t>Consideraciones Generales.</w:t>
      </w:r>
      <w:bookmarkEnd w:id="0"/>
      <w:bookmarkEnd w:id="1"/>
      <w:r w:rsidRPr="007B4FB5">
        <w:rPr>
          <w:rFonts w:ascii="Palatino Linotype" w:eastAsiaTheme="majorEastAsia" w:hAnsi="Palatino Linotype" w:cstheme="majorBidi"/>
          <w:b/>
          <w:sz w:val="24"/>
          <w:szCs w:val="24"/>
          <w:bdr w:val="nil"/>
        </w:rPr>
        <w:tab/>
      </w:r>
    </w:p>
    <w:p w14:paraId="36FDBD56" w14:textId="3085FCB3" w:rsidR="00E97758" w:rsidRPr="007B4FB5" w:rsidRDefault="00196054" w:rsidP="00E97758">
      <w:pPr>
        <w:spacing w:after="0" w:line="360" w:lineRule="auto"/>
        <w:rPr>
          <w:b/>
          <w:bCs/>
        </w:rPr>
      </w:pPr>
      <w:r w:rsidRPr="007B4FB5">
        <w:rPr>
          <w:b/>
          <w:bCs/>
        </w:rPr>
        <w:t xml:space="preserve"> </w:t>
      </w:r>
    </w:p>
    <w:p w14:paraId="6FCFE9F9" w14:textId="31B77768" w:rsidR="00213603" w:rsidRPr="007B4FB5" w:rsidRDefault="001A1ECB" w:rsidP="00E81253">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sidRPr="007B4FB5">
        <w:rPr>
          <w:rFonts w:ascii="Palatino Linotype" w:eastAsia="Times New Roman" w:hAnsi="Palatino Linotype" w:cs="Arial"/>
          <w:color w:val="000000" w:themeColor="text1"/>
          <w:sz w:val="24"/>
          <w:szCs w:val="24"/>
          <w:bdr w:val="nil"/>
          <w:lang w:val="es-ES_tradnl"/>
        </w:rPr>
        <w:t>S</w:t>
      </w:r>
      <w:r w:rsidR="00E97758" w:rsidRPr="007B4FB5">
        <w:rPr>
          <w:rFonts w:ascii="Palatino Linotype" w:eastAsia="Times New Roman" w:hAnsi="Palatino Linotype" w:cs="Arial"/>
          <w:color w:val="000000" w:themeColor="text1"/>
          <w:sz w:val="24"/>
          <w:szCs w:val="24"/>
          <w:bdr w:val="nil"/>
          <w:lang w:val="es-ES_tradnl"/>
        </w:rPr>
        <w:t xml:space="preserve">e </w:t>
      </w:r>
      <w:r w:rsidRPr="007B4FB5">
        <w:rPr>
          <w:rFonts w:ascii="Palatino Linotype" w:eastAsia="Times New Roman" w:hAnsi="Palatino Linotype" w:cs="Arial"/>
          <w:color w:val="000000" w:themeColor="text1"/>
          <w:sz w:val="24"/>
          <w:szCs w:val="24"/>
          <w:bdr w:val="nil"/>
          <w:lang w:val="es-ES_tradnl"/>
        </w:rPr>
        <w:t xml:space="preserve">emite </w:t>
      </w:r>
      <w:proofErr w:type="gramStart"/>
      <w:r w:rsidRPr="007B4FB5">
        <w:rPr>
          <w:rFonts w:ascii="Palatino Linotype" w:eastAsia="Times New Roman" w:hAnsi="Palatino Linotype" w:cs="Arial"/>
          <w:color w:val="000000" w:themeColor="text1"/>
          <w:sz w:val="24"/>
          <w:szCs w:val="24"/>
          <w:bdr w:val="nil"/>
          <w:lang w:val="es-ES_tradnl"/>
        </w:rPr>
        <w:t xml:space="preserve">el </w:t>
      </w:r>
      <w:r w:rsidR="00E97758" w:rsidRPr="007B4FB5">
        <w:rPr>
          <w:rFonts w:ascii="Palatino Linotype" w:eastAsia="Times New Roman" w:hAnsi="Palatino Linotype" w:cs="Arial"/>
          <w:color w:val="000000" w:themeColor="text1"/>
          <w:sz w:val="24"/>
          <w:szCs w:val="24"/>
          <w:bdr w:val="nil"/>
          <w:lang w:val="es-ES_tradnl"/>
        </w:rPr>
        <w:t xml:space="preserve"> voto</w:t>
      </w:r>
      <w:proofErr w:type="gramEnd"/>
      <w:r w:rsidR="00E97758" w:rsidRPr="007B4FB5">
        <w:rPr>
          <w:rFonts w:ascii="Palatino Linotype" w:eastAsia="Times New Roman" w:hAnsi="Palatino Linotype" w:cs="Arial"/>
          <w:color w:val="000000" w:themeColor="text1"/>
          <w:sz w:val="24"/>
          <w:szCs w:val="24"/>
          <w:bdr w:val="nil"/>
          <w:lang w:val="es-ES_tradnl"/>
        </w:rPr>
        <w:t xml:space="preserve"> </w:t>
      </w:r>
      <w:r w:rsidR="001A23A2" w:rsidRPr="007B4FB5">
        <w:rPr>
          <w:rFonts w:ascii="Palatino Linotype" w:eastAsia="Times New Roman" w:hAnsi="Palatino Linotype" w:cs="Arial"/>
          <w:color w:val="000000" w:themeColor="text1"/>
          <w:sz w:val="24"/>
          <w:szCs w:val="24"/>
          <w:bdr w:val="nil"/>
          <w:lang w:val="es-ES_tradnl"/>
        </w:rPr>
        <w:t>disidente</w:t>
      </w:r>
      <w:r w:rsidR="00E97758" w:rsidRPr="007B4FB5">
        <w:rPr>
          <w:rFonts w:ascii="Palatino Linotype" w:eastAsia="Times New Roman" w:hAnsi="Palatino Linotype" w:cs="Arial"/>
          <w:color w:val="000000" w:themeColor="text1"/>
          <w:sz w:val="24"/>
          <w:szCs w:val="24"/>
          <w:bdr w:val="nil"/>
          <w:lang w:val="es-ES_tradnl"/>
        </w:rPr>
        <w:t xml:space="preserve"> de la presente resolución </w:t>
      </w:r>
      <w:r w:rsidR="00213603" w:rsidRPr="007B4FB5">
        <w:rPr>
          <w:rFonts w:ascii="Palatino Linotype" w:eastAsia="Times New Roman" w:hAnsi="Palatino Linotype" w:cs="Arial"/>
          <w:color w:val="000000" w:themeColor="text1"/>
          <w:sz w:val="24"/>
          <w:szCs w:val="24"/>
          <w:bdr w:val="nil"/>
          <w:lang w:val="es-ES_tradnl"/>
        </w:rPr>
        <w:t xml:space="preserve"> aprobada por mayoría de votos</w:t>
      </w:r>
      <w:r w:rsidR="00E97758" w:rsidRPr="007B4FB5">
        <w:rPr>
          <w:rFonts w:ascii="Palatino Linotype" w:eastAsia="Times New Roman" w:hAnsi="Palatino Linotype" w:cs="Arial"/>
          <w:color w:val="000000" w:themeColor="text1"/>
          <w:sz w:val="24"/>
          <w:szCs w:val="24"/>
          <w:bdr w:val="nil"/>
          <w:lang w:val="es-ES_tradnl"/>
        </w:rPr>
        <w:t xml:space="preserve"> </w:t>
      </w:r>
      <w:r w:rsidR="00E97758" w:rsidRPr="007B4FB5">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sidR="00072BBB" w:rsidRPr="007B4FB5">
        <w:rPr>
          <w:rFonts w:ascii="Palatino Linotype" w:eastAsia="Arial Unicode MS" w:hAnsi="Palatino Linotype" w:cs="Arial"/>
          <w:color w:val="000000" w:themeColor="text1"/>
          <w:sz w:val="24"/>
          <w:szCs w:val="24"/>
          <w:bdr w:val="nil"/>
        </w:rPr>
        <w:t xml:space="preserve">Cuadragésima </w:t>
      </w:r>
      <w:r w:rsidR="0035198B" w:rsidRPr="007B4FB5">
        <w:rPr>
          <w:rFonts w:ascii="Palatino Linotype" w:eastAsia="Arial Unicode MS" w:hAnsi="Palatino Linotype" w:cs="Arial"/>
          <w:color w:val="000000" w:themeColor="text1"/>
          <w:sz w:val="24"/>
          <w:szCs w:val="24"/>
          <w:bdr w:val="nil"/>
        </w:rPr>
        <w:t>Cuarta</w:t>
      </w:r>
      <w:r w:rsidR="00E97758" w:rsidRPr="007B4FB5">
        <w:rPr>
          <w:rFonts w:ascii="Palatino Linotype" w:eastAsia="Arial Unicode MS" w:hAnsi="Palatino Linotype" w:cs="Arial"/>
          <w:color w:val="000000" w:themeColor="text1"/>
          <w:sz w:val="24"/>
          <w:szCs w:val="24"/>
          <w:bdr w:val="nil"/>
        </w:rPr>
        <w:t xml:space="preserve"> </w:t>
      </w:r>
      <w:r w:rsidRPr="007B4FB5">
        <w:rPr>
          <w:rFonts w:ascii="Palatino Linotype" w:eastAsia="Arial Unicode MS" w:hAnsi="Palatino Linotype" w:cs="Arial"/>
          <w:color w:val="000000" w:themeColor="text1"/>
          <w:sz w:val="24"/>
          <w:szCs w:val="24"/>
          <w:bdr w:val="nil"/>
        </w:rPr>
        <w:t>S</w:t>
      </w:r>
      <w:r w:rsidR="00E97758" w:rsidRPr="007B4FB5">
        <w:rPr>
          <w:rFonts w:ascii="Palatino Linotype" w:eastAsia="Arial Unicode MS" w:hAnsi="Palatino Linotype" w:cs="Arial"/>
          <w:color w:val="000000" w:themeColor="text1"/>
          <w:sz w:val="24"/>
          <w:szCs w:val="24"/>
          <w:bdr w:val="nil"/>
        </w:rPr>
        <w:t xml:space="preserve">esión Ordinaria de fecha </w:t>
      </w:r>
      <w:r w:rsidR="0035198B" w:rsidRPr="007B4FB5">
        <w:rPr>
          <w:rFonts w:ascii="Palatino Linotype" w:eastAsia="Arial Unicode MS" w:hAnsi="Palatino Linotype" w:cs="Arial"/>
          <w:color w:val="000000" w:themeColor="text1"/>
          <w:sz w:val="24"/>
          <w:szCs w:val="24"/>
          <w:bdr w:val="nil"/>
        </w:rPr>
        <w:t>seis</w:t>
      </w:r>
      <w:r w:rsidRPr="007B4FB5">
        <w:rPr>
          <w:rFonts w:ascii="Palatino Linotype" w:eastAsia="Arial Unicode MS" w:hAnsi="Palatino Linotype" w:cs="Arial"/>
          <w:color w:val="000000" w:themeColor="text1"/>
          <w:sz w:val="24"/>
          <w:szCs w:val="24"/>
          <w:bdr w:val="nil"/>
        </w:rPr>
        <w:t xml:space="preserve"> </w:t>
      </w:r>
      <w:r w:rsidR="00E97758" w:rsidRPr="007B4FB5">
        <w:rPr>
          <w:rFonts w:ascii="Palatino Linotype" w:eastAsia="Times New Roman" w:hAnsi="Palatino Linotype" w:cs="Arial"/>
          <w:color w:val="000000"/>
          <w:sz w:val="24"/>
          <w:szCs w:val="24"/>
          <w:bdr w:val="nil"/>
          <w:lang w:eastAsia="es-MX"/>
        </w:rPr>
        <w:t>(</w:t>
      </w:r>
      <w:r w:rsidR="0035198B" w:rsidRPr="007B4FB5">
        <w:rPr>
          <w:rFonts w:ascii="Palatino Linotype" w:eastAsia="Times New Roman" w:hAnsi="Palatino Linotype" w:cs="Arial"/>
          <w:color w:val="000000"/>
          <w:sz w:val="24"/>
          <w:szCs w:val="24"/>
          <w:bdr w:val="nil"/>
          <w:lang w:eastAsia="es-MX"/>
        </w:rPr>
        <w:t>6</w:t>
      </w:r>
      <w:r w:rsidR="00E97758" w:rsidRPr="007B4FB5">
        <w:rPr>
          <w:rFonts w:ascii="Palatino Linotype" w:eastAsia="Times New Roman" w:hAnsi="Palatino Linotype" w:cs="Arial"/>
          <w:color w:val="000000"/>
          <w:sz w:val="24"/>
          <w:szCs w:val="24"/>
          <w:bdr w:val="nil"/>
          <w:lang w:eastAsia="es-MX"/>
        </w:rPr>
        <w:t xml:space="preserve">) de </w:t>
      </w:r>
      <w:r w:rsidR="0035198B" w:rsidRPr="007B4FB5">
        <w:rPr>
          <w:rFonts w:ascii="Palatino Linotype" w:eastAsia="Times New Roman" w:hAnsi="Palatino Linotype" w:cs="Arial"/>
          <w:color w:val="000000"/>
          <w:sz w:val="24"/>
          <w:szCs w:val="24"/>
          <w:bdr w:val="nil"/>
          <w:lang w:eastAsia="es-MX"/>
        </w:rPr>
        <w:t>diciembre</w:t>
      </w:r>
      <w:r w:rsidR="00E97758" w:rsidRPr="007B4FB5">
        <w:rPr>
          <w:rFonts w:ascii="Palatino Linotype" w:eastAsia="Times New Roman" w:hAnsi="Palatino Linotype" w:cs="Arial"/>
          <w:color w:val="000000"/>
          <w:sz w:val="24"/>
          <w:szCs w:val="24"/>
          <w:bdr w:val="nil"/>
          <w:lang w:eastAsia="es-MX"/>
        </w:rPr>
        <w:t xml:space="preserve"> de dos mil </w:t>
      </w:r>
      <w:r w:rsidRPr="007B4FB5">
        <w:rPr>
          <w:rFonts w:ascii="Palatino Linotype" w:eastAsia="Times New Roman" w:hAnsi="Palatino Linotype" w:cs="Arial"/>
          <w:color w:val="000000"/>
          <w:sz w:val="24"/>
          <w:szCs w:val="24"/>
          <w:bdr w:val="nil"/>
          <w:lang w:eastAsia="es-MX"/>
        </w:rPr>
        <w:t>veinti</w:t>
      </w:r>
      <w:r w:rsidR="00627742" w:rsidRPr="007B4FB5">
        <w:rPr>
          <w:rFonts w:ascii="Palatino Linotype" w:eastAsia="Times New Roman" w:hAnsi="Palatino Linotype" w:cs="Arial"/>
          <w:color w:val="000000"/>
          <w:sz w:val="24"/>
          <w:szCs w:val="24"/>
          <w:bdr w:val="nil"/>
          <w:lang w:eastAsia="es-MX"/>
        </w:rPr>
        <w:t>trés</w:t>
      </w:r>
      <w:r w:rsidR="00E97758" w:rsidRPr="007B4FB5">
        <w:rPr>
          <w:rFonts w:ascii="Palatino Linotype" w:eastAsia="Arial Unicode MS" w:hAnsi="Palatino Linotype" w:cs="Arial"/>
          <w:color w:val="000000" w:themeColor="text1"/>
          <w:sz w:val="24"/>
          <w:szCs w:val="24"/>
          <w:bdr w:val="nil"/>
        </w:rPr>
        <w:t>, en el recurso de revisión</w:t>
      </w:r>
      <w:r w:rsidRPr="007B4FB5">
        <w:rPr>
          <w:rFonts w:ascii="Palatino Linotype" w:eastAsia="Arial Unicode MS" w:hAnsi="Palatino Linotype" w:cs="Arial"/>
          <w:b/>
          <w:color w:val="000000" w:themeColor="text1"/>
          <w:sz w:val="24"/>
          <w:szCs w:val="24"/>
          <w:bdr w:val="nil"/>
        </w:rPr>
        <w:t>,</w:t>
      </w:r>
      <w:r w:rsidRPr="007B4FB5">
        <w:rPr>
          <w:rFonts w:ascii="Palatino Linotype" w:eastAsia="Arial Unicode MS" w:hAnsi="Palatino Linotype" w:cs="Arial"/>
          <w:color w:val="000000" w:themeColor="text1"/>
          <w:sz w:val="24"/>
          <w:szCs w:val="24"/>
          <w:bdr w:val="nil"/>
        </w:rPr>
        <w:t xml:space="preserve"> </w:t>
      </w:r>
      <w:r w:rsidR="00E97758" w:rsidRPr="007B4FB5">
        <w:rPr>
          <w:rFonts w:ascii="Palatino Linotype" w:eastAsia="Arial Unicode MS" w:hAnsi="Palatino Linotype" w:cs="Times New Roman"/>
          <w:sz w:val="24"/>
          <w:szCs w:val="24"/>
          <w:bdr w:val="nil"/>
        </w:rPr>
        <w:t xml:space="preserve">en contra del </w:t>
      </w:r>
      <w:r w:rsidR="0035198B" w:rsidRPr="007B4FB5">
        <w:rPr>
          <w:rFonts w:ascii="Palatino Linotype" w:eastAsia="Arial Unicode MS" w:hAnsi="Palatino Linotype" w:cs="Times New Roman"/>
          <w:b/>
          <w:sz w:val="24"/>
          <w:szCs w:val="24"/>
          <w:bdr w:val="nil"/>
        </w:rPr>
        <w:t>Poder Legislativo</w:t>
      </w:r>
      <w:r w:rsidR="002F6DFA">
        <w:rPr>
          <w:rFonts w:ascii="Palatino Linotype" w:eastAsia="Arial Unicode MS" w:hAnsi="Palatino Linotype" w:cs="Times New Roman"/>
          <w:b/>
          <w:sz w:val="24"/>
          <w:szCs w:val="24"/>
          <w:bdr w:val="nil"/>
        </w:rPr>
        <w:t xml:space="preserve">, </w:t>
      </w:r>
      <w:r w:rsidR="00E97758" w:rsidRPr="007B4FB5">
        <w:rPr>
          <w:rFonts w:ascii="Palatino Linotype" w:eastAsia="Arial Unicode MS" w:hAnsi="Palatino Linotype" w:cs="Times New Roman"/>
          <w:sz w:val="24"/>
          <w:szCs w:val="24"/>
          <w:bdr w:val="nil"/>
        </w:rPr>
        <w:t xml:space="preserve"> </w:t>
      </w:r>
      <w:r w:rsidR="00E97758" w:rsidRPr="007B4FB5">
        <w:rPr>
          <w:rFonts w:ascii="Palatino Linotype" w:eastAsia="Arial Unicode MS" w:hAnsi="Palatino Linotype" w:cs="Arial"/>
          <w:color w:val="000000" w:themeColor="text1"/>
          <w:sz w:val="24"/>
          <w:szCs w:val="24"/>
          <w:bdr w:val="nil"/>
        </w:rPr>
        <w:t xml:space="preserve">procedimiento al que se le asignó el número de expediente </w:t>
      </w:r>
      <w:r w:rsidR="00F67A7B" w:rsidRPr="007B4FB5">
        <w:rPr>
          <w:rFonts w:ascii="Palatino Linotype" w:hAnsi="Palatino Linotype" w:cs="Arial"/>
          <w:b/>
          <w:sz w:val="24"/>
          <w:szCs w:val="24"/>
        </w:rPr>
        <w:t>0</w:t>
      </w:r>
      <w:r w:rsidR="0035198B" w:rsidRPr="007B4FB5">
        <w:rPr>
          <w:rFonts w:ascii="Palatino Linotype" w:hAnsi="Palatino Linotype" w:cs="Arial"/>
          <w:b/>
          <w:sz w:val="24"/>
          <w:szCs w:val="24"/>
        </w:rPr>
        <w:t>3479</w:t>
      </w:r>
      <w:r w:rsidR="00F67A7B" w:rsidRPr="007B4FB5">
        <w:rPr>
          <w:rFonts w:ascii="Palatino Linotype" w:hAnsi="Palatino Linotype" w:cs="Arial"/>
          <w:b/>
          <w:sz w:val="24"/>
          <w:szCs w:val="24"/>
        </w:rPr>
        <w:t>/INFOEM/IP/RR/2023</w:t>
      </w:r>
      <w:r w:rsidR="006A24B8" w:rsidRPr="007B4FB5">
        <w:rPr>
          <w:rFonts w:ascii="Palatino Linotype" w:hAnsi="Palatino Linotype" w:cs="Arial"/>
          <w:b/>
          <w:sz w:val="24"/>
          <w:szCs w:val="24"/>
        </w:rPr>
        <w:t>.</w:t>
      </w:r>
    </w:p>
    <w:p w14:paraId="162D45E0" w14:textId="77777777" w:rsidR="006A24B8" w:rsidRPr="007B4FB5" w:rsidRDefault="006A24B8" w:rsidP="006A24B8">
      <w:pPr>
        <w:spacing w:after="0" w:line="360" w:lineRule="auto"/>
        <w:contextualSpacing/>
        <w:jc w:val="both"/>
        <w:rPr>
          <w:rFonts w:ascii="Palatino Linotype" w:eastAsia="Calibri" w:hAnsi="Palatino Linotype" w:cs="Arial"/>
          <w:sz w:val="24"/>
          <w:szCs w:val="24"/>
          <w:lang w:val="es-ES" w:eastAsia="es-ES"/>
        </w:rPr>
      </w:pPr>
    </w:p>
    <w:p w14:paraId="3938782A" w14:textId="3B4C60DF" w:rsidR="00213603" w:rsidRPr="007B4FB5" w:rsidRDefault="00213603" w:rsidP="0035198B">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La resolución aprobada por la mayoría del Pleno de este Órgano Garante determin</w:t>
      </w:r>
      <w:r w:rsidR="00502CAF" w:rsidRPr="007B4FB5">
        <w:rPr>
          <w:rFonts w:ascii="Palatino Linotype" w:eastAsia="Calibri" w:hAnsi="Palatino Linotype" w:cs="Arial"/>
          <w:sz w:val="24"/>
          <w:szCs w:val="24"/>
          <w:lang w:val="es-ES" w:eastAsia="es-ES"/>
        </w:rPr>
        <w:t xml:space="preserve">ó procedente </w:t>
      </w:r>
      <w:r w:rsidR="00072BBB" w:rsidRPr="007B4FB5">
        <w:rPr>
          <w:rFonts w:ascii="Palatino Linotype" w:eastAsia="Calibri" w:hAnsi="Palatino Linotype" w:cs="Arial"/>
          <w:sz w:val="24"/>
          <w:szCs w:val="24"/>
          <w:lang w:val="es-ES" w:eastAsia="es-ES"/>
        </w:rPr>
        <w:t xml:space="preserve">MODIFICAR la respuesta y ORDENAR el acuerdo mediante el cual se </w:t>
      </w:r>
      <w:r w:rsidR="0035198B" w:rsidRPr="007B4FB5">
        <w:rPr>
          <w:rFonts w:ascii="Palatino Linotype" w:eastAsia="Calibri" w:hAnsi="Palatino Linotype" w:cs="Arial"/>
          <w:sz w:val="24"/>
          <w:szCs w:val="24"/>
          <w:lang w:val="es-ES" w:eastAsia="es-ES"/>
        </w:rPr>
        <w:t xml:space="preserve">clasifique como información reservada el expediente </w:t>
      </w:r>
      <w:r w:rsidR="0035198B" w:rsidRPr="007B4FB5">
        <w:rPr>
          <w:rFonts w:ascii="Palatino Linotype" w:eastAsia="Palatino Linotype" w:hAnsi="Palatino Linotype" w:cs="Palatino Linotype"/>
          <w:color w:val="000000"/>
        </w:rPr>
        <w:t>OSFEM/UJA/PAR-IM/17/17</w:t>
      </w:r>
      <w:r w:rsidR="00F67A7B" w:rsidRPr="007B4FB5">
        <w:rPr>
          <w:rFonts w:ascii="Palatino Linotype" w:eastAsia="Calibri" w:hAnsi="Palatino Linotype" w:cs="Arial"/>
          <w:sz w:val="24"/>
          <w:szCs w:val="24"/>
          <w:lang w:val="es-ES" w:eastAsia="es-ES"/>
        </w:rPr>
        <w:t xml:space="preserve">; sin embargo, se considera que debió ordenarse </w:t>
      </w:r>
      <w:r w:rsidR="00072BBB" w:rsidRPr="007B4FB5">
        <w:rPr>
          <w:rFonts w:ascii="Palatino Linotype" w:eastAsia="Calibri" w:hAnsi="Palatino Linotype" w:cs="Arial"/>
          <w:sz w:val="24"/>
          <w:szCs w:val="24"/>
          <w:lang w:val="es-ES" w:eastAsia="es-ES"/>
        </w:rPr>
        <w:t xml:space="preserve">la entrega de la información, </w:t>
      </w:r>
      <w:r w:rsidR="0035198B" w:rsidRPr="007B4FB5">
        <w:rPr>
          <w:rFonts w:ascii="Palatino Linotype" w:eastAsia="Calibri" w:hAnsi="Palatino Linotype" w:cs="Arial"/>
          <w:sz w:val="24"/>
          <w:szCs w:val="24"/>
          <w:lang w:val="es-ES" w:eastAsia="es-ES"/>
        </w:rPr>
        <w:t>ya que a dicha información reviste un interés colectivo para su publicación, esto por el hecho de que existe una afectación a la hacienda pública.</w:t>
      </w:r>
      <w:r w:rsidRPr="007B4FB5">
        <w:rPr>
          <w:rFonts w:ascii="Palatino Linotype" w:eastAsia="Calibri" w:hAnsi="Palatino Linotype" w:cs="Arial"/>
          <w:sz w:val="24"/>
          <w:szCs w:val="24"/>
          <w:lang w:val="es-ES" w:eastAsia="es-ES"/>
        </w:rPr>
        <w:t xml:space="preserve"> </w:t>
      </w:r>
    </w:p>
    <w:p w14:paraId="765AFB6F" w14:textId="77777777" w:rsidR="00F67A7B" w:rsidRPr="007B4FB5" w:rsidRDefault="00F67A7B" w:rsidP="00F67A7B">
      <w:pPr>
        <w:spacing w:after="0" w:line="360" w:lineRule="auto"/>
        <w:contextualSpacing/>
        <w:jc w:val="both"/>
        <w:rPr>
          <w:rFonts w:ascii="Palatino Linotype" w:eastAsia="Calibri" w:hAnsi="Palatino Linotype" w:cs="Arial"/>
          <w:sz w:val="24"/>
          <w:szCs w:val="24"/>
          <w:lang w:val="es-ES" w:eastAsia="es-ES"/>
        </w:rPr>
      </w:pPr>
    </w:p>
    <w:p w14:paraId="37110C6A" w14:textId="4BAB3A25" w:rsidR="00F67A7B" w:rsidRPr="007B4FB5" w:rsidRDefault="00964C1E" w:rsidP="00964C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2" w:name="_Toc21366013"/>
      <w:r w:rsidRPr="007B4FB5">
        <w:rPr>
          <w:rFonts w:ascii="Palatino Linotype" w:eastAsiaTheme="majorEastAsia" w:hAnsi="Palatino Linotype" w:cstheme="majorBidi"/>
          <w:b/>
          <w:sz w:val="24"/>
          <w:szCs w:val="24"/>
          <w:bdr w:val="nil"/>
        </w:rPr>
        <w:t>I.</w:t>
      </w:r>
      <w:bookmarkStart w:id="3" w:name="_Toc21366014"/>
      <w:bookmarkEnd w:id="2"/>
      <w:r w:rsidR="001A1ECB" w:rsidRPr="007B4FB5">
        <w:rPr>
          <w:rFonts w:ascii="Palatino Linotype" w:eastAsiaTheme="majorEastAsia" w:hAnsi="Palatino Linotype" w:cstheme="majorBidi"/>
          <w:b/>
          <w:sz w:val="24"/>
          <w:szCs w:val="24"/>
          <w:bdr w:val="nil"/>
        </w:rPr>
        <w:t xml:space="preserve"> </w:t>
      </w:r>
      <w:r w:rsidR="00F67A7B" w:rsidRPr="007B4FB5">
        <w:rPr>
          <w:rFonts w:ascii="Palatino Linotype" w:eastAsiaTheme="majorEastAsia" w:hAnsi="Palatino Linotype" w:cstheme="majorBidi"/>
          <w:b/>
          <w:sz w:val="24"/>
          <w:szCs w:val="24"/>
          <w:bdr w:val="nil"/>
        </w:rPr>
        <w:t>De l</w:t>
      </w:r>
      <w:bookmarkEnd w:id="3"/>
      <w:r w:rsidR="005C51D0" w:rsidRPr="007B4FB5">
        <w:rPr>
          <w:rFonts w:ascii="Palatino Linotype" w:eastAsiaTheme="majorEastAsia" w:hAnsi="Palatino Linotype" w:cstheme="majorBidi"/>
          <w:b/>
          <w:sz w:val="24"/>
          <w:szCs w:val="24"/>
          <w:bdr w:val="nil"/>
        </w:rPr>
        <w:t>os procedimientos de responsabilidades</w:t>
      </w:r>
    </w:p>
    <w:p w14:paraId="281F1667" w14:textId="77777777" w:rsidR="005C51D0" w:rsidRPr="007B4FB5" w:rsidRDefault="005C51D0" w:rsidP="005C51D0">
      <w:pPr>
        <w:pStyle w:val="Prrafodelista"/>
        <w:spacing w:after="0" w:line="360" w:lineRule="auto"/>
        <w:ind w:left="0"/>
        <w:jc w:val="both"/>
        <w:rPr>
          <w:rFonts w:ascii="Palatino Linotype" w:eastAsia="Calibri" w:hAnsi="Palatino Linotype" w:cs="Arial"/>
          <w:sz w:val="24"/>
        </w:rPr>
      </w:pPr>
    </w:p>
    <w:p w14:paraId="143AA14A" w14:textId="101F4616" w:rsidR="005C51D0" w:rsidRPr="007B4FB5" w:rsidRDefault="005C51D0" w:rsidP="005C51D0">
      <w:pPr>
        <w:pStyle w:val="Prrafodelista"/>
        <w:numPr>
          <w:ilvl w:val="0"/>
          <w:numId w:val="9"/>
        </w:numPr>
        <w:spacing w:after="0" w:line="360" w:lineRule="auto"/>
        <w:ind w:left="0" w:firstLine="0"/>
        <w:jc w:val="both"/>
        <w:rPr>
          <w:rFonts w:ascii="Palatino Linotype" w:eastAsia="Calibri" w:hAnsi="Palatino Linotype" w:cs="Arial"/>
          <w:sz w:val="24"/>
        </w:rPr>
      </w:pPr>
      <w:r w:rsidRPr="007B4FB5">
        <w:rPr>
          <w:rFonts w:ascii="Palatino Linotype" w:eastAsia="Calibri" w:hAnsi="Palatino Linotype" w:cs="Arial"/>
          <w:sz w:val="24"/>
        </w:rPr>
        <w:t xml:space="preserve">En el presente asunto, el particular solicitó tener acceso a un expediente, del cual remite el número de folio. </w:t>
      </w:r>
    </w:p>
    <w:p w14:paraId="1AD06D2C" w14:textId="29B7026E" w:rsidR="005C51D0" w:rsidRPr="007B4FB5" w:rsidRDefault="005C51D0" w:rsidP="005C51D0">
      <w:pPr>
        <w:pStyle w:val="Prrafodelista"/>
        <w:numPr>
          <w:ilvl w:val="0"/>
          <w:numId w:val="9"/>
        </w:numPr>
        <w:spacing w:after="0" w:line="360" w:lineRule="auto"/>
        <w:ind w:left="0" w:firstLine="0"/>
        <w:jc w:val="both"/>
        <w:rPr>
          <w:rFonts w:ascii="Palatino Linotype" w:eastAsia="Calibri" w:hAnsi="Palatino Linotype" w:cs="Arial"/>
          <w:sz w:val="24"/>
        </w:rPr>
      </w:pPr>
      <w:r w:rsidRPr="007B4FB5">
        <w:rPr>
          <w:rFonts w:ascii="Palatino Linotype" w:eastAsia="Calibri" w:hAnsi="Palatino Linotype" w:cs="Arial"/>
          <w:sz w:val="24"/>
        </w:rPr>
        <w:lastRenderedPageBreak/>
        <w:t>El Sujeto Obligado, a través de su respuesta, manifestó que no se puede proporcionar la documentación, toda vez que es información que se encuent</w:t>
      </w:r>
      <w:r w:rsidR="00110AFC" w:rsidRPr="007B4FB5">
        <w:rPr>
          <w:rFonts w:ascii="Palatino Linotype" w:eastAsia="Calibri" w:hAnsi="Palatino Linotype" w:cs="Arial"/>
          <w:sz w:val="24"/>
        </w:rPr>
        <w:t>ra clasificada como reservada.</w:t>
      </w:r>
    </w:p>
    <w:p w14:paraId="61302B0F" w14:textId="77777777" w:rsidR="005C51D0" w:rsidRPr="007B4FB5" w:rsidRDefault="005C51D0" w:rsidP="005C51D0">
      <w:pPr>
        <w:spacing w:after="0" w:line="360" w:lineRule="auto"/>
        <w:jc w:val="both"/>
        <w:rPr>
          <w:rFonts w:ascii="Palatino Linotype" w:eastAsia="Calibri" w:hAnsi="Palatino Linotype" w:cs="Arial"/>
          <w:sz w:val="24"/>
        </w:rPr>
      </w:pPr>
    </w:p>
    <w:p w14:paraId="14775B26" w14:textId="7FC611D9" w:rsidR="00110AFC" w:rsidRPr="007B4FB5" w:rsidRDefault="00110AFC" w:rsidP="00072BBB">
      <w:pPr>
        <w:pStyle w:val="Prrafodelista"/>
        <w:numPr>
          <w:ilvl w:val="0"/>
          <w:numId w:val="9"/>
        </w:numPr>
        <w:spacing w:after="0" w:line="360" w:lineRule="auto"/>
        <w:ind w:left="0" w:firstLine="0"/>
        <w:jc w:val="both"/>
        <w:rPr>
          <w:rFonts w:ascii="Palatino Linotype" w:eastAsia="Calibri" w:hAnsi="Palatino Linotype" w:cs="Arial"/>
          <w:sz w:val="24"/>
        </w:rPr>
      </w:pPr>
      <w:r w:rsidRPr="007B4FB5">
        <w:rPr>
          <w:rFonts w:ascii="Palatino Linotype" w:eastAsia="Calibri" w:hAnsi="Palatino Linotype" w:cs="Arial"/>
          <w:sz w:val="24"/>
        </w:rPr>
        <w:t>Del desahogo de las actuaciones, el Sujeto Obligado refirió que el expediente de mérito contiene los siguientes elementos</w:t>
      </w:r>
      <w:r w:rsidR="0022651E" w:rsidRPr="007B4FB5">
        <w:rPr>
          <w:rFonts w:ascii="Palatino Linotype" w:eastAsia="Calibri" w:hAnsi="Palatino Linotype" w:cs="Arial"/>
          <w:sz w:val="24"/>
        </w:rPr>
        <w:t xml:space="preserve"> a destacar</w:t>
      </w:r>
      <w:r w:rsidRPr="007B4FB5">
        <w:rPr>
          <w:rFonts w:ascii="Palatino Linotype" w:eastAsia="Calibri" w:hAnsi="Palatino Linotype" w:cs="Arial"/>
          <w:sz w:val="24"/>
        </w:rPr>
        <w:t>:</w:t>
      </w:r>
    </w:p>
    <w:p w14:paraId="41A99451" w14:textId="77777777" w:rsidR="00110AFC" w:rsidRPr="007B4FB5" w:rsidRDefault="00110AFC" w:rsidP="00110AFC">
      <w:pPr>
        <w:pStyle w:val="Prrafodelista"/>
        <w:rPr>
          <w:rFonts w:ascii="Palatino Linotype" w:eastAsia="Calibri" w:hAnsi="Palatino Linotype" w:cs="Arial"/>
          <w:sz w:val="24"/>
        </w:rPr>
      </w:pPr>
    </w:p>
    <w:p w14:paraId="69A820C6" w14:textId="7AB71944" w:rsidR="005C51D0" w:rsidRPr="007B4FB5" w:rsidRDefault="00110AFC" w:rsidP="00110AFC">
      <w:pPr>
        <w:pStyle w:val="Prrafodelista"/>
        <w:numPr>
          <w:ilvl w:val="0"/>
          <w:numId w:val="44"/>
        </w:numPr>
        <w:spacing w:after="0" w:line="360" w:lineRule="auto"/>
        <w:jc w:val="both"/>
        <w:rPr>
          <w:rFonts w:ascii="Palatino Linotype" w:eastAsia="Calibri" w:hAnsi="Palatino Linotype" w:cs="Arial"/>
          <w:sz w:val="24"/>
        </w:rPr>
      </w:pPr>
      <w:r w:rsidRPr="007B4FB5">
        <w:rPr>
          <w:rFonts w:ascii="Palatino Linotype" w:eastAsia="Calibri" w:hAnsi="Palatino Linotype" w:cs="Arial"/>
          <w:sz w:val="24"/>
        </w:rPr>
        <w:t xml:space="preserve">Corresponde a un </w:t>
      </w:r>
      <w:r w:rsidRPr="007B4FB5">
        <w:rPr>
          <w:rFonts w:ascii="Palatino Linotype" w:eastAsia="Calibri" w:hAnsi="Palatino Linotype" w:cs="Arial"/>
          <w:b/>
          <w:sz w:val="24"/>
        </w:rPr>
        <w:t>procedimiento administrativo resarcitorio</w:t>
      </w:r>
      <w:r w:rsidRPr="007B4FB5">
        <w:rPr>
          <w:rFonts w:ascii="Palatino Linotype" w:eastAsia="Calibri" w:hAnsi="Palatino Linotype" w:cs="Arial"/>
          <w:sz w:val="24"/>
        </w:rPr>
        <w:t xml:space="preserve"> instaurado en contra de diversos servidores públicos de la </w:t>
      </w:r>
      <w:proofErr w:type="gramStart"/>
      <w:r w:rsidRPr="007B4FB5">
        <w:rPr>
          <w:rFonts w:ascii="Palatino Linotype" w:eastAsia="Calibri" w:hAnsi="Palatino Linotype" w:cs="Arial"/>
          <w:sz w:val="24"/>
        </w:rPr>
        <w:t>administración  municipal</w:t>
      </w:r>
      <w:proofErr w:type="gramEnd"/>
      <w:r w:rsidRPr="007B4FB5">
        <w:rPr>
          <w:rFonts w:ascii="Palatino Linotype" w:eastAsia="Calibri" w:hAnsi="Palatino Linotype" w:cs="Arial"/>
          <w:sz w:val="24"/>
        </w:rPr>
        <w:t xml:space="preserve"> de Jilotepec (2013-2015) derivada de la revisión de informes mensuales;</w:t>
      </w:r>
    </w:p>
    <w:p w14:paraId="5D514322" w14:textId="7BF97D0D" w:rsidR="00110AFC" w:rsidRPr="007B4FB5" w:rsidRDefault="00110AFC" w:rsidP="00110AFC">
      <w:pPr>
        <w:pStyle w:val="Prrafodelista"/>
        <w:numPr>
          <w:ilvl w:val="0"/>
          <w:numId w:val="44"/>
        </w:numPr>
        <w:spacing w:after="0" w:line="360" w:lineRule="auto"/>
        <w:jc w:val="both"/>
        <w:rPr>
          <w:rFonts w:ascii="Palatino Linotype" w:eastAsia="Calibri" w:hAnsi="Palatino Linotype" w:cs="Arial"/>
          <w:sz w:val="24"/>
        </w:rPr>
      </w:pPr>
      <w:r w:rsidRPr="007B4FB5">
        <w:rPr>
          <w:rFonts w:ascii="Palatino Linotype" w:eastAsia="Calibri" w:hAnsi="Palatino Linotype" w:cs="Arial"/>
          <w:sz w:val="24"/>
        </w:rPr>
        <w:t>El fundamento legal de sustento son los artículos 59 fracción I y 75 de la Ley de Responsabilidades Administrativas del Estado de México y Municipios;</w:t>
      </w:r>
    </w:p>
    <w:p w14:paraId="6CA79BA1" w14:textId="46B661F7" w:rsidR="0022651E" w:rsidRPr="007B4FB5" w:rsidRDefault="00110AFC" w:rsidP="0022651E">
      <w:pPr>
        <w:pStyle w:val="Prrafodelista"/>
        <w:numPr>
          <w:ilvl w:val="0"/>
          <w:numId w:val="44"/>
        </w:numPr>
        <w:spacing w:line="360" w:lineRule="auto"/>
        <w:rPr>
          <w:rFonts w:ascii="Palatino Linotype" w:eastAsia="Calibri" w:hAnsi="Palatino Linotype" w:cs="Arial"/>
          <w:sz w:val="24"/>
        </w:rPr>
      </w:pPr>
      <w:r w:rsidRPr="007B4FB5">
        <w:rPr>
          <w:rFonts w:ascii="Palatino Linotype" w:eastAsia="Calibri" w:hAnsi="Palatino Linotype" w:cs="Arial"/>
          <w:sz w:val="24"/>
        </w:rPr>
        <w:t>El juicio de amparo 313/2023 se encuentra pendiente de resolución, ante el Primer Tribunal Colegiado en Materia Administrativa, derivado del juicio de garantías 645/2022-II.</w:t>
      </w:r>
    </w:p>
    <w:p w14:paraId="5DD91121" w14:textId="77777777" w:rsidR="0022651E" w:rsidRPr="007B4FB5" w:rsidRDefault="0022651E" w:rsidP="0022651E">
      <w:pPr>
        <w:pStyle w:val="Prrafodelista"/>
        <w:spacing w:line="360" w:lineRule="auto"/>
        <w:rPr>
          <w:rFonts w:ascii="Palatino Linotype" w:eastAsia="Calibri" w:hAnsi="Palatino Linotype" w:cs="Arial"/>
          <w:sz w:val="24"/>
        </w:rPr>
      </w:pPr>
    </w:p>
    <w:p w14:paraId="7CCF35F1" w14:textId="56908BD6" w:rsidR="00110AFC" w:rsidRPr="007B4FB5" w:rsidRDefault="0022651E" w:rsidP="00072BBB">
      <w:pPr>
        <w:pStyle w:val="Prrafodelista"/>
        <w:numPr>
          <w:ilvl w:val="0"/>
          <w:numId w:val="9"/>
        </w:numPr>
        <w:spacing w:after="0" w:line="360" w:lineRule="auto"/>
        <w:ind w:left="0" w:firstLine="0"/>
        <w:jc w:val="both"/>
        <w:rPr>
          <w:rFonts w:ascii="Palatino Linotype" w:eastAsia="Calibri" w:hAnsi="Palatino Linotype" w:cs="Arial"/>
          <w:sz w:val="24"/>
        </w:rPr>
      </w:pPr>
      <w:r w:rsidRPr="007B4FB5">
        <w:rPr>
          <w:rFonts w:ascii="Palatino Linotype" w:eastAsia="Calibri" w:hAnsi="Palatino Linotype" w:cs="Arial"/>
          <w:sz w:val="24"/>
        </w:rPr>
        <w:t xml:space="preserve">De acuerdo con lo anteriormente referido por el Sujeto Obligado, es necesario traer a contexto la Ley de Responsabilidades Administrativas del Estado de México y Municipios en los artículos </w:t>
      </w:r>
      <w:r w:rsidR="00D868A7" w:rsidRPr="007B4FB5">
        <w:rPr>
          <w:rFonts w:ascii="Palatino Linotype" w:eastAsia="Calibri" w:hAnsi="Palatino Linotype" w:cs="Arial"/>
          <w:sz w:val="24"/>
        </w:rPr>
        <w:t>68 y 75, los cuales disponen lo siguiente:</w:t>
      </w:r>
    </w:p>
    <w:p w14:paraId="0FC5349E" w14:textId="77777777" w:rsidR="00110AFC" w:rsidRPr="007B4FB5" w:rsidRDefault="00110AFC" w:rsidP="00110AFC">
      <w:pPr>
        <w:pStyle w:val="Prrafodelista"/>
        <w:rPr>
          <w:rFonts w:ascii="Palatino Linotype" w:eastAsia="Calibri" w:hAnsi="Palatino Linotype" w:cs="Arial"/>
          <w:sz w:val="24"/>
        </w:rPr>
      </w:pPr>
    </w:p>
    <w:p w14:paraId="020B3998"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“Artículo 68. Constituyen faltas administrativas graves vinculadas con actos de particulares las siguientes: </w:t>
      </w:r>
    </w:p>
    <w:p w14:paraId="03AD21D6"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I. El soborno. </w:t>
      </w:r>
    </w:p>
    <w:p w14:paraId="23F7C944"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II. La participación ilícita en procedimientos administrativos. </w:t>
      </w:r>
    </w:p>
    <w:p w14:paraId="73F0FADA"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lastRenderedPageBreak/>
        <w:t xml:space="preserve">III. El tráfico de influencias para inducir a la autoridad. </w:t>
      </w:r>
    </w:p>
    <w:p w14:paraId="7ED460E2"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IV. La utilización de información falsa. </w:t>
      </w:r>
    </w:p>
    <w:p w14:paraId="3495C50C"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V. La obstrucción de facultades de investigación. </w:t>
      </w:r>
    </w:p>
    <w:p w14:paraId="70B53C71"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VI. La colusión. </w:t>
      </w:r>
    </w:p>
    <w:p w14:paraId="73DCA825" w14:textId="77777777" w:rsidR="00D868A7" w:rsidRPr="007B4FB5" w:rsidRDefault="00D868A7" w:rsidP="00D868A7">
      <w:pPr>
        <w:ind w:left="851" w:right="902"/>
        <w:jc w:val="both"/>
        <w:rPr>
          <w:rFonts w:ascii="Palatino Linotype" w:eastAsia="Palatino Linotype" w:hAnsi="Palatino Linotype" w:cs="Palatino Linotype"/>
          <w:b/>
          <w:i/>
        </w:rPr>
      </w:pPr>
      <w:r w:rsidRPr="007B4FB5">
        <w:rPr>
          <w:rFonts w:ascii="Palatino Linotype" w:eastAsia="Palatino Linotype" w:hAnsi="Palatino Linotype" w:cs="Palatino Linotype"/>
          <w:b/>
          <w:i/>
        </w:rPr>
        <w:t xml:space="preserve">VII. El uso indebido de recursos públicos. </w:t>
      </w:r>
    </w:p>
    <w:p w14:paraId="732B7F43"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VIII. La contratación indebida de ex Servidores </w:t>
      </w:r>
      <w:proofErr w:type="gramStart"/>
      <w:r w:rsidRPr="007B4FB5">
        <w:rPr>
          <w:rFonts w:ascii="Palatino Linotype" w:eastAsia="Palatino Linotype" w:hAnsi="Palatino Linotype" w:cs="Palatino Linotype"/>
          <w:i/>
        </w:rPr>
        <w:t>públicos”(</w:t>
      </w:r>
      <w:proofErr w:type="gramEnd"/>
      <w:r w:rsidRPr="007B4FB5">
        <w:rPr>
          <w:rFonts w:ascii="Palatino Linotype" w:eastAsia="Palatino Linotype" w:hAnsi="Palatino Linotype" w:cs="Palatino Linotype"/>
          <w:i/>
        </w:rPr>
        <w:t>Sic)</w:t>
      </w:r>
    </w:p>
    <w:p w14:paraId="2166DBCE" w14:textId="77777777" w:rsidR="00D868A7" w:rsidRPr="007B4FB5" w:rsidRDefault="00D868A7" w:rsidP="00110AFC">
      <w:pPr>
        <w:pStyle w:val="Prrafodelista"/>
        <w:rPr>
          <w:rFonts w:ascii="Palatino Linotype" w:eastAsia="Calibri" w:hAnsi="Palatino Linotype" w:cs="Arial"/>
          <w:sz w:val="24"/>
        </w:rPr>
      </w:pPr>
    </w:p>
    <w:p w14:paraId="688585AF"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“Artículo 75. Incurrirá en uso indebido de recursos públicos el particular que: </w:t>
      </w:r>
    </w:p>
    <w:p w14:paraId="65667E90"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 xml:space="preserve">I. Realice actos a través de los cuales se apropie, haga uso indebido o desvíe del objeto para el que estén previstos los recursos públicos, sean materiales, humanos o financieros, cuando por cualquier circunstancia maneje, reciba, administre o tenga acceso a dichos recursos. </w:t>
      </w:r>
    </w:p>
    <w:p w14:paraId="28123B0C" w14:textId="77777777" w:rsidR="00D868A7" w:rsidRPr="007B4FB5" w:rsidRDefault="00D868A7" w:rsidP="00D868A7">
      <w:pPr>
        <w:ind w:left="851" w:right="902"/>
        <w:jc w:val="both"/>
        <w:rPr>
          <w:rFonts w:ascii="Palatino Linotype" w:eastAsia="Palatino Linotype" w:hAnsi="Palatino Linotype" w:cs="Palatino Linotype"/>
          <w:i/>
        </w:rPr>
      </w:pPr>
      <w:r w:rsidRPr="007B4FB5">
        <w:rPr>
          <w:rFonts w:ascii="Palatino Linotype" w:eastAsia="Palatino Linotype" w:hAnsi="Palatino Linotype" w:cs="Palatino Linotype"/>
          <w:i/>
        </w:rPr>
        <w:t>II. Omita rendir cuentas que comprueben el destino que se otorgó a dichos recursos.” (Sic)</w:t>
      </w:r>
    </w:p>
    <w:p w14:paraId="551D2121" w14:textId="77777777" w:rsidR="00D868A7" w:rsidRPr="007B4FB5" w:rsidRDefault="00D868A7" w:rsidP="00D868A7">
      <w:pPr>
        <w:ind w:right="902"/>
        <w:jc w:val="both"/>
        <w:rPr>
          <w:rFonts w:ascii="Palatino Linotype" w:eastAsia="Palatino Linotype" w:hAnsi="Palatino Linotype" w:cs="Palatino Linotype"/>
          <w:i/>
        </w:rPr>
      </w:pPr>
    </w:p>
    <w:p w14:paraId="480EFEA7" w14:textId="4132D66C" w:rsidR="00EA0A08" w:rsidRPr="007B4FB5" w:rsidRDefault="00D868A7" w:rsidP="00EA0A08">
      <w:pPr>
        <w:pStyle w:val="Prrafodelista"/>
        <w:numPr>
          <w:ilvl w:val="0"/>
          <w:numId w:val="9"/>
        </w:numPr>
        <w:spacing w:after="0" w:line="360" w:lineRule="auto"/>
        <w:ind w:left="0" w:firstLine="0"/>
        <w:jc w:val="both"/>
        <w:rPr>
          <w:rFonts w:ascii="Palatino Linotype" w:eastAsia="Calibri" w:hAnsi="Palatino Linotype" w:cs="Arial"/>
          <w:sz w:val="24"/>
        </w:rPr>
      </w:pPr>
      <w:r w:rsidRPr="007B4FB5">
        <w:rPr>
          <w:rFonts w:ascii="Palatino Linotype" w:eastAsia="Calibri" w:hAnsi="Palatino Linotype" w:cs="Arial"/>
          <w:sz w:val="24"/>
        </w:rPr>
        <w:t xml:space="preserve">Derivado del contenido de los dispositivos legales, </w:t>
      </w:r>
      <w:r w:rsidR="00EA0A08" w:rsidRPr="007B4FB5">
        <w:rPr>
          <w:rFonts w:ascii="Palatino Linotype" w:eastAsia="Calibri" w:hAnsi="Palatino Linotype" w:cs="Arial"/>
          <w:sz w:val="24"/>
        </w:rPr>
        <w:t>se advierte que, podría actualizarse la excepción a la reserva contenida en el artículo 142, fracción IV de la Ley de Transparencia y Acceso a la Información Pública del Estado de México y Municipios, el cual contiene lo siguiente:</w:t>
      </w:r>
    </w:p>
    <w:p w14:paraId="5658B610" w14:textId="77777777" w:rsidR="00EA0A08" w:rsidRPr="007B4FB5" w:rsidRDefault="00EA0A08" w:rsidP="00EA0A08">
      <w:pPr>
        <w:spacing w:after="0" w:line="360" w:lineRule="auto"/>
        <w:jc w:val="both"/>
        <w:rPr>
          <w:rFonts w:ascii="Palatino Linotype" w:eastAsia="Calibri" w:hAnsi="Palatino Linotype" w:cs="Arial"/>
          <w:sz w:val="24"/>
        </w:rPr>
      </w:pPr>
    </w:p>
    <w:p w14:paraId="0C18FB03" w14:textId="77777777" w:rsidR="00EA0A08" w:rsidRPr="007B4FB5" w:rsidRDefault="00EA0A08" w:rsidP="00EA0A08">
      <w:pPr>
        <w:widowControl w:val="0"/>
        <w:ind w:left="567" w:right="616"/>
        <w:jc w:val="both"/>
        <w:rPr>
          <w:rFonts w:ascii="Palatino Linotype" w:eastAsia="Palatino Linotype" w:hAnsi="Palatino Linotype" w:cs="Palatino Linotype"/>
          <w:b/>
          <w:i/>
          <w:u w:val="single"/>
        </w:rPr>
      </w:pPr>
      <w:r w:rsidRPr="007B4FB5">
        <w:rPr>
          <w:rFonts w:ascii="Palatino Linotype" w:eastAsia="Palatino Linotype" w:hAnsi="Palatino Linotype" w:cs="Palatino Linotype"/>
          <w:i/>
        </w:rPr>
        <w:t xml:space="preserve">“Artículo 142. </w:t>
      </w:r>
      <w:r w:rsidRPr="007B4FB5">
        <w:rPr>
          <w:rFonts w:ascii="Palatino Linotype" w:eastAsia="Palatino Linotype" w:hAnsi="Palatino Linotype" w:cs="Palatino Linotype"/>
          <w:b/>
          <w:i/>
          <w:u w:val="single"/>
        </w:rPr>
        <w:t xml:space="preserve">Bajo ninguna circunstancia podrá invocarse el carácter de reservado cuando: </w:t>
      </w:r>
    </w:p>
    <w:p w14:paraId="356254D1" w14:textId="77777777" w:rsidR="00EA0A08" w:rsidRPr="007B4FB5" w:rsidRDefault="00EA0A08" w:rsidP="00EA0A08">
      <w:pPr>
        <w:widowControl w:val="0"/>
        <w:ind w:left="567" w:right="616"/>
        <w:jc w:val="both"/>
        <w:rPr>
          <w:rFonts w:ascii="Palatino Linotype" w:eastAsia="Palatino Linotype" w:hAnsi="Palatino Linotype" w:cs="Palatino Linotype"/>
          <w:i/>
        </w:rPr>
      </w:pPr>
      <w:r w:rsidRPr="007B4FB5">
        <w:rPr>
          <w:rFonts w:ascii="Palatino Linotype" w:eastAsia="Palatino Linotype" w:hAnsi="Palatino Linotype" w:cs="Palatino Linotype"/>
          <w:b/>
          <w:i/>
        </w:rPr>
        <w:t>I.</w:t>
      </w:r>
      <w:r w:rsidRPr="007B4FB5">
        <w:rPr>
          <w:rFonts w:ascii="Palatino Linotype" w:eastAsia="Palatino Linotype" w:hAnsi="Palatino Linotype" w:cs="Palatino Linotype"/>
          <w:i/>
        </w:rPr>
        <w:t xml:space="preserve"> Se trate de violaciones graves de derechos humanos, calificada así por autoridad competente; </w:t>
      </w:r>
    </w:p>
    <w:p w14:paraId="185CAEA5" w14:textId="77777777" w:rsidR="00EA0A08" w:rsidRPr="007B4FB5" w:rsidRDefault="00EA0A08" w:rsidP="00EA0A08">
      <w:pPr>
        <w:widowControl w:val="0"/>
        <w:ind w:left="567" w:right="616"/>
        <w:jc w:val="both"/>
        <w:rPr>
          <w:rFonts w:ascii="Palatino Linotype" w:eastAsia="Palatino Linotype" w:hAnsi="Palatino Linotype" w:cs="Palatino Linotype"/>
          <w:i/>
        </w:rPr>
      </w:pPr>
      <w:r w:rsidRPr="007B4FB5">
        <w:rPr>
          <w:rFonts w:ascii="Palatino Linotype" w:eastAsia="Palatino Linotype" w:hAnsi="Palatino Linotype" w:cs="Palatino Linotype"/>
          <w:b/>
          <w:i/>
        </w:rPr>
        <w:t>II</w:t>
      </w:r>
      <w:r w:rsidRPr="007B4FB5">
        <w:rPr>
          <w:rFonts w:ascii="Palatino Linotype" w:eastAsia="Palatino Linotype" w:hAnsi="Palatino Linotype" w:cs="Palatino Linotype"/>
          <w:i/>
        </w:rPr>
        <w:t xml:space="preserve">. Se trate de la investigación de posibles violaciones graves de derechos humanos aun cuando no exista pronunciamiento previo de autoridad competente, cuando se </w:t>
      </w:r>
      <w:r w:rsidRPr="007B4FB5">
        <w:rPr>
          <w:rFonts w:ascii="Palatino Linotype" w:eastAsia="Palatino Linotype" w:hAnsi="Palatino Linotype" w:cs="Palatino Linotype"/>
          <w:i/>
        </w:rPr>
        <w:lastRenderedPageBreak/>
        <w:t xml:space="preserve">determine, a partir de criterios cuantitativos y cualitativos la trascendencia social de las violaciones; </w:t>
      </w:r>
    </w:p>
    <w:p w14:paraId="36A4A5D1" w14:textId="77777777" w:rsidR="00EA0A08" w:rsidRPr="007B4FB5" w:rsidRDefault="00EA0A08" w:rsidP="00EA0A08">
      <w:pPr>
        <w:widowControl w:val="0"/>
        <w:ind w:left="567" w:right="616"/>
        <w:jc w:val="both"/>
        <w:rPr>
          <w:rFonts w:ascii="Palatino Linotype" w:eastAsia="Palatino Linotype" w:hAnsi="Palatino Linotype" w:cs="Palatino Linotype"/>
          <w:i/>
        </w:rPr>
      </w:pPr>
      <w:r w:rsidRPr="007B4FB5">
        <w:rPr>
          <w:rFonts w:ascii="Palatino Linotype" w:eastAsia="Palatino Linotype" w:hAnsi="Palatino Linotype" w:cs="Palatino Linotype"/>
          <w:b/>
          <w:i/>
        </w:rPr>
        <w:t>III</w:t>
      </w:r>
      <w:r w:rsidRPr="007B4FB5">
        <w:rPr>
          <w:rFonts w:ascii="Palatino Linotype" w:eastAsia="Palatino Linotype" w:hAnsi="Palatino Linotype" w:cs="Palatino Linotype"/>
          <w:i/>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657A0D67" w14:textId="77777777" w:rsidR="00EA0A08" w:rsidRPr="007B4FB5" w:rsidRDefault="00EA0A08" w:rsidP="00EA0A08">
      <w:pPr>
        <w:widowControl w:val="0"/>
        <w:ind w:left="567" w:right="616"/>
        <w:jc w:val="both"/>
        <w:rPr>
          <w:rFonts w:ascii="Palatino Linotype" w:eastAsia="Palatino Linotype" w:hAnsi="Palatino Linotype" w:cs="Palatino Linotype"/>
          <w:b/>
          <w:i/>
        </w:rPr>
      </w:pPr>
      <w:r w:rsidRPr="007B4FB5">
        <w:rPr>
          <w:rFonts w:ascii="Palatino Linotype" w:eastAsia="Palatino Linotype" w:hAnsi="Palatino Linotype" w:cs="Palatino Linotype"/>
          <w:b/>
          <w:i/>
        </w:rPr>
        <w:t>IV. Se trate de información relacionada con actos de corrupción de conformidad con las disposiciones jurídicas aplicables</w:t>
      </w:r>
      <w:proofErr w:type="gramStart"/>
      <w:r w:rsidRPr="007B4FB5">
        <w:rPr>
          <w:rFonts w:ascii="Palatino Linotype" w:eastAsia="Palatino Linotype" w:hAnsi="Palatino Linotype" w:cs="Palatino Linotype"/>
          <w:b/>
          <w:i/>
        </w:rPr>
        <w:t>.”(</w:t>
      </w:r>
      <w:proofErr w:type="gramEnd"/>
      <w:r w:rsidRPr="007B4FB5">
        <w:rPr>
          <w:rFonts w:ascii="Palatino Linotype" w:eastAsia="Palatino Linotype" w:hAnsi="Palatino Linotype" w:cs="Palatino Linotype"/>
          <w:b/>
          <w:i/>
        </w:rPr>
        <w:t>Sic)</w:t>
      </w:r>
    </w:p>
    <w:p w14:paraId="29B6860A" w14:textId="77777777" w:rsidR="00EA0A08" w:rsidRPr="007B4FB5" w:rsidRDefault="00EA0A08" w:rsidP="00EA0A08">
      <w:pPr>
        <w:spacing w:after="0" w:line="360" w:lineRule="auto"/>
        <w:jc w:val="both"/>
        <w:rPr>
          <w:rFonts w:ascii="Palatino Linotype" w:eastAsia="Calibri" w:hAnsi="Palatino Linotype" w:cs="Arial"/>
          <w:sz w:val="24"/>
        </w:rPr>
      </w:pPr>
    </w:p>
    <w:p w14:paraId="25A5EE05" w14:textId="751E1455" w:rsidR="00072BBB" w:rsidRPr="007B4FB5" w:rsidRDefault="00EA0A08" w:rsidP="00072BBB">
      <w:pPr>
        <w:pStyle w:val="Prrafodelista"/>
        <w:numPr>
          <w:ilvl w:val="0"/>
          <w:numId w:val="9"/>
        </w:numPr>
        <w:spacing w:after="0" w:line="360" w:lineRule="auto"/>
        <w:ind w:left="0" w:firstLine="0"/>
        <w:jc w:val="both"/>
        <w:rPr>
          <w:rFonts w:ascii="Palatino Linotype" w:eastAsia="Calibri" w:hAnsi="Palatino Linotype" w:cs="Arial"/>
          <w:sz w:val="24"/>
        </w:rPr>
      </w:pPr>
      <w:r w:rsidRPr="007B4FB5">
        <w:rPr>
          <w:rFonts w:ascii="Palatino Linotype" w:eastAsia="Calibri" w:hAnsi="Palatino Linotype" w:cs="Arial"/>
          <w:sz w:val="24"/>
        </w:rPr>
        <w:t>Es importante mencionar que, e</w:t>
      </w:r>
      <w:r w:rsidR="00072BBB" w:rsidRPr="007B4FB5">
        <w:rPr>
          <w:rFonts w:ascii="Palatino Linotype" w:eastAsia="MS Mincho" w:hAnsi="Palatino Linotype"/>
          <w:sz w:val="24"/>
        </w:rPr>
        <w:t xml:space="preserve">l acceso a la información es un derecho humano </w:t>
      </w:r>
      <w:r w:rsidR="00072BBB" w:rsidRPr="007B4FB5">
        <w:rPr>
          <w:rFonts w:ascii="Palatino Linotype" w:eastAsia="MS Mincho" w:hAnsi="Palatino Linotype"/>
          <w:b/>
          <w:sz w:val="24"/>
        </w:rPr>
        <w:t>constitucional y convencionalmente reconocido</w:t>
      </w:r>
      <w:r w:rsidR="00072BBB" w:rsidRPr="007B4FB5">
        <w:rPr>
          <w:rFonts w:ascii="Palatino Linotype" w:eastAsia="MS Mincho" w:hAnsi="Palatino Linotype"/>
          <w:sz w:val="24"/>
        </w:rPr>
        <w:t xml:space="preserve"> y para tal efecto </w:t>
      </w:r>
      <w:r w:rsidR="00072BBB" w:rsidRPr="007B4FB5">
        <w:rPr>
          <w:rFonts w:ascii="Palatino Linotype" w:eastAsia="Calibri" w:hAnsi="Palatino Linotype"/>
          <w:sz w:val="24"/>
          <w:lang w:val="es-ES"/>
        </w:rPr>
        <w:t xml:space="preserve">el párrafo tercero del artículo primero de la Constitución Política de los Estados Unidos Mexicanos establece el deber de todas las autoridades, </w:t>
      </w:r>
      <w:r w:rsidR="00072BBB" w:rsidRPr="007B4FB5">
        <w:rPr>
          <w:rFonts w:ascii="Palatino Linotype" w:eastAsia="Calibri" w:hAnsi="Palatino Linotype"/>
          <w:i/>
          <w:sz w:val="24"/>
          <w:lang w:val="es-ES"/>
        </w:rPr>
        <w:t xml:space="preserve">en el ámbito de sus atribuciones, de promover, respetar, proteger y </w:t>
      </w:r>
      <w:r w:rsidR="00072BBB" w:rsidRPr="007B4FB5">
        <w:rPr>
          <w:rFonts w:ascii="Palatino Linotype" w:eastAsia="Calibri" w:hAnsi="Palatino Linotype"/>
          <w:b/>
          <w:i/>
          <w:sz w:val="24"/>
          <w:lang w:val="es-ES"/>
        </w:rPr>
        <w:t>garantizar</w:t>
      </w:r>
      <w:r w:rsidR="00072BBB" w:rsidRPr="007B4FB5">
        <w:rPr>
          <w:rFonts w:ascii="Palatino Linotype" w:eastAsia="Calibri" w:hAnsi="Palatino Linotype"/>
          <w:i/>
          <w:sz w:val="24"/>
          <w:lang w:val="es-ES"/>
        </w:rPr>
        <w:t xml:space="preserve"> los derechos humanos. </w:t>
      </w:r>
      <w:r w:rsidR="00072BBB" w:rsidRPr="007B4FB5">
        <w:rPr>
          <w:rFonts w:ascii="Palatino Linotype" w:eastAsia="Calibri" w:hAnsi="Palatino Linotype"/>
          <w:sz w:val="24"/>
          <w:lang w:val="es-ES"/>
        </w:rPr>
        <w:t>Por su parte,</w:t>
      </w:r>
      <w:r w:rsidR="00072BBB" w:rsidRPr="007B4FB5">
        <w:rPr>
          <w:rFonts w:ascii="Palatino Linotype" w:eastAsia="Calibri" w:hAnsi="Palatino Linotype"/>
          <w:i/>
          <w:sz w:val="24"/>
          <w:lang w:val="es-ES"/>
        </w:rPr>
        <w:t xml:space="preserve"> </w:t>
      </w:r>
      <w:r w:rsidR="00072BBB" w:rsidRPr="007B4FB5">
        <w:rPr>
          <w:rFonts w:ascii="Palatino Linotype" w:eastAsia="Calibri" w:hAnsi="Palatino Linotype"/>
          <w:sz w:val="24"/>
          <w:lang w:val="es-ES"/>
        </w:rPr>
        <w:t>la Ley de Transparencia y Acceso a la Información Pública del Estado de México y Municipios prevé establece que</w:t>
      </w:r>
      <w:r w:rsidR="00072BBB" w:rsidRPr="007B4FB5">
        <w:rPr>
          <w:rFonts w:ascii="Palatino Linotype" w:eastAsia="Calibri" w:hAnsi="Palatino Linotype"/>
          <w:b/>
          <w:i/>
          <w:sz w:val="24"/>
          <w:lang w:val="es-ES"/>
        </w:rPr>
        <w:t xml:space="preserve"> e</w:t>
      </w:r>
      <w:r w:rsidR="00072BBB" w:rsidRPr="007B4FB5">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00072BBB" w:rsidRPr="007B4FB5">
        <w:rPr>
          <w:rStyle w:val="Refdenotaalpie"/>
          <w:rFonts w:ascii="Palatino Linotype" w:hAnsi="Palatino Linotype"/>
          <w:i/>
          <w:sz w:val="24"/>
        </w:rPr>
        <w:footnoteReference w:id="1"/>
      </w:r>
      <w:r w:rsidR="00072BBB" w:rsidRPr="007B4FB5">
        <w:rPr>
          <w:rFonts w:ascii="Palatino Linotype" w:hAnsi="Palatino Linotype"/>
          <w:i/>
          <w:sz w:val="24"/>
        </w:rPr>
        <w:t xml:space="preserve">, </w:t>
      </w:r>
      <w:r w:rsidR="00072BBB" w:rsidRPr="007B4FB5">
        <w:rPr>
          <w:rFonts w:ascii="Palatino Linotype" w:hAnsi="Palatino Linotype"/>
          <w:sz w:val="24"/>
        </w:rPr>
        <w:t>asimismo establece</w:t>
      </w:r>
      <w:r w:rsidR="00072BBB" w:rsidRPr="007B4FB5">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9A90085" w14:textId="77777777" w:rsidR="00072BBB" w:rsidRPr="007B4FB5" w:rsidRDefault="00072BBB" w:rsidP="00072BBB">
      <w:pPr>
        <w:pStyle w:val="Prrafodelista"/>
        <w:spacing w:line="360" w:lineRule="auto"/>
        <w:ind w:left="0"/>
        <w:jc w:val="both"/>
        <w:rPr>
          <w:rFonts w:ascii="Palatino Linotype" w:eastAsia="Calibri" w:hAnsi="Palatino Linotype" w:cs="Arial"/>
          <w:sz w:val="24"/>
        </w:rPr>
      </w:pPr>
    </w:p>
    <w:p w14:paraId="1385CBD4" w14:textId="77777777" w:rsidR="00072BBB" w:rsidRPr="007B4FB5" w:rsidRDefault="00072BBB" w:rsidP="00072BBB">
      <w:pPr>
        <w:pStyle w:val="Prrafodelista"/>
        <w:numPr>
          <w:ilvl w:val="0"/>
          <w:numId w:val="9"/>
        </w:numPr>
        <w:tabs>
          <w:tab w:val="left" w:pos="426"/>
        </w:tabs>
        <w:spacing w:before="240" w:after="360" w:line="360" w:lineRule="auto"/>
        <w:ind w:left="0" w:firstLine="0"/>
        <w:jc w:val="both"/>
        <w:rPr>
          <w:rFonts w:ascii="Palatino Linotype" w:hAnsi="Palatino Linotype" w:cs="Arial"/>
          <w:i/>
          <w:color w:val="000000" w:themeColor="text1"/>
          <w:sz w:val="24"/>
        </w:rPr>
      </w:pPr>
      <w:r w:rsidRPr="007B4FB5">
        <w:rPr>
          <w:rFonts w:ascii="Palatino Linotype" w:hAnsi="Palatino Linotype"/>
          <w:color w:val="000000" w:themeColor="text1"/>
          <w:sz w:val="24"/>
        </w:rPr>
        <w:lastRenderedPageBreak/>
        <w:t xml:space="preserve">Resulta necesario referir que, el </w:t>
      </w:r>
      <w:r w:rsidRPr="007B4FB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B4FB5">
        <w:rPr>
          <w:rFonts w:ascii="Palatino Linotype" w:eastAsia="Calibri" w:hAnsi="Palatino Linotype" w:cs="Arial"/>
          <w:b/>
          <w:sz w:val="24"/>
        </w:rPr>
        <w:t>los Sujetos Obligados deberán documentar todo acto que se derive del ejercicio de sus facultades, competencias o funciones,</w:t>
      </w:r>
      <w:r w:rsidRPr="007B4FB5">
        <w:rPr>
          <w:rFonts w:ascii="Palatino Linotype" w:eastAsia="Calibri" w:hAnsi="Palatino Linotype" w:cs="Arial"/>
          <w:sz w:val="24"/>
        </w:rPr>
        <w:t xml:space="preserve"> considerando desde su origen la eventual publicidad y reutilización de la información que generen, posean o administren.</w:t>
      </w:r>
    </w:p>
    <w:p w14:paraId="7B02D700" w14:textId="77777777" w:rsidR="00072BBB" w:rsidRPr="007B4FB5" w:rsidRDefault="00072BBB" w:rsidP="00072BBB">
      <w:pPr>
        <w:pStyle w:val="Prrafodelista"/>
        <w:tabs>
          <w:tab w:val="left" w:pos="851"/>
        </w:tabs>
        <w:spacing w:line="360" w:lineRule="auto"/>
        <w:ind w:left="0" w:right="49"/>
        <w:jc w:val="both"/>
        <w:rPr>
          <w:rFonts w:ascii="Palatino Linotype" w:hAnsi="Palatino Linotype"/>
          <w:sz w:val="24"/>
          <w:lang w:val="es-ES"/>
        </w:rPr>
      </w:pPr>
    </w:p>
    <w:p w14:paraId="36FF1968" w14:textId="7A7E6152" w:rsidR="00072BBB" w:rsidRPr="007B4FB5" w:rsidRDefault="00EA0A08" w:rsidP="00072BBB">
      <w:pPr>
        <w:pStyle w:val="Prrafodelista"/>
        <w:numPr>
          <w:ilvl w:val="0"/>
          <w:numId w:val="9"/>
        </w:numPr>
        <w:tabs>
          <w:tab w:val="left" w:pos="851"/>
        </w:tabs>
        <w:spacing w:after="0" w:line="360" w:lineRule="auto"/>
        <w:ind w:left="0" w:right="49" w:firstLine="0"/>
        <w:jc w:val="both"/>
        <w:rPr>
          <w:rFonts w:ascii="Palatino Linotype" w:hAnsi="Palatino Linotype"/>
          <w:sz w:val="24"/>
          <w:lang w:val="es-ES"/>
        </w:rPr>
      </w:pPr>
      <w:r w:rsidRPr="007B4FB5">
        <w:rPr>
          <w:rFonts w:ascii="Palatino Linotype" w:hAnsi="Palatino Linotype"/>
          <w:sz w:val="24"/>
          <w:lang w:val="es-ES"/>
        </w:rPr>
        <w:t xml:space="preserve">Toda la información en posesión de los Sujetos Obligados, por su naturaleza es información pública, pues reviste el interés colectivo de conocer el actuar de nuestras autoridades, en un ejercicio de transparencia y rendición de cuentas en su máxima expresión. </w:t>
      </w:r>
      <w:r w:rsidR="00072BBB" w:rsidRPr="007B4FB5">
        <w:rPr>
          <w:rFonts w:ascii="Palatino Linotype" w:hAnsi="Palatino Linotype"/>
          <w:sz w:val="24"/>
          <w:lang w:val="es-ES"/>
        </w:rPr>
        <w:t>Robustece lo anterior la Tesis aislada identificada con la clave I.</w:t>
      </w:r>
      <w:proofErr w:type="gramStart"/>
      <w:r w:rsidR="00072BBB" w:rsidRPr="007B4FB5">
        <w:rPr>
          <w:rFonts w:ascii="Palatino Linotype" w:hAnsi="Palatino Linotype"/>
          <w:sz w:val="24"/>
          <w:lang w:val="es-ES"/>
        </w:rPr>
        <w:t>4º.A.</w:t>
      </w:r>
      <w:proofErr w:type="gramEnd"/>
      <w:r w:rsidR="00072BBB" w:rsidRPr="007B4FB5">
        <w:rPr>
          <w:rFonts w:ascii="Palatino Linotype" w:hAnsi="Palatino Linotype"/>
          <w:sz w:val="24"/>
          <w:lang w:val="es-ES"/>
        </w:rPr>
        <w:t>40 A del Cuarto Tribunal colegiado en Materia Administrativa del Primer Circuito, publicada en el Seminario Judicial de la Federación y su Gaceta en el libro XVIII, Marzo 2013, Página 1899.</w:t>
      </w:r>
    </w:p>
    <w:p w14:paraId="737E6EBD" w14:textId="77777777" w:rsidR="00072BBB" w:rsidRPr="007B4FB5" w:rsidRDefault="00072BBB" w:rsidP="00072BBB">
      <w:pPr>
        <w:pStyle w:val="Prrafodelista"/>
        <w:spacing w:line="360" w:lineRule="auto"/>
        <w:rPr>
          <w:rFonts w:ascii="Palatino Linotype" w:hAnsi="Palatino Linotype"/>
          <w:lang w:val="es-ES"/>
        </w:rPr>
      </w:pPr>
    </w:p>
    <w:p w14:paraId="546B3F32" w14:textId="77777777" w:rsidR="00072BBB" w:rsidRPr="007B4FB5" w:rsidRDefault="00072BBB" w:rsidP="00072BBB">
      <w:pPr>
        <w:pStyle w:val="Prrafodelista"/>
        <w:tabs>
          <w:tab w:val="left" w:pos="851"/>
        </w:tabs>
        <w:spacing w:line="360" w:lineRule="auto"/>
        <w:ind w:left="567" w:right="567"/>
        <w:jc w:val="both"/>
        <w:rPr>
          <w:rFonts w:ascii="Palatino Linotype" w:hAnsi="Palatino Linotype"/>
          <w:i/>
        </w:rPr>
      </w:pPr>
      <w:r w:rsidRPr="007B4FB5">
        <w:rPr>
          <w:rFonts w:ascii="Palatino Linotype" w:hAnsi="Palatino Linotype"/>
          <w:b/>
          <w:i/>
        </w:rPr>
        <w:t>ACCESO A LA INFORMACIÓN. IMPLICACIÓN DEL PRINCIPIO DE MÁXIMA PUBLICIDAD EN EL DERECHO FUNDAMENTAL RELATIVO.</w:t>
      </w:r>
      <w:r w:rsidRPr="007B4FB5">
        <w:rPr>
          <w:rFonts w:ascii="Palatino Linotype" w:hAnsi="Palatino Linotype"/>
          <w:i/>
        </w:rPr>
        <w:t xml:space="preserve"> Del artículo 6o. de la Constitución Política de los Estados Unidos Mexicanos se advierte que el Estado Mexicano está constreñido a publicitar sus actos, </w:t>
      </w:r>
      <w:r w:rsidRPr="007B4FB5">
        <w:rPr>
          <w:rFonts w:ascii="Palatino Linotype" w:hAnsi="Palatino Linotype"/>
          <w:b/>
          <w:i/>
        </w:rPr>
        <w:t>pues se reconoce el derecho fundamental de los ciudadanos a acceder a la información que obra en poder de la autoridad,</w:t>
      </w:r>
      <w:r w:rsidRPr="007B4FB5">
        <w:rPr>
          <w:rFonts w:ascii="Palatino Linotype" w:hAnsi="Palatino Linotype"/>
          <w:i/>
        </w:rPr>
        <w:t xml:space="preserve"> que como lo ha expuesto el Pleno de la Suprema Corte de Justicia de la </w:t>
      </w:r>
      <w:r w:rsidRPr="007B4FB5">
        <w:rPr>
          <w:rFonts w:ascii="Palatino Linotype" w:hAnsi="Palatino Linotype"/>
          <w:i/>
        </w:rPr>
        <w:lastRenderedPageBreak/>
        <w:t xml:space="preserve">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16448CB" w14:textId="77777777" w:rsidR="00072BBB" w:rsidRPr="007B4FB5" w:rsidRDefault="00072BBB" w:rsidP="00072BBB">
      <w:pPr>
        <w:pStyle w:val="Prrafodelista"/>
        <w:tabs>
          <w:tab w:val="left" w:pos="851"/>
        </w:tabs>
        <w:spacing w:line="360" w:lineRule="auto"/>
        <w:ind w:left="567" w:right="567"/>
        <w:jc w:val="both"/>
        <w:rPr>
          <w:rFonts w:ascii="Palatino Linotype" w:hAnsi="Palatino Linotype"/>
          <w:i/>
        </w:rPr>
      </w:pPr>
    </w:p>
    <w:p w14:paraId="05EFD19C" w14:textId="77777777" w:rsidR="00072BBB" w:rsidRPr="007B4FB5" w:rsidRDefault="00072BBB" w:rsidP="00072BBB">
      <w:pPr>
        <w:pStyle w:val="Prrafodelista"/>
        <w:numPr>
          <w:ilvl w:val="0"/>
          <w:numId w:val="9"/>
        </w:numPr>
        <w:tabs>
          <w:tab w:val="left" w:pos="851"/>
        </w:tabs>
        <w:spacing w:before="240" w:after="240" w:line="360" w:lineRule="auto"/>
        <w:ind w:left="0" w:right="49" w:firstLine="0"/>
        <w:jc w:val="both"/>
        <w:rPr>
          <w:rFonts w:ascii="Palatino Linotype" w:hAnsi="Palatino Linotype" w:cs="Arial"/>
          <w:sz w:val="32"/>
          <w:lang w:val="es-ES"/>
        </w:rPr>
      </w:pPr>
      <w:r w:rsidRPr="007B4FB5">
        <w:rPr>
          <w:rFonts w:ascii="Palatino Linotype" w:hAnsi="Palatino Linotype"/>
          <w:sz w:val="24"/>
          <w:lang w:val="es-ES"/>
        </w:rPr>
        <w:t xml:space="preserve">El derecho de acceso a la información encuentra su materia elemental en los documentos, y la Ley de Transparencia </w:t>
      </w:r>
      <w:proofErr w:type="gramStart"/>
      <w:r w:rsidRPr="007B4FB5">
        <w:rPr>
          <w:rFonts w:ascii="Palatino Linotype" w:hAnsi="Palatino Linotype"/>
          <w:sz w:val="24"/>
          <w:lang w:val="es-ES"/>
        </w:rPr>
        <w:t>local  nos</w:t>
      </w:r>
      <w:proofErr w:type="gramEnd"/>
      <w:r w:rsidRPr="007B4FB5">
        <w:rPr>
          <w:rFonts w:ascii="Palatino Linotype" w:hAnsi="Palatino Linotype"/>
          <w:sz w:val="24"/>
          <w:lang w:val="es-ES"/>
        </w:rPr>
        <w:t xml:space="preserve"> brinda el siguiente concepto, para darnos un mejor panorama:</w:t>
      </w:r>
    </w:p>
    <w:p w14:paraId="5C4907F8" w14:textId="77777777" w:rsidR="00072BBB" w:rsidRPr="007B4FB5" w:rsidRDefault="00072BBB" w:rsidP="00072BBB">
      <w:pPr>
        <w:autoSpaceDE w:val="0"/>
        <w:autoSpaceDN w:val="0"/>
        <w:adjustRightInd w:val="0"/>
        <w:spacing w:line="360" w:lineRule="auto"/>
        <w:ind w:left="567" w:right="567"/>
        <w:jc w:val="both"/>
        <w:rPr>
          <w:rFonts w:ascii="Palatino Linotype" w:hAnsi="Palatino Linotype"/>
          <w:i/>
          <w:sz w:val="28"/>
          <w:lang w:val="es-ES"/>
        </w:rPr>
      </w:pPr>
      <w:r w:rsidRPr="007B4FB5">
        <w:rPr>
          <w:rFonts w:ascii="Palatino Linotype" w:hAnsi="Palatino Linotype" w:cs="Bookman Old Style,Bold"/>
          <w:b/>
          <w:bCs/>
          <w:i/>
          <w:szCs w:val="20"/>
        </w:rPr>
        <w:t xml:space="preserve">XI. Documento: </w:t>
      </w:r>
      <w:r w:rsidRPr="007B4FB5">
        <w:rPr>
          <w:rFonts w:ascii="Palatino Linotype" w:hAnsi="Palatino Linotype" w:cs="Bookman Old Style"/>
          <w:b/>
          <w:i/>
          <w:szCs w:val="20"/>
        </w:rPr>
        <w:t>Los expedientes</w:t>
      </w:r>
      <w:r w:rsidRPr="007B4FB5">
        <w:rPr>
          <w:rFonts w:ascii="Palatino Linotype" w:hAnsi="Palatino Linotype" w:cs="Bookman Old Style"/>
          <w:i/>
          <w:szCs w:val="20"/>
        </w:rPr>
        <w:t xml:space="preserve">, reportes, estudios, actas, resoluciones, oficios, correspondencia, acuerdos, directivas, directrices, circulares, contratos, convenios, instructivos, notas, memorandos, estadísticas o bien, </w:t>
      </w:r>
      <w:r w:rsidRPr="007B4FB5">
        <w:rPr>
          <w:rFonts w:ascii="Palatino Linotype" w:hAnsi="Palatino Linotype" w:cs="Bookman Old Style"/>
          <w:b/>
          <w:i/>
          <w:szCs w:val="20"/>
        </w:rPr>
        <w:t>cualquier otro registro</w:t>
      </w:r>
      <w:r w:rsidRPr="007B4FB5">
        <w:rPr>
          <w:rFonts w:ascii="Palatino Linotype" w:hAnsi="Palatino Linotype" w:cs="Bookman Old Style"/>
          <w:i/>
          <w:szCs w:val="20"/>
        </w:rPr>
        <w:t xml:space="preserve"> que </w:t>
      </w:r>
      <w:r w:rsidRPr="007B4FB5">
        <w:rPr>
          <w:rFonts w:ascii="Palatino Linotype" w:hAnsi="Palatino Linotype" w:cs="Bookman Old Style"/>
          <w:i/>
          <w:szCs w:val="20"/>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B4FB5">
        <w:rPr>
          <w:rFonts w:ascii="Palatino Linotype" w:hAnsi="Palatino Linotype" w:cs="Bookman Old Style"/>
          <w:i/>
          <w:szCs w:val="20"/>
        </w:rPr>
        <w:t>impreso,  sonoro</w:t>
      </w:r>
      <w:proofErr w:type="gramEnd"/>
      <w:r w:rsidRPr="007B4FB5">
        <w:rPr>
          <w:rFonts w:ascii="Palatino Linotype" w:hAnsi="Palatino Linotype" w:cs="Bookman Old Style"/>
          <w:i/>
          <w:szCs w:val="20"/>
        </w:rPr>
        <w:t>, visual, electrónico, informático u holográfico;</w:t>
      </w:r>
    </w:p>
    <w:p w14:paraId="00D3420D" w14:textId="77777777" w:rsidR="00072BBB" w:rsidRPr="007B4FB5" w:rsidRDefault="00072BBB" w:rsidP="00072BBB">
      <w:pPr>
        <w:pStyle w:val="Prrafodelista"/>
        <w:numPr>
          <w:ilvl w:val="0"/>
          <w:numId w:val="9"/>
        </w:numPr>
        <w:tabs>
          <w:tab w:val="left" w:pos="851"/>
        </w:tabs>
        <w:spacing w:after="0" w:line="360" w:lineRule="auto"/>
        <w:ind w:left="0" w:right="49" w:firstLine="0"/>
        <w:jc w:val="both"/>
        <w:rPr>
          <w:rFonts w:ascii="Palatino Linotype" w:hAnsi="Palatino Linotype"/>
          <w:lang w:val="es-ES"/>
        </w:rPr>
      </w:pPr>
      <w:r w:rsidRPr="007B4FB5">
        <w:rPr>
          <w:rFonts w:ascii="Palatino Linotype" w:hAnsi="Palatino Linotype"/>
          <w:lang w:val="es-ES"/>
        </w:rPr>
        <w:t xml:space="preserve">Es así que, todos los actos de autoridad que realicen los Sujetos Obligados deben estar documentados y, </w:t>
      </w:r>
      <w:r w:rsidRPr="007B4FB5">
        <w:rPr>
          <w:rFonts w:ascii="Palatino Linotype" w:hAnsi="Palatino Linotype"/>
          <w:b/>
          <w:lang w:val="es-ES"/>
        </w:rPr>
        <w:t>bajo el más alto estándar de transparencia deberán poner toda la información que se encuentre en su posesión, a disposición de los particulares que la soliciten.</w:t>
      </w:r>
    </w:p>
    <w:p w14:paraId="2C7932FE" w14:textId="77777777" w:rsidR="001F4437" w:rsidRPr="007B4FB5" w:rsidRDefault="001F4437" w:rsidP="001F4437">
      <w:pPr>
        <w:pStyle w:val="Prrafodelista"/>
        <w:tabs>
          <w:tab w:val="left" w:pos="851"/>
        </w:tabs>
        <w:spacing w:after="0" w:line="360" w:lineRule="auto"/>
        <w:ind w:left="0" w:right="49"/>
        <w:jc w:val="both"/>
        <w:rPr>
          <w:rFonts w:ascii="Palatino Linotype" w:hAnsi="Palatino Linotype"/>
          <w:lang w:val="es-ES"/>
        </w:rPr>
      </w:pPr>
    </w:p>
    <w:p w14:paraId="6B613363" w14:textId="2CB01B8C" w:rsidR="00955528" w:rsidRPr="007B4FB5" w:rsidRDefault="00955528"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Una vez establecida la obligación de documentar todos los actos que se deriven de las facultades, atribuciones y competencias de los Sujetos Obligados, es necesario traer a contexto la Ley de Transparencia y Acceso a la Información Pública del Estado de México y Municipios, la cual establece lo siguiente:</w:t>
      </w:r>
    </w:p>
    <w:p w14:paraId="7B1D9635" w14:textId="77777777" w:rsidR="00955528" w:rsidRPr="007B4FB5" w:rsidRDefault="00955528" w:rsidP="00955528">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3F8B5F42" w14:textId="77777777"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7B4FB5">
        <w:rPr>
          <w:rFonts w:ascii="Palatino Linotype" w:hAnsi="Palatino Linotype"/>
          <w:i/>
        </w:rPr>
        <w:t xml:space="preserve">Artículo 1. La presente Ley es de orden público e interés general, es reglamentaria de los párrafos décimo séptimo, décimo octavo y décimo noveno del artículo 5 de la Constitución Política del Estado Libre y Soberano de México. </w:t>
      </w:r>
    </w:p>
    <w:p w14:paraId="7AE57C6D" w14:textId="77777777"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391872FB" w14:textId="60D2326D"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b/>
          <w:i/>
          <w:sz w:val="24"/>
          <w:szCs w:val="24"/>
          <w:u w:val="single"/>
          <w:lang w:val="es-ES" w:eastAsia="es-ES"/>
        </w:rPr>
      </w:pPr>
      <w:r w:rsidRPr="007B4FB5">
        <w:rPr>
          <w:rFonts w:ascii="Palatino Linotype" w:hAnsi="Palatino Linotype"/>
          <w:i/>
        </w:rPr>
        <w:t>Tiene por objeto establecer los principios, bases generales y procedimientos para tutelar y garantizar la transparencia</w:t>
      </w:r>
      <w:r w:rsidRPr="007B4FB5">
        <w:rPr>
          <w:rFonts w:ascii="Palatino Linotype" w:hAnsi="Palatino Linotype"/>
          <w:b/>
          <w:i/>
        </w:rPr>
        <w:t xml:space="preserve"> </w:t>
      </w:r>
      <w:r w:rsidRPr="007B4FB5">
        <w:rPr>
          <w:rFonts w:ascii="Palatino Linotype" w:hAnsi="Palatino Linotype"/>
          <w:b/>
          <w:i/>
          <w:u w:val="single"/>
        </w:rPr>
        <w:t>y el derecho humano de acceso a la información pública en posesión de los sujetos obligados</w:t>
      </w:r>
    </w:p>
    <w:p w14:paraId="50E352F7" w14:textId="283DAE59"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7B4FB5">
        <w:rPr>
          <w:rFonts w:ascii="Palatino Linotype" w:eastAsia="Calibri" w:hAnsi="Palatino Linotype" w:cs="Arial"/>
          <w:i/>
          <w:sz w:val="24"/>
          <w:szCs w:val="24"/>
          <w:lang w:val="es-ES" w:eastAsia="es-ES"/>
        </w:rPr>
        <w:t>…</w:t>
      </w:r>
    </w:p>
    <w:p w14:paraId="61565F33" w14:textId="77777777"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p>
    <w:p w14:paraId="498F23AF" w14:textId="4F4F6026"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7B4FB5">
        <w:rPr>
          <w:rFonts w:ascii="Palatino Linotype" w:hAnsi="Palatino Linotype"/>
          <w:b/>
          <w:i/>
          <w:u w:val="single"/>
        </w:rPr>
        <w:lastRenderedPageBreak/>
        <w:t>Artículo 7. El Estado de México garantizará el efectivo acceso de toda persona a la información en posesión de cualquier entidad</w:t>
      </w:r>
      <w:r w:rsidRPr="007B4FB5">
        <w:rPr>
          <w:rFonts w:ascii="Palatino Linotype" w:hAnsi="Palatino Linotype"/>
          <w:i/>
        </w:rPr>
        <w:t>,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358C998" w14:textId="77777777"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p>
    <w:p w14:paraId="332878D5" w14:textId="6F511051"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7B4FB5">
        <w:rPr>
          <w:rFonts w:ascii="Palatino Linotype" w:hAnsi="Palatino Linotype"/>
          <w:i/>
        </w:rPr>
        <w:t>Artículo 9. El Instituto deberá regir su funcionamiento de acuerdo a los siguientes principios:</w:t>
      </w:r>
    </w:p>
    <w:p w14:paraId="13EBF056" w14:textId="46FA66B7"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7B4FB5">
        <w:rPr>
          <w:rFonts w:ascii="Palatino Linotype" w:hAnsi="Palatino Linotype"/>
          <w:i/>
        </w:rPr>
        <w:t>…</w:t>
      </w:r>
    </w:p>
    <w:p w14:paraId="0F43481C" w14:textId="61804BD1"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7B4FB5">
        <w:rPr>
          <w:rFonts w:ascii="Palatino Linotype" w:hAnsi="Palatino Linotype"/>
          <w:b/>
          <w:i/>
          <w:u w:val="single"/>
        </w:rPr>
        <w:t>VII. Máxima Publicidad: Toda la información en posesión de los sujetos obligados será pública</w:t>
      </w:r>
      <w:r w:rsidRPr="007B4FB5">
        <w:rPr>
          <w:rFonts w:ascii="Palatino Linotype" w:hAnsi="Palatino Linotype"/>
          <w:i/>
        </w:rPr>
        <w:t>, completa, oportuna y accesible, sujeta a un claro régimen de excepciones que deberán estar definidas y ser además legítimas y estrictamente necesarias en una sociedad democrática;</w:t>
      </w:r>
    </w:p>
    <w:p w14:paraId="11E96AB1" w14:textId="3765213A"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7B4FB5">
        <w:rPr>
          <w:rFonts w:ascii="Palatino Linotype" w:hAnsi="Palatino Linotype"/>
          <w:i/>
        </w:rPr>
        <w:t>…</w:t>
      </w:r>
    </w:p>
    <w:p w14:paraId="69AD798D" w14:textId="489E6A6A"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b/>
          <w:i/>
          <w:u w:val="single"/>
        </w:rPr>
      </w:pPr>
      <w:r w:rsidRPr="007B4FB5">
        <w:rPr>
          <w:rFonts w:ascii="Palatino Linotype" w:hAnsi="Palatino Linotype"/>
          <w:b/>
          <w:i/>
        </w:rPr>
        <w:t>Artículo 15. Toda persona tiene derecho de acceso a la información</w:t>
      </w:r>
      <w:r w:rsidRPr="007B4FB5">
        <w:rPr>
          <w:rFonts w:ascii="Palatino Linotype" w:hAnsi="Palatino Linotype"/>
          <w:i/>
        </w:rPr>
        <w:t xml:space="preserve">, sin discriminación, por motivo alguno, que menoscabe o anule la transparencia o acceso a la información pública </w:t>
      </w:r>
      <w:r w:rsidRPr="007B4FB5">
        <w:rPr>
          <w:rFonts w:ascii="Palatino Linotype" w:hAnsi="Palatino Linotype"/>
          <w:b/>
          <w:i/>
          <w:u w:val="single"/>
        </w:rPr>
        <w:t>en posesión de los sujetos obligados</w:t>
      </w:r>
    </w:p>
    <w:p w14:paraId="4AE20A01" w14:textId="4B382B22" w:rsidR="00955528" w:rsidRPr="007B4FB5"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b/>
          <w:i/>
          <w:u w:val="single"/>
        </w:rPr>
      </w:pPr>
      <w:r w:rsidRPr="007B4FB5">
        <w:rPr>
          <w:rFonts w:ascii="Palatino Linotype" w:hAnsi="Palatino Linotype"/>
          <w:b/>
          <w:i/>
        </w:rPr>
        <w:t>(Énfasis añadido)</w:t>
      </w:r>
    </w:p>
    <w:p w14:paraId="648BA156" w14:textId="77777777" w:rsidR="00955528" w:rsidRPr="007B4FB5" w:rsidRDefault="00955528" w:rsidP="00955528">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32A7667E" w14:textId="01CAE66F" w:rsidR="00955528" w:rsidRPr="007B4FB5" w:rsidRDefault="00955528"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 xml:space="preserve">De la interpretación sistemática y progresiva de los dispositivos legales transcritos, se determina que, no solo debe ser pública la información que se genere y administre en el ejercicio de sus funciones, atribuciones y competencias, sino también, reviste el principio de máxima publicidad sobre aquella información que, </w:t>
      </w:r>
      <w:r w:rsidRPr="007B4FB5">
        <w:rPr>
          <w:rFonts w:ascii="Palatino Linotype" w:eastAsia="Calibri" w:hAnsi="Palatino Linotype" w:cs="Arial"/>
          <w:b/>
          <w:sz w:val="24"/>
          <w:szCs w:val="24"/>
          <w:lang w:val="es-ES" w:eastAsia="es-ES"/>
        </w:rPr>
        <w:t>por cualquier motivo obre en los archivos del Sujeto O</w:t>
      </w:r>
      <w:r w:rsidR="000C04B2" w:rsidRPr="007B4FB5">
        <w:rPr>
          <w:rFonts w:ascii="Palatino Linotype" w:eastAsia="Calibri" w:hAnsi="Palatino Linotype" w:cs="Arial"/>
          <w:b/>
          <w:sz w:val="24"/>
          <w:szCs w:val="24"/>
          <w:lang w:val="es-ES" w:eastAsia="es-ES"/>
        </w:rPr>
        <w:t xml:space="preserve">bligado. </w:t>
      </w:r>
    </w:p>
    <w:p w14:paraId="544E6C19" w14:textId="77777777" w:rsidR="000C04B2" w:rsidRPr="007B4FB5" w:rsidRDefault="000C04B2" w:rsidP="000C04B2">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40A5FB9C" w14:textId="71DDBA13" w:rsidR="001F4437" w:rsidRPr="007B4FB5" w:rsidRDefault="001F4437"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 xml:space="preserve">Sin embargo, el derecho de acceso a la información no es absoluto, este puede ser restringido excepcionalmente cuando existan causales de clasificación como confidencial o reservada. En este caso en particular, el Sujeto Obligado a través de su respuesta e informe justificado, clasificó como reservada la información relativa al expediente requerido. </w:t>
      </w:r>
    </w:p>
    <w:p w14:paraId="3AB2787F" w14:textId="77777777" w:rsidR="001F4437" w:rsidRPr="007B4FB5" w:rsidRDefault="001F4437" w:rsidP="001F4437">
      <w:pPr>
        <w:pStyle w:val="Prrafodelista"/>
        <w:rPr>
          <w:rFonts w:ascii="Palatino Linotype" w:eastAsia="Calibri" w:hAnsi="Palatino Linotype" w:cs="Arial"/>
          <w:b/>
          <w:sz w:val="24"/>
          <w:szCs w:val="24"/>
          <w:lang w:val="es-ES" w:eastAsia="es-ES"/>
        </w:rPr>
      </w:pPr>
    </w:p>
    <w:p w14:paraId="3D8B3522" w14:textId="06F9539F" w:rsidR="001F4437" w:rsidRPr="007B4FB5" w:rsidRDefault="001F4437"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Si bien, por regla general, de acuerdo a las causales de clasificación contenidas en el artículo 140 de la Ley de Transparencia Local, al no estar debidamente concluido el expediente es que se comienzan a notar los elementos para su clasificación.</w:t>
      </w:r>
    </w:p>
    <w:p w14:paraId="6E4AA747" w14:textId="77777777" w:rsidR="001F4437" w:rsidRPr="007B4FB5" w:rsidRDefault="001F4437" w:rsidP="001F4437">
      <w:pPr>
        <w:pStyle w:val="Prrafodelista"/>
        <w:rPr>
          <w:rFonts w:ascii="Palatino Linotype" w:eastAsia="Calibri" w:hAnsi="Palatino Linotype" w:cs="Arial"/>
          <w:sz w:val="24"/>
          <w:szCs w:val="24"/>
          <w:lang w:val="es-ES" w:eastAsia="es-ES"/>
        </w:rPr>
      </w:pPr>
    </w:p>
    <w:p w14:paraId="20823225" w14:textId="3AE1D18F" w:rsidR="001F4437" w:rsidRPr="007B4FB5" w:rsidRDefault="001F4437"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 xml:space="preserve">Los Sujetos Obligados al elaborar el acuerdo correspondiente, deben valorar todos los elementos que rodean el caso, para verificar y determinar si resulta procedente su clasificación, o bien, </w:t>
      </w:r>
      <w:proofErr w:type="gramStart"/>
      <w:r w:rsidRPr="007B4FB5">
        <w:rPr>
          <w:rFonts w:ascii="Palatino Linotype" w:eastAsia="Calibri" w:hAnsi="Palatino Linotype" w:cs="Arial"/>
          <w:sz w:val="24"/>
          <w:szCs w:val="24"/>
          <w:lang w:val="es-ES" w:eastAsia="es-ES"/>
        </w:rPr>
        <w:t>si</w:t>
      </w:r>
      <w:proofErr w:type="gramEnd"/>
      <w:r w:rsidRPr="007B4FB5">
        <w:rPr>
          <w:rFonts w:ascii="Palatino Linotype" w:eastAsia="Calibri" w:hAnsi="Palatino Linotype" w:cs="Arial"/>
          <w:sz w:val="24"/>
          <w:szCs w:val="24"/>
          <w:lang w:val="es-ES" w:eastAsia="es-ES"/>
        </w:rPr>
        <w:t xml:space="preserve"> por el contrario, existen elementos que determinen su desclasificación, o en su caso, que la materia elemental actualice alguna causal de excepción a la reserva. Los elementos que se han enlistado, son los que se deben valorar previo a tomar la determinación de restringir el derecho de los particulares.</w:t>
      </w:r>
    </w:p>
    <w:p w14:paraId="3DCA7249" w14:textId="7D5F9A8F" w:rsidR="001F4437" w:rsidRPr="007B4FB5" w:rsidRDefault="001F4437"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 xml:space="preserve">Dicho lo anterior, no </w:t>
      </w:r>
      <w:r w:rsidR="005E2FE4" w:rsidRPr="007B4FB5">
        <w:rPr>
          <w:rFonts w:ascii="Palatino Linotype" w:eastAsia="Calibri" w:hAnsi="Palatino Linotype" w:cs="Arial"/>
          <w:sz w:val="24"/>
          <w:szCs w:val="24"/>
          <w:lang w:val="es-ES" w:eastAsia="es-ES"/>
        </w:rPr>
        <w:t>debe pasar</w:t>
      </w:r>
      <w:r w:rsidRPr="007B4FB5">
        <w:rPr>
          <w:rFonts w:ascii="Palatino Linotype" w:eastAsia="Calibri" w:hAnsi="Palatino Linotype" w:cs="Arial"/>
          <w:sz w:val="24"/>
          <w:szCs w:val="24"/>
          <w:lang w:val="es-ES" w:eastAsia="es-ES"/>
        </w:rPr>
        <w:t xml:space="preserve"> desapercibido</w:t>
      </w:r>
      <w:r w:rsidR="005E2FE4" w:rsidRPr="007B4FB5">
        <w:rPr>
          <w:rFonts w:ascii="Palatino Linotype" w:eastAsia="Calibri" w:hAnsi="Palatino Linotype" w:cs="Arial"/>
          <w:sz w:val="24"/>
          <w:szCs w:val="24"/>
          <w:lang w:val="es-ES" w:eastAsia="es-ES"/>
        </w:rPr>
        <w:t xml:space="preserve"> la naturaleza de los actos que dieron origen al inicio del procedimiento al expediente y que tuvieron como consecuencia, el fincamiento de responsabilidades a servidores públicos, al tratarse de un procedimiento resarcitorio. </w:t>
      </w:r>
    </w:p>
    <w:p w14:paraId="57B96DB6" w14:textId="77777777" w:rsidR="005E2FE4" w:rsidRPr="007B4FB5" w:rsidRDefault="005E2FE4" w:rsidP="005E2FE4">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0A3FB4B5" w14:textId="1DEFC4FA" w:rsidR="005E2FE4" w:rsidRPr="007B4FB5" w:rsidRDefault="005E2FE4"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lastRenderedPageBreak/>
        <w:t xml:space="preserve">La responsabilidad resarcitoria es aquella en la que incurren los servidores públicos que produzcan un daño o perjuicio, o ambos, estimables en dinero, a la hacienda pública. En este tipo de responsabilidades, el sujeto pasivo es el servidor público que directamente haya ejecutado el acto o incurra en las omisiones que originen alguna responsabilidad resarcitoria y subsidiariamente al servidor público jerárquicamente inmediato que, por índole de sus funciones, haya omitido la revisión o autorizado tales actos, por causas que impliquen dolo, culpa, negligencia por parte de los mismos. </w:t>
      </w:r>
    </w:p>
    <w:p w14:paraId="2FE6F6C2" w14:textId="77777777" w:rsidR="005E2FE4" w:rsidRPr="007B4FB5" w:rsidRDefault="005E2FE4" w:rsidP="005E2FE4">
      <w:pPr>
        <w:pStyle w:val="Prrafodelista"/>
        <w:rPr>
          <w:rFonts w:ascii="Palatino Linotype" w:eastAsia="Calibri" w:hAnsi="Palatino Linotype" w:cs="Arial"/>
          <w:sz w:val="24"/>
          <w:szCs w:val="24"/>
          <w:lang w:val="es-ES" w:eastAsia="es-ES"/>
        </w:rPr>
      </w:pPr>
    </w:p>
    <w:p w14:paraId="126460EC" w14:textId="3C6285F6" w:rsidR="005E2FE4" w:rsidRPr="007B4FB5" w:rsidRDefault="005E2FE4"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b/>
          <w:sz w:val="24"/>
          <w:szCs w:val="24"/>
          <w:lang w:val="es-ES" w:eastAsia="es-ES"/>
        </w:rPr>
      </w:pPr>
      <w:r w:rsidRPr="007B4FB5">
        <w:rPr>
          <w:rFonts w:ascii="Palatino Linotype" w:eastAsia="Calibri" w:hAnsi="Palatino Linotype" w:cs="Arial"/>
          <w:sz w:val="24"/>
          <w:szCs w:val="24"/>
          <w:lang w:val="es-ES" w:eastAsia="es-ES"/>
        </w:rPr>
        <w:t xml:space="preserve">Este tipo de responsabilidades, se derivan principalmente de actos de corrupción. Este último término </w:t>
      </w:r>
      <w:r w:rsidR="005F252F" w:rsidRPr="007B4FB5">
        <w:rPr>
          <w:rFonts w:ascii="Palatino Linotype" w:eastAsia="Calibri" w:hAnsi="Palatino Linotype" w:cs="Arial"/>
          <w:sz w:val="24"/>
          <w:szCs w:val="24"/>
          <w:lang w:val="es-ES" w:eastAsia="es-ES"/>
        </w:rPr>
        <w:t xml:space="preserve">no se encuentra contemplado en la Ley de Responsabilidades, ya que es un concepto muy amplio, </w:t>
      </w:r>
      <w:r w:rsidR="005F252F" w:rsidRPr="007B4FB5">
        <w:rPr>
          <w:rFonts w:ascii="Palatino Linotype" w:eastAsia="Calibri" w:hAnsi="Palatino Linotype" w:cs="Arial"/>
          <w:b/>
          <w:sz w:val="24"/>
          <w:szCs w:val="24"/>
          <w:lang w:val="es-ES" w:eastAsia="es-ES"/>
        </w:rPr>
        <w:t>los servidores públicos que realicen conductas ilegales, legalmente no son considerados corruptos, sino responsables.</w:t>
      </w:r>
    </w:p>
    <w:p w14:paraId="44798511" w14:textId="77777777" w:rsidR="005E2FE4" w:rsidRPr="007B4FB5" w:rsidRDefault="005E2FE4" w:rsidP="005E2FE4">
      <w:pPr>
        <w:pStyle w:val="Prrafodelista"/>
        <w:rPr>
          <w:rFonts w:ascii="Palatino Linotype" w:eastAsia="Calibri" w:hAnsi="Palatino Linotype" w:cs="Arial"/>
          <w:b/>
          <w:sz w:val="24"/>
          <w:szCs w:val="24"/>
          <w:lang w:val="es-ES" w:eastAsia="es-ES"/>
        </w:rPr>
      </w:pPr>
    </w:p>
    <w:p w14:paraId="01CC71D6" w14:textId="12BAC786" w:rsidR="005E2FE4" w:rsidRPr="007B4FB5" w:rsidRDefault="005F252F"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Para entender un poco sobre el concepto corrupción, este se identifica como el aprovechamiento indebido de una posición de poder público con el objeto de obtener un beneficio particular.</w:t>
      </w:r>
      <w:r w:rsidRPr="007B4FB5">
        <w:rPr>
          <w:rStyle w:val="Refdenotaalpie"/>
          <w:rFonts w:ascii="Palatino Linotype" w:eastAsia="Calibri" w:hAnsi="Palatino Linotype" w:cs="Arial"/>
          <w:sz w:val="24"/>
          <w:szCs w:val="24"/>
          <w:lang w:val="es-ES" w:eastAsia="es-ES"/>
        </w:rPr>
        <w:footnoteReference w:id="2"/>
      </w:r>
      <w:r w:rsidRPr="007B4FB5">
        <w:rPr>
          <w:rFonts w:ascii="Palatino Linotype" w:eastAsia="Calibri" w:hAnsi="Palatino Linotype" w:cs="Arial"/>
          <w:sz w:val="24"/>
          <w:szCs w:val="24"/>
          <w:lang w:val="es-ES" w:eastAsia="es-ES"/>
        </w:rPr>
        <w:t xml:space="preserve"> La corrupción gubernamental es altamente nociva, no sólo por el hecho de que el servidor público obtiene un beneficio extraordinario, sino sobre todo porque infringe una norma que en principio debería hacer cumplir.</w:t>
      </w:r>
    </w:p>
    <w:p w14:paraId="1B37C7F5" w14:textId="77777777" w:rsidR="005E2FE4" w:rsidRPr="007B4FB5" w:rsidRDefault="005E2FE4" w:rsidP="005E2FE4">
      <w:pPr>
        <w:pStyle w:val="Prrafodelista"/>
        <w:rPr>
          <w:rFonts w:ascii="Palatino Linotype" w:eastAsia="Calibri" w:hAnsi="Palatino Linotype" w:cs="Arial"/>
          <w:b/>
          <w:sz w:val="24"/>
          <w:szCs w:val="24"/>
          <w:lang w:val="es-ES" w:eastAsia="es-ES"/>
        </w:rPr>
      </w:pPr>
    </w:p>
    <w:p w14:paraId="38655F0B" w14:textId="77777777" w:rsidR="005F252F" w:rsidRPr="007B4FB5" w:rsidRDefault="005F252F" w:rsidP="005F252F">
      <w:pPr>
        <w:pStyle w:val="Prrafodelista"/>
        <w:rPr>
          <w:rFonts w:ascii="Palatino Linotype" w:eastAsia="Calibri" w:hAnsi="Palatino Linotype" w:cs="Arial"/>
          <w:sz w:val="24"/>
          <w:szCs w:val="24"/>
          <w:lang w:val="es-ES" w:eastAsia="es-ES"/>
        </w:rPr>
      </w:pPr>
    </w:p>
    <w:p w14:paraId="70F531E0" w14:textId="6AFCF9AB" w:rsidR="005F252F" w:rsidRPr="007B4FB5" w:rsidRDefault="005F252F"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lastRenderedPageBreak/>
        <w:t>El INEGI en el comunicado de prensa número 768/23 de fecha seis de diciembre de 2023 brinda las estadísticas a propósito del día internacional contra la corrupción nos brinda las siguientes estadísticas:</w:t>
      </w:r>
    </w:p>
    <w:p w14:paraId="060303DE" w14:textId="77777777" w:rsidR="005F252F" w:rsidRPr="007B4FB5" w:rsidRDefault="005F252F" w:rsidP="005F252F">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370A1FE4" w14:textId="77777777" w:rsidR="005F252F" w:rsidRPr="00655896" w:rsidRDefault="005F252F" w:rsidP="005F252F">
      <w:pPr>
        <w:pStyle w:val="Prrafodelista"/>
        <w:numPr>
          <w:ilvl w:val="0"/>
          <w:numId w:val="45"/>
        </w:numPr>
        <w:pBdr>
          <w:top w:val="nil"/>
          <w:left w:val="nil"/>
          <w:bottom w:val="nil"/>
          <w:right w:val="nil"/>
          <w:between w:val="nil"/>
          <w:bar w:val="nil"/>
        </w:pBdr>
        <w:spacing w:after="0" w:line="360" w:lineRule="auto"/>
        <w:jc w:val="both"/>
        <w:rPr>
          <w:rFonts w:ascii="Palatino Linotype" w:eastAsia="Calibri" w:hAnsi="Palatino Linotype" w:cs="Arial"/>
          <w:b/>
          <w:i/>
          <w:u w:val="single"/>
          <w:lang w:val="es-ES" w:eastAsia="es-ES"/>
        </w:rPr>
      </w:pPr>
      <w:r w:rsidRPr="00655896">
        <w:rPr>
          <w:rFonts w:ascii="Palatino Linotype" w:eastAsia="Calibri" w:hAnsi="Palatino Linotype" w:cs="Arial"/>
          <w:b/>
          <w:i/>
          <w:u w:val="single"/>
          <w:lang w:val="es-ES" w:eastAsia="es-ES"/>
        </w:rPr>
        <w:t>En 2023, 22 % de las personas adultas mencionó que la corrupción es uno de los tres problemas que más le preocupan.</w:t>
      </w:r>
    </w:p>
    <w:p w14:paraId="460FE3A6" w14:textId="77777777" w:rsidR="005F252F" w:rsidRPr="00655896" w:rsidRDefault="005F252F" w:rsidP="005F252F">
      <w:pPr>
        <w:pStyle w:val="Prrafodelista"/>
        <w:numPr>
          <w:ilvl w:val="0"/>
          <w:numId w:val="45"/>
        </w:numPr>
        <w:pBdr>
          <w:top w:val="nil"/>
          <w:left w:val="nil"/>
          <w:bottom w:val="nil"/>
          <w:right w:val="nil"/>
          <w:between w:val="nil"/>
          <w:bar w:val="nil"/>
        </w:pBdr>
        <w:spacing w:after="0" w:line="360" w:lineRule="auto"/>
        <w:jc w:val="both"/>
        <w:rPr>
          <w:rFonts w:ascii="Palatino Linotype" w:eastAsia="Calibri" w:hAnsi="Palatino Linotype" w:cs="Arial"/>
          <w:i/>
          <w:lang w:val="es-ES" w:eastAsia="es-ES"/>
        </w:rPr>
      </w:pPr>
      <w:r w:rsidRPr="00655896">
        <w:rPr>
          <w:rFonts w:ascii="Palatino Linotype" w:eastAsia="Calibri" w:hAnsi="Palatino Linotype" w:cs="Arial"/>
          <w:i/>
          <w:lang w:val="es-ES" w:eastAsia="es-ES"/>
        </w:rPr>
        <w:t xml:space="preserve">Durante 2021, 19.4 % de los hombres y 10.3 % de las mujeres mayores </w:t>
      </w:r>
      <w:proofErr w:type="gramStart"/>
      <w:r w:rsidRPr="00655896">
        <w:rPr>
          <w:rFonts w:ascii="Palatino Linotype" w:eastAsia="Calibri" w:hAnsi="Palatino Linotype" w:cs="Arial"/>
          <w:i/>
          <w:lang w:val="es-ES" w:eastAsia="es-ES"/>
        </w:rPr>
        <w:t>de  18</w:t>
      </w:r>
      <w:proofErr w:type="gramEnd"/>
      <w:r w:rsidRPr="00655896">
        <w:rPr>
          <w:rFonts w:ascii="Palatino Linotype" w:eastAsia="Calibri" w:hAnsi="Palatino Linotype" w:cs="Arial"/>
          <w:i/>
          <w:lang w:val="es-ES" w:eastAsia="es-ES"/>
        </w:rPr>
        <w:t xml:space="preserve"> años fueron víctimas de corrupción. </w:t>
      </w:r>
    </w:p>
    <w:p w14:paraId="3CB8211C" w14:textId="454E07BF" w:rsidR="005F252F" w:rsidRPr="00655896" w:rsidRDefault="005F252F" w:rsidP="005F252F">
      <w:pPr>
        <w:pStyle w:val="Prrafodelista"/>
        <w:numPr>
          <w:ilvl w:val="0"/>
          <w:numId w:val="45"/>
        </w:numPr>
        <w:pBdr>
          <w:top w:val="nil"/>
          <w:left w:val="nil"/>
          <w:bottom w:val="nil"/>
          <w:right w:val="nil"/>
          <w:between w:val="nil"/>
          <w:bar w:val="nil"/>
        </w:pBdr>
        <w:spacing w:after="0" w:line="360" w:lineRule="auto"/>
        <w:jc w:val="both"/>
        <w:rPr>
          <w:rFonts w:ascii="Palatino Linotype" w:eastAsia="Calibri" w:hAnsi="Palatino Linotype" w:cs="Arial"/>
          <w:i/>
          <w:lang w:val="es-ES" w:eastAsia="es-ES"/>
        </w:rPr>
      </w:pPr>
      <w:r w:rsidRPr="00655896">
        <w:rPr>
          <w:rFonts w:ascii="Palatino Linotype" w:eastAsia="Calibri" w:hAnsi="Palatino Linotype" w:cs="Arial"/>
          <w:i/>
          <w:lang w:val="es-ES" w:eastAsia="es-ES"/>
        </w:rPr>
        <w:t>36.2 % de las personas adultas privadas de la libertad en 2021 fue víctima de corrupción en algún momento de su proceso penal.</w:t>
      </w:r>
    </w:p>
    <w:p w14:paraId="09875CEF" w14:textId="77777777" w:rsidR="005F252F" w:rsidRPr="00655896" w:rsidRDefault="005F252F" w:rsidP="005F252F">
      <w:pPr>
        <w:pStyle w:val="Prrafodelista"/>
        <w:rPr>
          <w:rFonts w:ascii="Palatino Linotype" w:eastAsia="Calibri" w:hAnsi="Palatino Linotype" w:cs="Arial"/>
          <w:lang w:val="es-ES" w:eastAsia="es-ES"/>
        </w:rPr>
      </w:pPr>
    </w:p>
    <w:p w14:paraId="5E654435" w14:textId="77777777" w:rsidR="005F252F" w:rsidRPr="00655896" w:rsidRDefault="005F252F" w:rsidP="005F252F">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lang w:val="es-ES" w:eastAsia="es-ES"/>
        </w:rPr>
      </w:pPr>
    </w:p>
    <w:p w14:paraId="5FE2C2EA" w14:textId="641FABF5" w:rsidR="00521FB3" w:rsidRPr="00655896" w:rsidRDefault="00521FB3" w:rsidP="00521FB3">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lang w:val="es-ES" w:eastAsia="es-ES"/>
        </w:rPr>
      </w:pPr>
      <w:r w:rsidRPr="00655896">
        <w:rPr>
          <w:rFonts w:ascii="Palatino Linotype" w:eastAsia="Calibri" w:hAnsi="Palatino Linotype" w:cs="Arial"/>
          <w:b/>
          <w:i/>
          <w:lang w:val="es-ES" w:eastAsia="es-ES"/>
        </w:rPr>
        <w:t>En 2003, la Asamblea General de las Naciones Unidas adoptó la Convención de las Naciones Unidas contra la Corrupción y estableció el 9 de diciembre como el día internacional contra este problema.</w:t>
      </w:r>
      <w:r w:rsidRPr="00655896">
        <w:rPr>
          <w:rFonts w:ascii="Palatino Linotype" w:eastAsia="Calibri" w:hAnsi="Palatino Linotype" w:cs="Arial"/>
          <w:i/>
          <w:lang w:val="es-ES" w:eastAsia="es-ES"/>
        </w:rPr>
        <w:t xml:space="preserve"> El objetivo es visibilizar la problemática y comprometer a los Estados a promover acciones para prevenir y combatir dicho fenómeno.1 A 20 años de la adopción de la Convención, este día busca enfatizar el «vínculo crucial que existe entre [combatir  la corrupción], la paz, la seguridad y el desarrollo».2   Para documentar la situación de la corrupción en el país, el Instituto Nacional de Estadística y Geografía (INEGI) genera datos sobre la percepción y experiencias de soborno que experimenta la población en general, las personas privadas de la libertad y las empresas en México. Asimismo, ofrece estadísticas sobre los mecanismos de control interno y anticorrupción que tienen las administraciones públicas de los tres niveles de gobierno (federal, estatal y municipal). El presente comunicado proporciona datos de los programas de información estadística: Encuesta </w:t>
      </w:r>
      <w:r w:rsidRPr="00655896">
        <w:rPr>
          <w:rFonts w:ascii="Palatino Linotype" w:eastAsia="Calibri" w:hAnsi="Palatino Linotype" w:cs="Arial"/>
          <w:i/>
          <w:lang w:val="es-ES" w:eastAsia="es-ES"/>
        </w:rPr>
        <w:lastRenderedPageBreak/>
        <w:t>Nacional de Calidad e Impacto Gubernamental (ENCIG), Encuesta Nacional de Población Privada de la Libertad (ENPOL), Encuesta Nacional de Victimización y Percepción sobre Seguridad Pública (ENVIPE), Censo Nacional de Gobierno Federal (CNGF) y Censo Nacional de Gobiernos Estatales (CNGE);3 los cuales permiten proyectar una fotografía estadística sobre el problema.</w:t>
      </w:r>
      <w:r w:rsidRPr="00655896">
        <w:rPr>
          <w:rStyle w:val="Refdenotaalpie"/>
          <w:rFonts w:ascii="Palatino Linotype" w:eastAsia="Calibri" w:hAnsi="Palatino Linotype" w:cs="Arial"/>
          <w:i/>
          <w:lang w:val="es-ES" w:eastAsia="es-ES"/>
        </w:rPr>
        <w:footnoteReference w:id="3"/>
      </w:r>
    </w:p>
    <w:p w14:paraId="195C6C44" w14:textId="77777777" w:rsidR="00521FB3" w:rsidRPr="007B4FB5" w:rsidRDefault="00521FB3" w:rsidP="005F252F">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6DF67F64" w14:textId="239FB02F" w:rsidR="005F252F" w:rsidRPr="007B4FB5" w:rsidRDefault="00521FB3"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 xml:space="preserve">Es así que, la corrupción no sólo es un mal Nacional, sino que su presencia afecta a nivel internacional, tan es así que, la </w:t>
      </w:r>
      <w:r w:rsidRPr="007B4FB5">
        <w:rPr>
          <w:rFonts w:ascii="Palatino Linotype" w:eastAsia="Calibri" w:hAnsi="Palatino Linotype" w:cs="Arial"/>
          <w:i/>
          <w:szCs w:val="24"/>
          <w:lang w:val="es-ES" w:eastAsia="es-ES"/>
        </w:rPr>
        <w:t xml:space="preserve">Asamblea General de las Naciones Unidas adoptó la Convención de las Naciones Unidas contra la Corrupción y estableció el 9 de diciembre como el día internacional contra este mal. </w:t>
      </w:r>
      <w:r w:rsidRPr="007B4FB5">
        <w:rPr>
          <w:rFonts w:ascii="Palatino Linotype" w:eastAsia="Calibri" w:hAnsi="Palatino Linotype" w:cs="Arial"/>
          <w:szCs w:val="24"/>
          <w:lang w:val="es-ES" w:eastAsia="es-ES"/>
        </w:rPr>
        <w:t>El INEGI, en el comunicado de prensa antes referido, nos brinda la siguiente gráfica que nos brinda el porcentaje de corrupción, apreciado por la ciudadanía:</w:t>
      </w:r>
    </w:p>
    <w:p w14:paraId="1AF380D7" w14:textId="117ED52D" w:rsidR="005E2FE4" w:rsidRPr="007B4FB5" w:rsidRDefault="00521FB3" w:rsidP="00521FB3">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r w:rsidRPr="007B4FB5">
        <w:rPr>
          <w:rFonts w:ascii="Palatino Linotype" w:eastAsia="Calibri" w:hAnsi="Palatino Linotype" w:cs="Arial"/>
          <w:noProof/>
          <w:sz w:val="24"/>
          <w:szCs w:val="24"/>
          <w:lang w:eastAsia="es-MX"/>
        </w:rPr>
        <w:drawing>
          <wp:inline distT="0" distB="0" distL="0" distR="0" wp14:anchorId="49C4DF09" wp14:editId="5E2584A1">
            <wp:extent cx="5543550" cy="29543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9580" cy="2968174"/>
                    </a:xfrm>
                    <a:prstGeom prst="rect">
                      <a:avLst/>
                    </a:prstGeom>
                  </pic:spPr>
                </pic:pic>
              </a:graphicData>
            </a:graphic>
          </wp:inline>
        </w:drawing>
      </w:r>
    </w:p>
    <w:p w14:paraId="0DAABF33" w14:textId="094D51D8" w:rsidR="00521FB3" w:rsidRPr="007B4FB5" w:rsidRDefault="00521FB3" w:rsidP="005F252F">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lastRenderedPageBreak/>
        <w:t>En primer lugar, tenemos que la corrupción se encuentra en las instituciones policiales; sin embargo, con un alto porcentaje, se tiene presencia de este mal, en los Gobiernos Municipales, ya que representaron el 71.8 % en el año 2021, lo cual</w:t>
      </w:r>
      <w:r w:rsidR="00623B27" w:rsidRPr="007B4FB5">
        <w:rPr>
          <w:rFonts w:ascii="Palatino Linotype" w:eastAsia="Calibri" w:hAnsi="Palatino Linotype" w:cs="Arial"/>
          <w:sz w:val="24"/>
          <w:szCs w:val="24"/>
          <w:lang w:val="es-ES" w:eastAsia="es-ES"/>
        </w:rPr>
        <w:t>,</w:t>
      </w:r>
      <w:r w:rsidRPr="007B4FB5">
        <w:rPr>
          <w:rFonts w:ascii="Palatino Linotype" w:eastAsia="Calibri" w:hAnsi="Palatino Linotype" w:cs="Arial"/>
          <w:sz w:val="24"/>
          <w:szCs w:val="24"/>
          <w:lang w:val="es-ES" w:eastAsia="es-ES"/>
        </w:rPr>
        <w:t xml:space="preserve"> sin lugar a dudas</w:t>
      </w:r>
      <w:r w:rsidR="00623B27" w:rsidRPr="007B4FB5">
        <w:rPr>
          <w:rFonts w:ascii="Palatino Linotype" w:eastAsia="Calibri" w:hAnsi="Palatino Linotype" w:cs="Arial"/>
          <w:sz w:val="24"/>
          <w:szCs w:val="24"/>
          <w:lang w:val="es-ES" w:eastAsia="es-ES"/>
        </w:rPr>
        <w:t>,</w:t>
      </w:r>
      <w:r w:rsidRPr="007B4FB5">
        <w:rPr>
          <w:rFonts w:ascii="Palatino Linotype" w:eastAsia="Calibri" w:hAnsi="Palatino Linotype" w:cs="Arial"/>
          <w:sz w:val="24"/>
          <w:szCs w:val="24"/>
          <w:lang w:val="es-ES" w:eastAsia="es-ES"/>
        </w:rPr>
        <w:t xml:space="preserve"> es alarmante.</w:t>
      </w:r>
    </w:p>
    <w:p w14:paraId="6A75B861" w14:textId="77777777" w:rsidR="00521FB3" w:rsidRPr="007B4FB5" w:rsidRDefault="00521FB3" w:rsidP="00521FB3">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623FC70D" w14:textId="75049531" w:rsidR="00521FB3" w:rsidRPr="007B4FB5" w:rsidRDefault="00521FB3" w:rsidP="00521FB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 xml:space="preserve">Por su parte, la Corte Interamericana de Derechos Humanos, a través del </w:t>
      </w:r>
      <w:r w:rsidRPr="007B4FB5">
        <w:rPr>
          <w:rFonts w:ascii="Palatino Linotype" w:eastAsia="Calibri" w:hAnsi="Palatino Linotype" w:cs="Arial"/>
          <w:b/>
          <w:i/>
          <w:sz w:val="24"/>
          <w:szCs w:val="24"/>
          <w:lang w:val="es-ES" w:eastAsia="es-ES"/>
        </w:rPr>
        <w:t>“Cuadernillo de Jurisprudencia de la Corte Interamericana de Derechos Humanos No. 23: Corrupción y Derechos Humanos”</w:t>
      </w:r>
      <w:r w:rsidRPr="007B4FB5">
        <w:rPr>
          <w:rStyle w:val="Refdenotaalpie"/>
          <w:rFonts w:ascii="Palatino Linotype" w:eastAsia="Calibri" w:hAnsi="Palatino Linotype" w:cs="Arial"/>
          <w:b/>
          <w:i/>
          <w:sz w:val="24"/>
          <w:szCs w:val="24"/>
          <w:lang w:val="es-ES" w:eastAsia="es-ES"/>
        </w:rPr>
        <w:footnoteReference w:id="4"/>
      </w:r>
      <w:r w:rsidRPr="007B4FB5">
        <w:rPr>
          <w:rFonts w:ascii="Palatino Linotype" w:eastAsia="Calibri" w:hAnsi="Palatino Linotype" w:cs="Arial"/>
          <w:b/>
          <w:i/>
          <w:sz w:val="24"/>
          <w:szCs w:val="24"/>
          <w:lang w:val="es-ES" w:eastAsia="es-ES"/>
        </w:rPr>
        <w:t xml:space="preserve"> </w:t>
      </w:r>
      <w:r w:rsidRPr="007B4FB5">
        <w:rPr>
          <w:rFonts w:ascii="Palatino Linotype" w:eastAsia="Calibri" w:hAnsi="Palatino Linotype" w:cs="Arial"/>
          <w:i/>
          <w:sz w:val="24"/>
          <w:szCs w:val="24"/>
          <w:lang w:val="es-ES" w:eastAsia="es-ES"/>
        </w:rPr>
        <w:t xml:space="preserve">refiere que el fenómeno </w:t>
      </w:r>
      <w:r w:rsidR="0011729D" w:rsidRPr="007B4FB5">
        <w:rPr>
          <w:rFonts w:ascii="Palatino Linotype" w:eastAsia="Calibri" w:hAnsi="Palatino Linotype" w:cs="Arial"/>
          <w:i/>
          <w:sz w:val="24"/>
          <w:szCs w:val="24"/>
          <w:lang w:val="es-ES" w:eastAsia="es-ES"/>
        </w:rPr>
        <w:t>de la</w:t>
      </w:r>
      <w:r w:rsidR="0011729D" w:rsidRPr="007B4FB5">
        <w:rPr>
          <w:rFonts w:ascii="Palatino Linotype" w:eastAsia="Calibri" w:hAnsi="Palatino Linotype" w:cs="Arial"/>
          <w:b/>
          <w:i/>
          <w:sz w:val="24"/>
          <w:szCs w:val="24"/>
          <w:lang w:val="es-ES" w:eastAsia="es-ES"/>
        </w:rPr>
        <w:t xml:space="preserve"> </w:t>
      </w:r>
      <w:r w:rsidRPr="007B4FB5">
        <w:rPr>
          <w:rFonts w:ascii="Palatino Linotype" w:eastAsia="Calibri" w:hAnsi="Palatino Linotype" w:cs="Arial"/>
          <w:i/>
          <w:sz w:val="24"/>
          <w:szCs w:val="24"/>
          <w:lang w:val="es-ES" w:eastAsia="es-ES"/>
        </w:rPr>
        <w:t>corrupción y su relación con los derechos humanos es una materia que solo ha sido explorada por la Corte IDH en tiempos recientes. Sin embargo, ya se comienzan a configurar estándares jurisprudenciales generales</w:t>
      </w:r>
      <w:r w:rsidR="0011729D" w:rsidRPr="007B4FB5">
        <w:rPr>
          <w:rFonts w:ascii="Palatino Linotype" w:eastAsia="Calibri" w:hAnsi="Palatino Linotype" w:cs="Arial"/>
          <w:i/>
          <w:sz w:val="24"/>
          <w:szCs w:val="24"/>
          <w:lang w:val="es-ES" w:eastAsia="es-ES"/>
        </w:rPr>
        <w:t>.</w:t>
      </w:r>
    </w:p>
    <w:p w14:paraId="4E72A37C" w14:textId="77777777" w:rsidR="00521FB3" w:rsidRPr="007B4FB5" w:rsidRDefault="00521FB3" w:rsidP="00521FB3">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1EF6B386" w14:textId="07A621EB" w:rsidR="00521FB3" w:rsidRPr="007B4FB5" w:rsidRDefault="0011729D" w:rsidP="00623B27">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 xml:space="preserve">Asimismo, </w:t>
      </w:r>
      <w:r w:rsidR="00623B27" w:rsidRPr="007B4FB5">
        <w:rPr>
          <w:rFonts w:ascii="Palatino Linotype" w:eastAsia="Calibri" w:hAnsi="Palatino Linotype" w:cs="Arial"/>
          <w:sz w:val="24"/>
          <w:szCs w:val="24"/>
          <w:lang w:val="es-ES" w:eastAsia="es-ES"/>
        </w:rPr>
        <w:t xml:space="preserve">dicho cuadernillo establece, en materia de corrupción y libertad de expresión, en relación al artículo 13 de la Convención Americana de Derecho Humanos, indica lo siguiente, de los casos </w:t>
      </w:r>
      <w:r w:rsidR="00623B27" w:rsidRPr="007B4FB5">
        <w:rPr>
          <w:rFonts w:ascii="Palatino Linotype" w:eastAsia="Calibri" w:hAnsi="Palatino Linotype" w:cs="Arial"/>
          <w:i/>
          <w:szCs w:val="24"/>
          <w:lang w:val="es-ES" w:eastAsia="es-ES"/>
        </w:rPr>
        <w:t>Herrera Ulloa Vs. Costa Rica. Excepciones Preliminares, Fondo, Reparaciones y Costas. Sentencia de 2 de julio de 2004. Serie C No. 107, párr. 112; Caso Ricardo Canese Vs. Paraguay. Fondo, Reparaciones y Costas. Sentencia de 31 de agosto de 2004. Serie C No. 111, párr. 82; Caso Claude Reyes y otros Vs. Chile. Fondo, Reparaciones y Costas. Sentencia de 19 de septiembre de 2006. Serie C No. 151, párr. 85</w:t>
      </w:r>
      <w:r w:rsidR="00623B27" w:rsidRPr="007B4FB5">
        <w:rPr>
          <w:rFonts w:ascii="Palatino Linotype" w:eastAsia="Calibri" w:hAnsi="Palatino Linotype" w:cs="Arial"/>
          <w:sz w:val="24"/>
          <w:szCs w:val="24"/>
          <w:lang w:val="es-ES" w:eastAsia="es-ES"/>
        </w:rPr>
        <w:t>:</w:t>
      </w:r>
    </w:p>
    <w:p w14:paraId="3564AFFB" w14:textId="77777777" w:rsidR="00623B27" w:rsidRPr="007B4FB5" w:rsidRDefault="00623B27" w:rsidP="00623B27">
      <w:pPr>
        <w:pStyle w:val="Prrafodelista"/>
        <w:rPr>
          <w:rFonts w:ascii="Palatino Linotype" w:eastAsia="Calibri" w:hAnsi="Palatino Linotype" w:cs="Arial"/>
          <w:sz w:val="24"/>
          <w:szCs w:val="24"/>
          <w:lang w:val="es-ES" w:eastAsia="es-ES"/>
        </w:rPr>
      </w:pPr>
    </w:p>
    <w:p w14:paraId="680E95C0" w14:textId="16B59D2C" w:rsidR="00623B27" w:rsidRPr="007B4FB5" w:rsidRDefault="00623B27" w:rsidP="00623B27">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7B4FB5">
        <w:rPr>
          <w:rFonts w:ascii="Palatino Linotype" w:eastAsia="Calibri" w:hAnsi="Palatino Linotype" w:cs="Arial"/>
          <w:i/>
          <w:sz w:val="24"/>
          <w:szCs w:val="24"/>
          <w:lang w:val="es-ES" w:eastAsia="es-ES"/>
        </w:rPr>
        <w:t xml:space="preserve">“…los principales desarrollos sobre corrupción y derechos humanos en la jurisprudencia de la Corte IDH se han dado en materia de libertad de expresión </w:t>
      </w:r>
      <w:r w:rsidRPr="007B4FB5">
        <w:rPr>
          <w:rFonts w:ascii="Palatino Linotype" w:eastAsia="Calibri" w:hAnsi="Palatino Linotype" w:cs="Arial"/>
          <w:i/>
          <w:sz w:val="24"/>
          <w:szCs w:val="24"/>
          <w:lang w:val="es-ES" w:eastAsia="es-ES"/>
        </w:rPr>
        <w:lastRenderedPageBreak/>
        <w:t>y acceso a la información. Si bien en este cuadernillo serán tratados en forma separada, ambos son estudiados por la Corte en el marco del art. 13 de la CADH.</w:t>
      </w:r>
    </w:p>
    <w:p w14:paraId="1293E05D" w14:textId="77777777" w:rsidR="00623B27" w:rsidRPr="007B4FB5" w:rsidRDefault="00623B27" w:rsidP="00623B27">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p>
    <w:p w14:paraId="0B6FEFF1" w14:textId="6CC66037" w:rsidR="00623B27" w:rsidRPr="007B4FB5" w:rsidRDefault="00623B27" w:rsidP="00623B27">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b/>
          <w:i/>
          <w:sz w:val="24"/>
          <w:szCs w:val="24"/>
          <w:lang w:val="es-ES" w:eastAsia="es-ES"/>
        </w:rPr>
      </w:pPr>
      <w:r w:rsidRPr="007B4FB5">
        <w:rPr>
          <w:rFonts w:ascii="Palatino Linotype" w:eastAsia="Calibri" w:hAnsi="Palatino Linotype" w:cs="Arial"/>
          <w:i/>
          <w:sz w:val="24"/>
          <w:szCs w:val="24"/>
          <w:lang w:val="es-ES" w:eastAsia="es-ES"/>
        </w:rPr>
        <w:t xml:space="preserve">La libertad de expresión es una piedra angular en la existencia misma de una sociedad democrática. Es indispensable para la formación de la opinión pública. Es también conditio sine qua non para que los partidos políticos, los sindicatos, las sociedades científicas y culturales, y en general, quienes deseen influir sobre la colectividad puedan desarrollarse plenamente. </w:t>
      </w:r>
      <w:r w:rsidRPr="007B4FB5">
        <w:rPr>
          <w:rFonts w:ascii="Palatino Linotype" w:eastAsia="Calibri" w:hAnsi="Palatino Linotype" w:cs="Arial"/>
          <w:b/>
          <w:i/>
          <w:sz w:val="24"/>
          <w:szCs w:val="24"/>
          <w:lang w:val="es-ES" w:eastAsia="es-ES"/>
        </w:rPr>
        <w:t>Es, en fin, condición para que la comunidad, a la hora de ejercer sus opciones, esté suficientemente informada. Por ende, es posible afirmar que una sociedad que no está bien informada no es plenamente libre…”</w:t>
      </w:r>
    </w:p>
    <w:p w14:paraId="6054B389" w14:textId="77777777" w:rsidR="00623B27" w:rsidRPr="007B4FB5" w:rsidRDefault="00623B27" w:rsidP="00623B27">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7951EF99" w14:textId="01308937" w:rsidR="00521FB3" w:rsidRPr="007B4FB5" w:rsidRDefault="00623B27" w:rsidP="00623B27">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La Corte Interamericana establece, en dicho cuadernillo, que la sociedad, para auto determinarse plenamente libre debe estar suficientemente informada, pues la información, es la base para una sociedad democrática.</w:t>
      </w:r>
    </w:p>
    <w:p w14:paraId="5761AB34" w14:textId="77777777" w:rsidR="00521FB3" w:rsidRPr="007B4FB5" w:rsidRDefault="00521FB3" w:rsidP="00623B27">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505B6AA3" w14:textId="567A611E" w:rsidR="00623B27" w:rsidRPr="007B4FB5" w:rsidRDefault="00623B27" w:rsidP="00623B27">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En este caso en particular, al tratarse de un procedimiento resarcitorio, que involucra el uso indebido de recursos públicos, no sólo se trata de actos de corrupción,</w:t>
      </w:r>
      <w:r w:rsidR="00685A99" w:rsidRPr="007B4FB5">
        <w:rPr>
          <w:rFonts w:ascii="Palatino Linotype" w:eastAsia="Calibri" w:hAnsi="Palatino Linotype" w:cs="Arial"/>
          <w:sz w:val="24"/>
          <w:szCs w:val="24"/>
          <w:lang w:val="es-ES" w:eastAsia="es-ES"/>
        </w:rPr>
        <w:t xml:space="preserve"> el </w:t>
      </w:r>
      <w:proofErr w:type="gramStart"/>
      <w:r w:rsidR="00685A99" w:rsidRPr="007B4FB5">
        <w:rPr>
          <w:rFonts w:ascii="Palatino Linotype" w:eastAsia="Calibri" w:hAnsi="Palatino Linotype" w:cs="Arial"/>
          <w:sz w:val="24"/>
          <w:szCs w:val="24"/>
          <w:lang w:val="es-ES" w:eastAsia="es-ES"/>
        </w:rPr>
        <w:t>cual</w:t>
      </w:r>
      <w:proofErr w:type="gramEnd"/>
      <w:r w:rsidR="00685A99" w:rsidRPr="007B4FB5">
        <w:rPr>
          <w:rFonts w:ascii="Palatino Linotype" w:eastAsia="Calibri" w:hAnsi="Palatino Linotype" w:cs="Arial"/>
          <w:sz w:val="24"/>
          <w:szCs w:val="24"/>
          <w:lang w:val="es-ES" w:eastAsia="es-ES"/>
        </w:rPr>
        <w:t xml:space="preserve"> por el simple hecho, actualiza excepción a la reserva,</w:t>
      </w:r>
      <w:r w:rsidRPr="007B4FB5">
        <w:rPr>
          <w:rFonts w:ascii="Palatino Linotype" w:eastAsia="Calibri" w:hAnsi="Palatino Linotype" w:cs="Arial"/>
          <w:sz w:val="24"/>
          <w:szCs w:val="24"/>
          <w:lang w:val="es-ES" w:eastAsia="es-ES"/>
        </w:rPr>
        <w:t xml:space="preserve"> sino que también implica e impacta en el daño a la hacienda p</w:t>
      </w:r>
      <w:r w:rsidR="001F2F98" w:rsidRPr="007B4FB5">
        <w:rPr>
          <w:rFonts w:ascii="Palatino Linotype" w:eastAsia="Calibri" w:hAnsi="Palatino Linotype" w:cs="Arial"/>
          <w:sz w:val="24"/>
          <w:szCs w:val="24"/>
          <w:lang w:val="es-ES" w:eastAsia="es-ES"/>
        </w:rPr>
        <w:t>ública. Pues se trata de recursos públicos que no se usaron conforme a su planeación, así como tampoco serán usados para el bien de la sociedad, por anteponer el beneficio propio de los servidores públicos responsables de su ejercicio.</w:t>
      </w:r>
    </w:p>
    <w:p w14:paraId="40825D93" w14:textId="77777777" w:rsidR="00623B27" w:rsidRPr="007B4FB5" w:rsidRDefault="00623B27" w:rsidP="00623B27">
      <w:pPr>
        <w:pStyle w:val="Prrafodelista"/>
        <w:rPr>
          <w:rFonts w:ascii="Palatino Linotype" w:eastAsia="Calibri" w:hAnsi="Palatino Linotype" w:cs="Arial"/>
          <w:sz w:val="24"/>
          <w:szCs w:val="24"/>
          <w:lang w:val="es-ES" w:eastAsia="es-ES"/>
        </w:rPr>
      </w:pPr>
    </w:p>
    <w:p w14:paraId="35BAFABA" w14:textId="5F009AD5" w:rsidR="00623B27" w:rsidRPr="007B4FB5" w:rsidRDefault="00685A99" w:rsidP="005F252F">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La hacienda pública puede entenderse como el conjunto de bienes que una Entidad Pública, en este caso el Municipio, posee en un momento determinado, para la realización de sus funciones, atribuciones y competencias, así como de las deudas a su cargo.</w:t>
      </w:r>
    </w:p>
    <w:p w14:paraId="3540D80A" w14:textId="77777777" w:rsidR="00685A99" w:rsidRPr="007B4FB5" w:rsidRDefault="00685A99" w:rsidP="00685A99">
      <w:pPr>
        <w:pStyle w:val="Prrafodelista"/>
        <w:rPr>
          <w:rFonts w:ascii="Palatino Linotype" w:eastAsia="Calibri" w:hAnsi="Palatino Linotype" w:cs="Arial"/>
          <w:sz w:val="24"/>
          <w:szCs w:val="24"/>
          <w:lang w:val="es-ES" w:eastAsia="es-ES"/>
        </w:rPr>
      </w:pPr>
    </w:p>
    <w:p w14:paraId="610962F2" w14:textId="0EF684CF" w:rsidR="00685A99" w:rsidRPr="007B4FB5" w:rsidRDefault="00685A99" w:rsidP="005F252F">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Es así que, cualquier uso indebido o desvío de recursos públicos es considerado un daño a la hacienda pública, esto en razón de que, las instituciones públicas tienen entre sus principales funciones, administrar, regular y organizar la convivencia social. Es decir, los Ayuntamientos, en el ámbito de su competencia tienen la obligación de ministrar los recursos públicos con el fin de garantizar el beneficio a la sociedad y con ello, contribuir a la realización tanto individual como colectiva de la ciudadanía, así como el suministro de servicios públicos, entre los que se encuentra la seguridad y la salud.</w:t>
      </w:r>
    </w:p>
    <w:p w14:paraId="04E437D0" w14:textId="77777777" w:rsidR="00685A99" w:rsidRPr="007B4FB5" w:rsidRDefault="00685A99" w:rsidP="00685A99">
      <w:pPr>
        <w:pStyle w:val="Prrafodelista"/>
        <w:rPr>
          <w:rFonts w:ascii="Palatino Linotype" w:eastAsia="Calibri" w:hAnsi="Palatino Linotype" w:cs="Arial"/>
          <w:sz w:val="24"/>
          <w:szCs w:val="24"/>
          <w:lang w:val="es-ES" w:eastAsia="es-ES"/>
        </w:rPr>
      </w:pPr>
    </w:p>
    <w:p w14:paraId="4EDA0EA1" w14:textId="35DE29E1" w:rsidR="00685A99" w:rsidRPr="007B4FB5" w:rsidRDefault="00702017" w:rsidP="005F252F">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t>Entonces al existir un daño a la hacienda que se deriva de actos de corrupción es que se considera que la información relativa al procedimiento resarcitorio, aún y cuando se encuentra en trámite, debe ser de conocimiento público, pues reviste el interés colectivo de conocer las actuaciones de las autoridades referentes a lo que se resuelve, así como conocer las diligencias que integran el expediente, además, de actualizar la causal de excepción a la reserva contemplada en el artículo 142 de la Ley de Transparencia y Acceso a la Información Pública del Estado de México y Municipios.</w:t>
      </w:r>
    </w:p>
    <w:p w14:paraId="1E701354" w14:textId="77777777" w:rsidR="00685A99" w:rsidRPr="007B4FB5" w:rsidRDefault="00685A99" w:rsidP="00685A99">
      <w:pPr>
        <w:pStyle w:val="Prrafodelista"/>
        <w:rPr>
          <w:rFonts w:ascii="Palatino Linotype" w:eastAsia="Calibri" w:hAnsi="Palatino Linotype" w:cs="Arial"/>
          <w:sz w:val="24"/>
          <w:szCs w:val="24"/>
          <w:lang w:val="es-ES" w:eastAsia="es-ES"/>
        </w:rPr>
      </w:pPr>
    </w:p>
    <w:p w14:paraId="34A49E04" w14:textId="26F973E2" w:rsidR="005F252F" w:rsidRDefault="005F252F" w:rsidP="005F252F">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7B4FB5">
        <w:rPr>
          <w:rFonts w:ascii="Palatino Linotype" w:eastAsia="Calibri" w:hAnsi="Palatino Linotype" w:cs="Arial"/>
          <w:sz w:val="24"/>
          <w:szCs w:val="24"/>
          <w:lang w:val="es-ES" w:eastAsia="es-ES"/>
        </w:rPr>
        <w:lastRenderedPageBreak/>
        <w:t>La corrupción no sólo causa costos económicos; en su carácter perjudicial deriva principalmente del hecho de que debilita los principios morales, afecta al Estado de derecho y daña a los principios de las autoridades, propicia injusticia, promueve desigualdad, permite la impunidad de los poderosos y el ultraje de los desposeídos; desvaloriza el esfuerzo, el mérito y los logros, y recompensa el oportunismo, porque desvirtúa la búsqueda del beneficio colectivo.</w:t>
      </w:r>
      <w:r w:rsidR="00702017" w:rsidRPr="007B4FB5">
        <w:rPr>
          <w:rStyle w:val="Refdenotaalpie"/>
          <w:rFonts w:ascii="Palatino Linotype" w:eastAsia="Calibri" w:hAnsi="Palatino Linotype" w:cs="Arial"/>
          <w:sz w:val="24"/>
          <w:szCs w:val="24"/>
          <w:lang w:val="es-ES" w:eastAsia="es-ES"/>
        </w:rPr>
        <w:footnoteReference w:id="5"/>
      </w:r>
    </w:p>
    <w:p w14:paraId="36FC0D91" w14:textId="77777777" w:rsidR="007B4FB5" w:rsidRPr="007B4FB5" w:rsidRDefault="007B4FB5" w:rsidP="007B4FB5">
      <w:pPr>
        <w:pStyle w:val="Prrafodelista"/>
        <w:rPr>
          <w:rFonts w:ascii="Palatino Linotype" w:eastAsia="Calibri" w:hAnsi="Palatino Linotype" w:cs="Arial"/>
          <w:sz w:val="24"/>
          <w:szCs w:val="24"/>
          <w:lang w:val="es-ES" w:eastAsia="es-ES"/>
        </w:rPr>
      </w:pPr>
    </w:p>
    <w:p w14:paraId="45C42EAE" w14:textId="75FAB406" w:rsidR="00F60CF7" w:rsidRPr="00653B1C" w:rsidRDefault="007B4FB5" w:rsidP="00F60CF7">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Es por lo anteriormente expuesto que no se comparte la resolución, </w:t>
      </w:r>
      <w:r w:rsidR="009C6BB5">
        <w:rPr>
          <w:rFonts w:ascii="Palatino Linotype" w:eastAsia="Calibri" w:hAnsi="Palatino Linotype" w:cs="Arial"/>
          <w:sz w:val="24"/>
          <w:szCs w:val="24"/>
          <w:lang w:val="es-ES" w:eastAsia="es-ES"/>
        </w:rPr>
        <w:t xml:space="preserve">pues considerando los elementos fácticos del caso, </w:t>
      </w:r>
      <w:r>
        <w:rPr>
          <w:rFonts w:ascii="Palatino Linotype" w:eastAsia="Calibri" w:hAnsi="Palatino Linotype" w:cs="Arial"/>
          <w:sz w:val="24"/>
          <w:szCs w:val="24"/>
          <w:lang w:val="es-ES" w:eastAsia="es-ES"/>
        </w:rPr>
        <w:t xml:space="preserve">se considera que la información que se requirió, no es susceptible de clasificarse como información reservada, ya que existen elementos de convicción que permiten determinar publicidad de la información para garantizar el Estado de derecho y privilegiar el acceso </w:t>
      </w:r>
      <w:bookmarkStart w:id="4" w:name="_Hlk21365612"/>
      <w:r w:rsidR="009C6BB5">
        <w:rPr>
          <w:rFonts w:ascii="Palatino Linotype" w:eastAsia="Calibri" w:hAnsi="Palatino Linotype" w:cs="Arial"/>
          <w:sz w:val="24"/>
          <w:szCs w:val="24"/>
          <w:lang w:val="es-ES" w:eastAsia="es-ES"/>
        </w:rPr>
        <w:t>a la información del Recurrente, por tratarse de posibles actos de corrupción y daño a la hacienda municipal, elementos que resultan de suma importancia e interés colectivo.</w:t>
      </w:r>
    </w:p>
    <w:p w14:paraId="3BFA3E38" w14:textId="77777777" w:rsidR="003D2531" w:rsidRPr="007B4FB5" w:rsidRDefault="003D2531" w:rsidP="00F60CF7">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b/>
          <w:sz w:val="24"/>
          <w:szCs w:val="24"/>
          <w:bdr w:val="nil"/>
        </w:rPr>
      </w:pPr>
    </w:p>
    <w:p w14:paraId="2BCE228F" w14:textId="77777777" w:rsidR="005D265C" w:rsidRPr="007B4FB5" w:rsidRDefault="005D265C"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28ECC58C" w14:textId="77777777" w:rsidR="00035866" w:rsidRPr="007B4FB5" w:rsidRDefault="00035866"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bookmarkEnd w:id="4"/>
    <w:p w14:paraId="71A4A47B" w14:textId="4C3CE389" w:rsidR="009F0BC5" w:rsidRPr="007B4FB5" w:rsidRDefault="00B142A9"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7B4FB5">
        <w:rPr>
          <w:rFonts w:ascii="Palatino Linotype" w:eastAsia="Arial" w:hAnsi="Palatino Linotype" w:cs="Arial"/>
          <w:b/>
          <w:color w:val="000000" w:themeColor="text1"/>
          <w:sz w:val="24"/>
          <w:szCs w:val="24"/>
          <w:bdr w:val="nil"/>
          <w:lang w:eastAsia="es-MX"/>
        </w:rPr>
        <w:t>MARÍA DEL ROSARIO MEJÍA AYALA</w:t>
      </w:r>
    </w:p>
    <w:p w14:paraId="5446F8D8" w14:textId="7DF0A6C7" w:rsidR="009F0BC5" w:rsidRPr="007B4FB5"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7B4FB5">
        <w:rPr>
          <w:rFonts w:ascii="Palatino Linotype" w:eastAsia="Arial" w:hAnsi="Palatino Linotype" w:cs="Arial"/>
          <w:b/>
          <w:color w:val="000000" w:themeColor="text1"/>
          <w:sz w:val="24"/>
          <w:szCs w:val="24"/>
          <w:bdr w:val="nil"/>
          <w:lang w:eastAsia="es-MX"/>
        </w:rPr>
        <w:t>COMISIONADA</w:t>
      </w:r>
    </w:p>
    <w:p w14:paraId="3A5AA578" w14:textId="77777777" w:rsidR="00035866" w:rsidRPr="007B4FB5"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235FD87C" w14:textId="5262C134" w:rsidR="00542F24" w:rsidRPr="008A4B0D" w:rsidRDefault="005D265C"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r w:rsidRPr="007B4FB5">
        <w:rPr>
          <w:rFonts w:ascii="Palatino Linotype" w:eastAsia="Arial" w:hAnsi="Palatino Linotype" w:cs="Arial"/>
          <w:b/>
          <w:color w:val="000000" w:themeColor="text1"/>
          <w:sz w:val="24"/>
          <w:szCs w:val="24"/>
          <w:bdr w:val="nil"/>
          <w:lang w:eastAsia="es-MX"/>
        </w:rPr>
        <w:t>MRMA/ADM</w:t>
      </w:r>
    </w:p>
    <w:sectPr w:rsidR="00542F24" w:rsidRPr="008A4B0D" w:rsidSect="002A43BC">
      <w:headerReference w:type="even" r:id="rId9"/>
      <w:headerReference w:type="default" r:id="rId10"/>
      <w:footerReference w:type="even" r:id="rId11"/>
      <w:footerReference w:type="default" r:id="rId12"/>
      <w:headerReference w:type="first" r:id="rId13"/>
      <w:footerReference w:type="first" r:id="rId14"/>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73DF" w14:textId="77777777" w:rsidR="009A33FA" w:rsidRDefault="009A33FA" w:rsidP="002C0425">
      <w:pPr>
        <w:spacing w:after="0" w:line="240" w:lineRule="auto"/>
      </w:pPr>
      <w:r>
        <w:separator/>
      </w:r>
    </w:p>
  </w:endnote>
  <w:endnote w:type="continuationSeparator" w:id="0">
    <w:p w14:paraId="415BA438" w14:textId="77777777" w:rsidR="009A33FA" w:rsidRDefault="009A33FA"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3711" w14:textId="77777777" w:rsidR="00C17E85" w:rsidRDefault="00C17E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85527"/>
      <w:docPartObj>
        <w:docPartGallery w:val="Page Numbers (Bottom of Page)"/>
        <w:docPartUnique/>
      </w:docPartObj>
    </w:sdtPr>
    <w:sdtContent>
      <w:sdt>
        <w:sdtPr>
          <w:id w:val="-1769616900"/>
          <w:docPartObj>
            <w:docPartGallery w:val="Page Numbers (Top of Page)"/>
            <w:docPartUnique/>
          </w:docPartObj>
        </w:sdtPr>
        <w:sdtContent>
          <w:p w14:paraId="545B0F92" w14:textId="77777777" w:rsidR="0032435A" w:rsidRDefault="0032435A">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8D7436">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8D7436">
              <w:rPr>
                <w:rFonts w:ascii="Palatino Linotype" w:hAnsi="Palatino Linotype"/>
                <w:b/>
                <w:bCs/>
                <w:noProof/>
                <w:sz w:val="20"/>
                <w:szCs w:val="20"/>
              </w:rPr>
              <w:t>1</w:t>
            </w:r>
            <w:r w:rsidRPr="0052203D">
              <w:rPr>
                <w:rFonts w:ascii="Palatino Linotype" w:hAnsi="Palatino Linotype"/>
                <w:b/>
                <w:bCs/>
                <w:sz w:val="20"/>
                <w:szCs w:val="20"/>
              </w:rPr>
              <w:fldChar w:fldCharType="end"/>
            </w:r>
          </w:p>
        </w:sdtContent>
      </w:sdt>
    </w:sdtContent>
  </w:sdt>
  <w:p w14:paraId="447141E2" w14:textId="77777777" w:rsidR="0032435A" w:rsidRDefault="003243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2CBA" w14:textId="77777777" w:rsidR="00C17E85" w:rsidRDefault="00C17E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BB00" w14:textId="77777777" w:rsidR="009A33FA" w:rsidRDefault="009A33FA" w:rsidP="002C0425">
      <w:pPr>
        <w:spacing w:after="0" w:line="240" w:lineRule="auto"/>
      </w:pPr>
      <w:r>
        <w:separator/>
      </w:r>
    </w:p>
  </w:footnote>
  <w:footnote w:type="continuationSeparator" w:id="0">
    <w:p w14:paraId="3A9B6617" w14:textId="77777777" w:rsidR="009A33FA" w:rsidRDefault="009A33FA" w:rsidP="002C0425">
      <w:pPr>
        <w:spacing w:after="0" w:line="240" w:lineRule="auto"/>
      </w:pPr>
      <w:r>
        <w:continuationSeparator/>
      </w:r>
    </w:p>
  </w:footnote>
  <w:footnote w:id="1">
    <w:p w14:paraId="43998F1D" w14:textId="77777777" w:rsidR="00072BBB" w:rsidRDefault="00072BBB" w:rsidP="00072BBB">
      <w:pPr>
        <w:pStyle w:val="Textonotapie"/>
      </w:pPr>
      <w:r>
        <w:rPr>
          <w:rStyle w:val="Refdenotaalpie"/>
        </w:rPr>
        <w:footnoteRef/>
      </w:r>
      <w:r>
        <w:t xml:space="preserve"> Artículo 150. Ley de Transparencia y Acceso a la Información Pública del Estado de México y Municipios.</w:t>
      </w:r>
    </w:p>
    <w:p w14:paraId="751433AF" w14:textId="77777777" w:rsidR="00072BBB" w:rsidRDefault="00072BBB" w:rsidP="00072BBB">
      <w:pPr>
        <w:pStyle w:val="Textonotapie"/>
      </w:pPr>
      <w:r>
        <w:t>Artículo 151. Ibídem.</w:t>
      </w:r>
    </w:p>
  </w:footnote>
  <w:footnote w:id="2">
    <w:p w14:paraId="33CBBCC7" w14:textId="2A15E70D" w:rsidR="005F252F" w:rsidRDefault="005F252F">
      <w:pPr>
        <w:pStyle w:val="Textonotapie"/>
      </w:pPr>
      <w:r>
        <w:rPr>
          <w:rStyle w:val="Refdenotaalpie"/>
        </w:rPr>
        <w:footnoteRef/>
      </w:r>
      <w:r>
        <w:t xml:space="preserve"> </w:t>
      </w:r>
      <w:r w:rsidRPr="005F252F">
        <w:t>Todarello, Guillermo Ariel, Corrupción administrativa y enriquecimiento ilícito, Buenos Aires, Editores del Puerto, 2008, p. 1.</w:t>
      </w:r>
    </w:p>
  </w:footnote>
  <w:footnote w:id="3">
    <w:p w14:paraId="2E14C367" w14:textId="5D42BE8C" w:rsidR="00521FB3" w:rsidRPr="00521FB3" w:rsidRDefault="00521FB3" w:rsidP="00521FB3">
      <w:pPr>
        <w:rPr>
          <w:rFonts w:ascii="Helvetica" w:hAnsi="Helvetica"/>
          <w:color w:val="1F1F1F"/>
          <w:sz w:val="27"/>
          <w:szCs w:val="27"/>
        </w:rPr>
      </w:pPr>
      <w:r>
        <w:rPr>
          <w:rStyle w:val="Refdenotaalpie"/>
        </w:rPr>
        <w:footnoteRef/>
      </w:r>
      <w:r>
        <w:t xml:space="preserve"> </w:t>
      </w:r>
      <w:hyperlink r:id="rId1" w:tgtFrame="_parent" w:history="1">
        <w:r>
          <w:rPr>
            <w:rStyle w:val="cs4vcb-pgl6qe-ysggef"/>
            <w:rFonts w:ascii="Arial" w:hAnsi="Arial" w:cs="Arial"/>
            <w:color w:val="1A0DAB"/>
            <w:sz w:val="21"/>
            <w:szCs w:val="21"/>
          </w:rPr>
          <w:t>https://www.inegi.org.mx/contenidos/saladeprensa/aproposito/2023/EAP_vsCorrup23.pdf</w:t>
        </w:r>
      </w:hyperlink>
    </w:p>
  </w:footnote>
  <w:footnote w:id="4">
    <w:p w14:paraId="278CA489" w14:textId="5990F528" w:rsidR="00521FB3" w:rsidRPr="00521FB3" w:rsidRDefault="00521FB3" w:rsidP="00521FB3">
      <w:pPr>
        <w:rPr>
          <w:rFonts w:cstheme="minorHAnsi"/>
          <w:color w:val="1F1F1F"/>
          <w:sz w:val="20"/>
          <w:szCs w:val="20"/>
        </w:rPr>
      </w:pPr>
      <w:r>
        <w:rPr>
          <w:rStyle w:val="Refdenotaalpie"/>
        </w:rPr>
        <w:footnoteRef/>
      </w:r>
      <w:r>
        <w:t xml:space="preserve"> </w:t>
      </w:r>
      <w:r w:rsidRPr="00521FB3">
        <w:rPr>
          <w:rFonts w:cstheme="minorHAnsi"/>
          <w:sz w:val="20"/>
          <w:szCs w:val="20"/>
        </w:rPr>
        <w:t xml:space="preserve">Disponible para su consulta en </w:t>
      </w:r>
      <w:hyperlink r:id="rId2" w:tgtFrame="_parent" w:history="1">
        <w:r w:rsidRPr="00521FB3">
          <w:rPr>
            <w:rStyle w:val="cs4vcb-pgl6qe-ysggef"/>
            <w:rFonts w:cstheme="minorHAnsi"/>
            <w:color w:val="1A0DAB"/>
            <w:sz w:val="20"/>
            <w:szCs w:val="20"/>
          </w:rPr>
          <w:t>https://www.corteidh.or.cr/sitios/libros/todos/docs/cuadernillo23.pdf</w:t>
        </w:r>
      </w:hyperlink>
    </w:p>
  </w:footnote>
  <w:footnote w:id="5">
    <w:p w14:paraId="4ADF6218" w14:textId="612CD362" w:rsidR="00702017" w:rsidRPr="00702017" w:rsidRDefault="00702017" w:rsidP="00702017">
      <w:pPr>
        <w:rPr>
          <w:rFonts w:ascii="Helvetica" w:hAnsi="Helvetica"/>
          <w:color w:val="1F1F1F"/>
          <w:sz w:val="27"/>
          <w:szCs w:val="27"/>
        </w:rPr>
      </w:pPr>
      <w:r>
        <w:rPr>
          <w:rStyle w:val="Refdenotaalpie"/>
        </w:rPr>
        <w:footnoteRef/>
      </w:r>
      <w:r>
        <w:t xml:space="preserve"> </w:t>
      </w:r>
      <w:hyperlink r:id="rId3" w:tgtFrame="_parent" w:history="1">
        <w:r>
          <w:rPr>
            <w:rStyle w:val="cs4vcb-pgl6qe-ysggef"/>
            <w:rFonts w:ascii="Arial" w:hAnsi="Arial" w:cs="Arial"/>
            <w:color w:val="1A0DAB"/>
            <w:sz w:val="21"/>
            <w:szCs w:val="21"/>
          </w:rPr>
          <w:t>https://archivos.juridicas.unam.mx/www/bjv/libros/7/3370/4.pdf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CF4" w14:textId="77777777" w:rsidR="0032435A" w:rsidRDefault="00000000">
    <w:pPr>
      <w:pStyle w:val="Encabezado"/>
    </w:pPr>
    <w:r>
      <w:rPr>
        <w:noProof/>
        <w:lang w:val="en-US"/>
      </w:rPr>
      <w:pict w14:anchorId="273A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DA05" w14:textId="6757AE0A" w:rsidR="002F6DFA" w:rsidRPr="00F47FB5" w:rsidRDefault="002F6DFA" w:rsidP="002F6DFA">
    <w:pPr>
      <w:pStyle w:val="Encabezado"/>
      <w:tabs>
        <w:tab w:val="left" w:pos="2326"/>
      </w:tabs>
      <w:ind w:left="2835"/>
      <w:rPr>
        <w:rFonts w:ascii="Palatino Linotype" w:hAnsi="Palatino Linotype"/>
      </w:rPr>
    </w:pPr>
    <w:r>
      <w:rPr>
        <w:rFonts w:ascii="Palatino Linotype" w:hAnsi="Palatino Linotype"/>
        <w:noProof/>
        <w:lang w:eastAsia="es-MX"/>
      </w:rPr>
      <w:drawing>
        <wp:anchor distT="0" distB="0" distL="114300" distR="114300" simplePos="0" relativeHeight="251664384" behindDoc="1" locked="0" layoutInCell="1" allowOverlap="1" wp14:anchorId="052991C7" wp14:editId="1323DC11">
          <wp:simplePos x="0" y="0"/>
          <wp:positionH relativeFrom="column">
            <wp:posOffset>-393700</wp:posOffset>
          </wp:positionH>
          <wp:positionV relativeFrom="paragraph">
            <wp:posOffset>-300355</wp:posOffset>
          </wp:positionV>
          <wp:extent cx="7604125" cy="9903677"/>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s-MX"/>
      </w:rPr>
      <mc:AlternateContent>
        <mc:Choice Requires="wps">
          <w:drawing>
            <wp:anchor distT="0" distB="0" distL="114300" distR="114300" simplePos="0" relativeHeight="251665408" behindDoc="1" locked="0" layoutInCell="0" allowOverlap="1" wp14:anchorId="605D9ABB" wp14:editId="409EA795">
              <wp:simplePos x="0" y="0"/>
              <wp:positionH relativeFrom="margin">
                <wp:align>center</wp:align>
              </wp:positionH>
              <wp:positionV relativeFrom="margin">
                <wp:align>center</wp:align>
              </wp:positionV>
              <wp:extent cx="7876540" cy="1049655"/>
              <wp:effectExtent l="0" t="2397125" r="0" b="22682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76540" cy="104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6A546" w14:textId="77777777" w:rsidR="002F6DFA" w:rsidRDefault="002F6DFA" w:rsidP="002F6DFA">
                          <w:pPr>
                            <w:pStyle w:val="NormalWeb"/>
                            <w:spacing w:before="0" w:beforeAutospacing="0" w:after="0" w:afterAutospacing="0"/>
                            <w:jc w:val="center"/>
                          </w:pPr>
                          <w:r>
                            <w:rPr>
                              <w:color w:val="C0C0C0"/>
                              <w:sz w:val="2"/>
                              <w:szCs w:val="2"/>
                              <w14:textFill>
                                <w14:solidFill>
                                  <w14:srgbClr w14:val="C0C0C0">
                                    <w14:alpha w14:val="50000"/>
                                  </w14:srgb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5D9ABB" id="_x0000_t202" coordsize="21600,21600" o:spt="202" path="m,l,21600r21600,l21600,xe">
              <v:stroke joinstyle="miter"/>
              <v:path gradientshapeok="t" o:connecttype="rect"/>
            </v:shapetype>
            <v:shape id="Cuadro de texto 2" o:spid="_x0000_s1026" type="#_x0000_t202" style="position:absolute;left:0;text-align:left;margin-left:0;margin-top:0;width:620.2pt;height:82.6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ZtjQIAAAQFAAAOAAAAZHJzL2Uyb0RvYy54bWysVMtu2zAQvBfoPxC6O3pAsi0hcpA4cS9p&#10;GyAucqZFymIrcVmStmQU/fcuKTmP9lIU9YGmlqvZ2Z2hLq+GriVHro0AWQbxRRQQLitgQu7L4Mt2&#10;M1sGxFgqGW1B8jI4cRNcrd6/u+xVwRNooGVcEwSRpuhVGTTWqiIMTdXwjpoLUFziYQ26oxYf9T5k&#10;mvaI3rVhEkXzsAfNlIaKG4PR2/EwWHn8uuaV/VzXhlvSlgFys37Vft25NVxd0mKvqWpENdGg/8Ci&#10;o0Ji0WeoW2opOWjxB1QnKg0GantRQRdCXYuK+x6wmzj6rZvHhirue8HhGPU8JvP/YKtPxwdNBCuD&#10;JCCSdijR+kCZBsI4sXywQBI3pF6ZAnMfFWbb4QYGFNs3bNQ9VN8MkbBuqNzza62hbzhlSDJGyCns&#10;W9meFOL76Bah75hAPWIHH77CH4sZV2nXfwSGr9CDBV9tqHVHNLjXlnnkfj6McyTICAU+PYuKBUiF&#10;wcVyMc9SPKrwLI7SfJ5lviQtHJoTTWljP3DoiNuUgUbXeFh6vDfWsXtJcemIjPFpN6r8I4+TNLpJ&#10;8tlmvlzM0k2azfJFtJxFcX6Tz7Fqerv56UDjtGgEY1zeC8nPjovTv1N08v7oFe850pdBniWZ52ug&#10;FWwj2tZxM3q/W7eaHKmz/jirsZc3aRoOkmGcFk60u2lvqWjHffiWsR8GDuD87wfh1XOCjdLZYTcg&#10;opN0B+yEOvZ4wcrAfD9QzdETh24NSAqNUGvonvAGX2snqW/CabAdnqhWkxzOhQ/t+YJ5TRzdPZv8&#10;StlXBOpavLfYK8m8K8ZOp+RJvxHVz0Zdo6M2wov7wnPyIV413970WXB3+fWzz3r5eK1+AQAA//8D&#10;AFBLAwQUAAYACAAAACEA8kEFW9sAAAAGAQAADwAAAGRycy9kb3ducmV2LnhtbEyPQW/CMAyF75P4&#10;D5En7QbpgKGpa4rQqh04AtPOoTFtt8TpmpSW/fqZXdjFetaz3vucrUdnxRm70HhS8DhLQCCV3jRU&#10;KXg/vE2fQYSoyWjrCRVcMMA6n9xlOjV+oB2e97ESHEIh1QrqGNtUylDW6HSY+RaJvZPvnI68dpU0&#10;nR443Fk5T5KVdLohbqh1i681ll/73ikwP6dLuxiGw3a7K/pv2xQFfnwq9XA/bl5ARBzj7Riu+IwO&#10;OTMdfU8mCKuAH4l/8+rNl8kSxJHV6mkBMs/kf/z8FwAA//8DAFBLAQItABQABgAIAAAAIQC2gziS&#10;/gAAAOEBAAATAAAAAAAAAAAAAAAAAAAAAABbQ29udGVudF9UeXBlc10ueG1sUEsBAi0AFAAGAAgA&#10;AAAhADj9If/WAAAAlAEAAAsAAAAAAAAAAAAAAAAALwEAAF9yZWxzLy5yZWxzUEsBAi0AFAAGAAgA&#10;AAAhAFugJm2NAgAABAUAAA4AAAAAAAAAAAAAAAAALgIAAGRycy9lMm9Eb2MueG1sUEsBAi0AFAAG&#10;AAgAAAAhAPJBBVvbAAAABgEAAA8AAAAAAAAAAAAAAAAA5wQAAGRycy9kb3ducmV2LnhtbFBLBQYA&#10;AAAABAAEAPMAAADvBQAAAAA=&#10;" o:allowincell="f" filled="f" stroked="f">
              <v:stroke joinstyle="round"/>
              <o:lock v:ext="edit" shapetype="t"/>
              <v:textbox style="mso-fit-shape-to-text:t">
                <w:txbxContent>
                  <w:p w14:paraId="25A6A546" w14:textId="77777777" w:rsidR="002F6DFA" w:rsidRDefault="002F6DFA" w:rsidP="002F6DFA">
                    <w:pPr>
                      <w:pStyle w:val="NormalWeb"/>
                      <w:spacing w:before="0" w:beforeAutospacing="0" w:after="0" w:afterAutospacing="0"/>
                      <w:jc w:val="center"/>
                    </w:pPr>
                    <w:r>
                      <w:rPr>
                        <w:color w:val="C0C0C0"/>
                        <w:sz w:val="2"/>
                        <w:szCs w:val="2"/>
                        <w14:textFill>
                          <w14:solidFill>
                            <w14:srgbClr w14:val="C0C0C0">
                              <w14:alpha w14:val="50000"/>
                            </w14:srgbClr>
                          </w14:solidFill>
                        </w14:textFill>
                      </w:rPr>
                      <w:t>VOTO PARTICULAR</w:t>
                    </w:r>
                  </w:p>
                </w:txbxContent>
              </v:textbox>
              <w10:wrap anchorx="margin" anchory="margin"/>
            </v:shape>
          </w:pict>
        </mc:Fallback>
      </mc:AlternateContent>
    </w:r>
    <w:r>
      <w:rPr>
        <w:rFonts w:ascii="Palatino Linotype" w:hAnsi="Palatino Linotype" w:cs="Tahoma"/>
        <w:b/>
      </w:rPr>
      <w:t>Voto disidente</w:t>
    </w:r>
  </w:p>
  <w:p w14:paraId="2DB67C83" w14:textId="4C626F3C" w:rsidR="0032435A" w:rsidRDefault="002F6DFA" w:rsidP="002F6DFA">
    <w:pPr>
      <w:pStyle w:val="Encabezado"/>
      <w:ind w:left="2835" w:right="-250"/>
    </w:pPr>
    <w:r>
      <w:rPr>
        <w:rFonts w:ascii="Palatino Linotype" w:hAnsi="Palatino Linotype" w:cs="Tahoma"/>
        <w:b/>
      </w:rPr>
      <w:t xml:space="preserve">Recurso de Revisión: </w:t>
    </w:r>
    <w:r w:rsidRPr="002F6DFA">
      <w:rPr>
        <w:rFonts w:eastAsia="Palatino Linotype" w:cs="Palatino Linotype"/>
        <w:color w:val="000000"/>
      </w:rPr>
      <w:t>03479/INFOEM/IP/RR/2023</w:t>
    </w:r>
    <w:r>
      <w:rPr>
        <w:rFonts w:ascii="Palatino Linotype" w:hAnsi="Palatino Linotype" w:cs="Tahoma"/>
        <w:b/>
      </w:rPr>
      <w:t xml:space="preserve">                                                Sujeto Obligado:</w:t>
    </w:r>
    <w:r>
      <w:rPr>
        <w:rFonts w:ascii="Palatino Linotype" w:eastAsia="Palatino Linotype" w:hAnsi="Palatino Linotype" w:cs="Palatino Linotype"/>
        <w:b/>
      </w:rPr>
      <w:t xml:space="preserve"> </w:t>
    </w:r>
    <w:r w:rsidRPr="002F6DFA">
      <w:rPr>
        <w:rFonts w:eastAsia="Palatino Linotype" w:cs="Palatino Linotype"/>
        <w:color w:val="000000"/>
      </w:rPr>
      <w:t xml:space="preserve">Poder Legislativo </w:t>
    </w:r>
    <w:r w:rsidR="0027224D">
      <w:rPr>
        <w:noProof/>
        <w:lang w:eastAsia="es-MX"/>
      </w:rPr>
      <w:drawing>
        <wp:anchor distT="0" distB="0" distL="114300" distR="114300" simplePos="0" relativeHeight="251662336" behindDoc="1" locked="0" layoutInCell="1" allowOverlap="1" wp14:anchorId="1FE8B2BA" wp14:editId="67544DAF">
          <wp:simplePos x="0" y="0"/>
          <wp:positionH relativeFrom="column">
            <wp:posOffset>-557473</wp:posOffset>
          </wp:positionH>
          <wp:positionV relativeFrom="paragraph">
            <wp:posOffset>-81981</wp:posOffset>
          </wp:positionV>
          <wp:extent cx="1591293" cy="935647"/>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27970" t="33724" r="60240" b="53952"/>
                  <a:stretch/>
                </pic:blipFill>
                <pic:spPr bwMode="auto">
                  <a:xfrm>
                    <a:off x="0" y="0"/>
                    <a:ext cx="1591293" cy="935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lang w:val="en-US"/>
      </w:rPr>
      <w:pict w14:anchorId="130B2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4CD3675C" w14:textId="77777777" w:rsidR="0032435A" w:rsidRDefault="003243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2057" w14:textId="77777777" w:rsidR="0032435A" w:rsidRDefault="00000000">
    <w:pPr>
      <w:pStyle w:val="Encabezado"/>
    </w:pPr>
    <w:r>
      <w:rPr>
        <w:noProof/>
        <w:lang w:val="en-US"/>
      </w:rPr>
      <w:pict w14:anchorId="2D48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B1A73"/>
    <w:multiLevelType w:val="hybridMultilevel"/>
    <w:tmpl w:val="6E8084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5D08D2"/>
    <w:multiLevelType w:val="hybridMultilevel"/>
    <w:tmpl w:val="6EF2AE00"/>
    <w:lvl w:ilvl="0" w:tplc="6616D4C6">
      <w:start w:val="1"/>
      <w:numFmt w:val="lowerLetter"/>
      <w:lvlText w:val="%1)"/>
      <w:lvlJc w:val="left"/>
      <w:pPr>
        <w:ind w:left="720" w:hanging="360"/>
      </w:pPr>
      <w:rPr>
        <w:rFonts w:eastAsia="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1620"/>
    <w:multiLevelType w:val="hybridMultilevel"/>
    <w:tmpl w:val="62F6F100"/>
    <w:lvl w:ilvl="0" w:tplc="257C80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DC722D3"/>
    <w:multiLevelType w:val="hybridMultilevel"/>
    <w:tmpl w:val="785A8D0E"/>
    <w:lvl w:ilvl="0" w:tplc="F8E4E530">
      <w:start w:val="1"/>
      <w:numFmt w:val="upperRoman"/>
      <w:lvlText w:val="%1."/>
      <w:lvlJc w:val="left"/>
      <w:pPr>
        <w:ind w:left="1080" w:hanging="720"/>
      </w:pPr>
      <w:rPr>
        <w:rFonts w:ascii="Palatino Linotype" w:hAnsi="Palatino Linotype" w:hint="default"/>
        <w:b/>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617DFB"/>
    <w:multiLevelType w:val="hybridMultilevel"/>
    <w:tmpl w:val="8F844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084F3C"/>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E19F6"/>
    <w:multiLevelType w:val="hybridMultilevel"/>
    <w:tmpl w:val="FB7A435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7D0697"/>
    <w:multiLevelType w:val="hybridMultilevel"/>
    <w:tmpl w:val="ABB48A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C640A2"/>
    <w:multiLevelType w:val="hybridMultilevel"/>
    <w:tmpl w:val="A4200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EB1A2A"/>
    <w:multiLevelType w:val="hybridMultilevel"/>
    <w:tmpl w:val="62F23D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345634BA"/>
    <w:lvl w:ilvl="0" w:tplc="50A2BCFA">
      <w:start w:val="1"/>
      <w:numFmt w:val="decimal"/>
      <w:lvlText w:val="%1."/>
      <w:lvlJc w:val="left"/>
      <w:pPr>
        <w:ind w:left="5039"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DC64492">
      <w:start w:val="5"/>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866BDB"/>
    <w:multiLevelType w:val="hybridMultilevel"/>
    <w:tmpl w:val="EE84DF4E"/>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15:restartNumberingAfterBreak="0">
    <w:nsid w:val="382533DB"/>
    <w:multiLevelType w:val="hybridMultilevel"/>
    <w:tmpl w:val="345648D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1066BC"/>
    <w:multiLevelType w:val="hybridMultilevel"/>
    <w:tmpl w:val="0B288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D92FD4"/>
    <w:multiLevelType w:val="hybridMultilevel"/>
    <w:tmpl w:val="25D2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45731CEF"/>
    <w:multiLevelType w:val="multilevel"/>
    <w:tmpl w:val="888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61492"/>
    <w:multiLevelType w:val="hybridMultilevel"/>
    <w:tmpl w:val="CAD01DB2"/>
    <w:lvl w:ilvl="0" w:tplc="B726CFF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85231C"/>
    <w:multiLevelType w:val="hybridMultilevel"/>
    <w:tmpl w:val="2AA8E96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4BCC06D5"/>
    <w:multiLevelType w:val="hybridMultilevel"/>
    <w:tmpl w:val="908CB0D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D35B30"/>
    <w:multiLevelType w:val="hybridMultilevel"/>
    <w:tmpl w:val="7646CFA6"/>
    <w:lvl w:ilvl="0" w:tplc="8DDCC7AA">
      <w:start w:val="4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4432D"/>
    <w:multiLevelType w:val="hybridMultilevel"/>
    <w:tmpl w:val="8EC6E7A6"/>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8B6025"/>
    <w:multiLevelType w:val="hybridMultilevel"/>
    <w:tmpl w:val="6804E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F4779B8"/>
    <w:multiLevelType w:val="hybridMultilevel"/>
    <w:tmpl w:val="D3CE1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3102028"/>
    <w:multiLevelType w:val="hybridMultilevel"/>
    <w:tmpl w:val="F41680FE"/>
    <w:lvl w:ilvl="0" w:tplc="25CEB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0A1793"/>
    <w:multiLevelType w:val="hybridMultilevel"/>
    <w:tmpl w:val="9920C8D2"/>
    <w:lvl w:ilvl="0" w:tplc="C666EAAC">
      <w:start w:val="4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D4FB1"/>
    <w:multiLevelType w:val="hybridMultilevel"/>
    <w:tmpl w:val="0A0CCE9C"/>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B25E4A"/>
    <w:multiLevelType w:val="hybridMultilevel"/>
    <w:tmpl w:val="AC220B64"/>
    <w:lvl w:ilvl="0" w:tplc="6256DB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755A6B"/>
    <w:multiLevelType w:val="multilevel"/>
    <w:tmpl w:val="E2B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761A4"/>
    <w:multiLevelType w:val="multilevel"/>
    <w:tmpl w:val="422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E249B"/>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E82A9B"/>
    <w:multiLevelType w:val="hybridMultilevel"/>
    <w:tmpl w:val="D5363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D0295B"/>
    <w:multiLevelType w:val="hybridMultilevel"/>
    <w:tmpl w:val="A4DAE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2707403">
    <w:abstractNumId w:val="29"/>
  </w:num>
  <w:num w:numId="2" w16cid:durableId="1945722638">
    <w:abstractNumId w:val="39"/>
  </w:num>
  <w:num w:numId="3" w16cid:durableId="1278487472">
    <w:abstractNumId w:val="0"/>
  </w:num>
  <w:num w:numId="4" w16cid:durableId="1308172257">
    <w:abstractNumId w:val="12"/>
  </w:num>
  <w:num w:numId="5" w16cid:durableId="354816451">
    <w:abstractNumId w:val="31"/>
  </w:num>
  <w:num w:numId="6" w16cid:durableId="1638799966">
    <w:abstractNumId w:val="25"/>
  </w:num>
  <w:num w:numId="7" w16cid:durableId="473329429">
    <w:abstractNumId w:val="21"/>
  </w:num>
  <w:num w:numId="8" w16cid:durableId="746851011">
    <w:abstractNumId w:val="1"/>
  </w:num>
  <w:num w:numId="9" w16cid:durableId="1826899358">
    <w:abstractNumId w:val="16"/>
  </w:num>
  <w:num w:numId="10" w16cid:durableId="621495613">
    <w:abstractNumId w:val="10"/>
  </w:num>
  <w:num w:numId="11" w16cid:durableId="230047216">
    <w:abstractNumId w:val="33"/>
  </w:num>
  <w:num w:numId="12" w16cid:durableId="2120028791">
    <w:abstractNumId w:val="5"/>
  </w:num>
  <w:num w:numId="13" w16cid:durableId="1849323681">
    <w:abstractNumId w:val="23"/>
  </w:num>
  <w:num w:numId="14" w16cid:durableId="53310198">
    <w:abstractNumId w:val="17"/>
  </w:num>
  <w:num w:numId="15" w16cid:durableId="299111326">
    <w:abstractNumId w:val="42"/>
  </w:num>
  <w:num w:numId="16" w16cid:durableId="571544238">
    <w:abstractNumId w:val="9"/>
  </w:num>
  <w:num w:numId="17" w16cid:durableId="753093973">
    <w:abstractNumId w:val="11"/>
  </w:num>
  <w:num w:numId="18" w16cid:durableId="1360544657">
    <w:abstractNumId w:val="43"/>
  </w:num>
  <w:num w:numId="19" w16cid:durableId="1380521018">
    <w:abstractNumId w:val="37"/>
  </w:num>
  <w:num w:numId="20" w16cid:durableId="66192043">
    <w:abstractNumId w:val="34"/>
  </w:num>
  <w:num w:numId="21" w16cid:durableId="508639999">
    <w:abstractNumId w:val="13"/>
  </w:num>
  <w:num w:numId="22" w16cid:durableId="457142908">
    <w:abstractNumId w:val="18"/>
  </w:num>
  <w:num w:numId="23" w16cid:durableId="87387820">
    <w:abstractNumId w:val="32"/>
  </w:num>
  <w:num w:numId="24" w16cid:durableId="1709181726">
    <w:abstractNumId w:val="24"/>
  </w:num>
  <w:num w:numId="25" w16cid:durableId="1930239291">
    <w:abstractNumId w:val="36"/>
  </w:num>
  <w:num w:numId="26" w16cid:durableId="2146582924">
    <w:abstractNumId w:val="28"/>
  </w:num>
  <w:num w:numId="27" w16cid:durableId="620692427">
    <w:abstractNumId w:val="3"/>
  </w:num>
  <w:num w:numId="28" w16cid:durableId="1009677511">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8189667">
    <w:abstractNumId w:val="14"/>
  </w:num>
  <w:num w:numId="30" w16cid:durableId="1820459529">
    <w:abstractNumId w:val="7"/>
  </w:num>
  <w:num w:numId="31" w16cid:durableId="123163777">
    <w:abstractNumId w:val="2"/>
  </w:num>
  <w:num w:numId="32" w16cid:durableId="1822959236">
    <w:abstractNumId w:val="38"/>
  </w:num>
  <w:num w:numId="33" w16cid:durableId="501284980">
    <w:abstractNumId w:val="35"/>
  </w:num>
  <w:num w:numId="34" w16cid:durableId="1600720479">
    <w:abstractNumId w:val="27"/>
  </w:num>
  <w:num w:numId="35" w16cid:durableId="2100254804">
    <w:abstractNumId w:val="19"/>
  </w:num>
  <w:num w:numId="36" w16cid:durableId="396127589">
    <w:abstractNumId w:val="26"/>
  </w:num>
  <w:num w:numId="37" w16cid:durableId="898638552">
    <w:abstractNumId w:val="44"/>
  </w:num>
  <w:num w:numId="38" w16cid:durableId="237861093">
    <w:abstractNumId w:val="41"/>
  </w:num>
  <w:num w:numId="39" w16cid:durableId="54552396">
    <w:abstractNumId w:val="22"/>
  </w:num>
  <w:num w:numId="40" w16cid:durableId="1409301515">
    <w:abstractNumId w:val="40"/>
  </w:num>
  <w:num w:numId="41" w16cid:durableId="1293100251">
    <w:abstractNumId w:val="15"/>
  </w:num>
  <w:num w:numId="42" w16cid:durableId="1910463265">
    <w:abstractNumId w:val="6"/>
  </w:num>
  <w:num w:numId="43" w16cid:durableId="1611233259">
    <w:abstractNumId w:val="20"/>
  </w:num>
  <w:num w:numId="44" w16cid:durableId="324631167">
    <w:abstractNumId w:val="8"/>
  </w:num>
  <w:num w:numId="45" w16cid:durableId="8146387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25"/>
    <w:rsid w:val="000150BA"/>
    <w:rsid w:val="00020546"/>
    <w:rsid w:val="0002610D"/>
    <w:rsid w:val="00032496"/>
    <w:rsid w:val="000345EC"/>
    <w:rsid w:val="00035866"/>
    <w:rsid w:val="00036132"/>
    <w:rsid w:val="0007183B"/>
    <w:rsid w:val="00072BBB"/>
    <w:rsid w:val="00080C89"/>
    <w:rsid w:val="00091FA7"/>
    <w:rsid w:val="000A29FD"/>
    <w:rsid w:val="000B2316"/>
    <w:rsid w:val="000C04B2"/>
    <w:rsid w:val="000C0654"/>
    <w:rsid w:val="000C3F66"/>
    <w:rsid w:val="000D2CB7"/>
    <w:rsid w:val="000D3249"/>
    <w:rsid w:val="000D7F5A"/>
    <w:rsid w:val="000F1716"/>
    <w:rsid w:val="00100221"/>
    <w:rsid w:val="00110AFC"/>
    <w:rsid w:val="001132CB"/>
    <w:rsid w:val="0011729D"/>
    <w:rsid w:val="00117A12"/>
    <w:rsid w:val="00122EB1"/>
    <w:rsid w:val="00141B6E"/>
    <w:rsid w:val="00141CDD"/>
    <w:rsid w:val="00147149"/>
    <w:rsid w:val="00152DB2"/>
    <w:rsid w:val="001701E1"/>
    <w:rsid w:val="00180BFE"/>
    <w:rsid w:val="00196054"/>
    <w:rsid w:val="001A1ECB"/>
    <w:rsid w:val="001A23A2"/>
    <w:rsid w:val="001B2FE3"/>
    <w:rsid w:val="001C4337"/>
    <w:rsid w:val="001E1ABF"/>
    <w:rsid w:val="001F2F98"/>
    <w:rsid w:val="001F4437"/>
    <w:rsid w:val="00207CD1"/>
    <w:rsid w:val="00212142"/>
    <w:rsid w:val="00213603"/>
    <w:rsid w:val="00215DCF"/>
    <w:rsid w:val="00225D99"/>
    <w:rsid w:val="0022651E"/>
    <w:rsid w:val="00230453"/>
    <w:rsid w:val="002307C0"/>
    <w:rsid w:val="0023130B"/>
    <w:rsid w:val="0023170E"/>
    <w:rsid w:val="00250780"/>
    <w:rsid w:val="00253D8C"/>
    <w:rsid w:val="00262FC1"/>
    <w:rsid w:val="0026420F"/>
    <w:rsid w:val="00265603"/>
    <w:rsid w:val="00265760"/>
    <w:rsid w:val="0027224D"/>
    <w:rsid w:val="0027773D"/>
    <w:rsid w:val="00277FA3"/>
    <w:rsid w:val="0029152A"/>
    <w:rsid w:val="002A30A3"/>
    <w:rsid w:val="002A43BC"/>
    <w:rsid w:val="002B000F"/>
    <w:rsid w:val="002B2DB8"/>
    <w:rsid w:val="002C0425"/>
    <w:rsid w:val="002D4A4A"/>
    <w:rsid w:val="002E2EBD"/>
    <w:rsid w:val="002F6DFA"/>
    <w:rsid w:val="00311B32"/>
    <w:rsid w:val="00320619"/>
    <w:rsid w:val="0032435A"/>
    <w:rsid w:val="00325F46"/>
    <w:rsid w:val="00337AD2"/>
    <w:rsid w:val="003442F0"/>
    <w:rsid w:val="0034598D"/>
    <w:rsid w:val="00345E9E"/>
    <w:rsid w:val="0035198B"/>
    <w:rsid w:val="0035698F"/>
    <w:rsid w:val="003603BF"/>
    <w:rsid w:val="00367EB2"/>
    <w:rsid w:val="0039183C"/>
    <w:rsid w:val="00392B10"/>
    <w:rsid w:val="0039495E"/>
    <w:rsid w:val="003B34A8"/>
    <w:rsid w:val="003C6C75"/>
    <w:rsid w:val="003D2531"/>
    <w:rsid w:val="003E23AB"/>
    <w:rsid w:val="003F100C"/>
    <w:rsid w:val="003F5F80"/>
    <w:rsid w:val="00401D61"/>
    <w:rsid w:val="004022C0"/>
    <w:rsid w:val="00406B19"/>
    <w:rsid w:val="00414AC0"/>
    <w:rsid w:val="004240AA"/>
    <w:rsid w:val="0042787B"/>
    <w:rsid w:val="0043259F"/>
    <w:rsid w:val="0044193D"/>
    <w:rsid w:val="00443B50"/>
    <w:rsid w:val="00461FE4"/>
    <w:rsid w:val="00465268"/>
    <w:rsid w:val="00466E0E"/>
    <w:rsid w:val="00490E5C"/>
    <w:rsid w:val="004919F3"/>
    <w:rsid w:val="0049418C"/>
    <w:rsid w:val="00494A1F"/>
    <w:rsid w:val="004966A0"/>
    <w:rsid w:val="004971E6"/>
    <w:rsid w:val="004B4437"/>
    <w:rsid w:val="004B46C5"/>
    <w:rsid w:val="004E488F"/>
    <w:rsid w:val="004E6086"/>
    <w:rsid w:val="004E63BF"/>
    <w:rsid w:val="004F39B9"/>
    <w:rsid w:val="004F7A40"/>
    <w:rsid w:val="005001CF"/>
    <w:rsid w:val="005002AA"/>
    <w:rsid w:val="00502CAF"/>
    <w:rsid w:val="00512D09"/>
    <w:rsid w:val="00521FB3"/>
    <w:rsid w:val="005224AF"/>
    <w:rsid w:val="00542F24"/>
    <w:rsid w:val="00551216"/>
    <w:rsid w:val="005533DB"/>
    <w:rsid w:val="005609E7"/>
    <w:rsid w:val="005644FF"/>
    <w:rsid w:val="00587D1C"/>
    <w:rsid w:val="00592A4B"/>
    <w:rsid w:val="00593CC1"/>
    <w:rsid w:val="005B0502"/>
    <w:rsid w:val="005B72F7"/>
    <w:rsid w:val="005C51D0"/>
    <w:rsid w:val="005C6624"/>
    <w:rsid w:val="005C7AE6"/>
    <w:rsid w:val="005D2534"/>
    <w:rsid w:val="005D265C"/>
    <w:rsid w:val="005E2FE4"/>
    <w:rsid w:val="005F252F"/>
    <w:rsid w:val="005F3130"/>
    <w:rsid w:val="005F796F"/>
    <w:rsid w:val="0060449E"/>
    <w:rsid w:val="0061369A"/>
    <w:rsid w:val="00621A70"/>
    <w:rsid w:val="00623067"/>
    <w:rsid w:val="00623B27"/>
    <w:rsid w:val="00623C8D"/>
    <w:rsid w:val="00624117"/>
    <w:rsid w:val="006263E7"/>
    <w:rsid w:val="00627742"/>
    <w:rsid w:val="00644903"/>
    <w:rsid w:val="00653B1C"/>
    <w:rsid w:val="00655896"/>
    <w:rsid w:val="0067698D"/>
    <w:rsid w:val="00685A99"/>
    <w:rsid w:val="006A24B8"/>
    <w:rsid w:val="006A4123"/>
    <w:rsid w:val="006A5D29"/>
    <w:rsid w:val="006B4F3E"/>
    <w:rsid w:val="006E10FC"/>
    <w:rsid w:val="006E6998"/>
    <w:rsid w:val="006F47DC"/>
    <w:rsid w:val="00702017"/>
    <w:rsid w:val="00703237"/>
    <w:rsid w:val="0070449D"/>
    <w:rsid w:val="00721415"/>
    <w:rsid w:val="007312EC"/>
    <w:rsid w:val="00731C1B"/>
    <w:rsid w:val="0074075A"/>
    <w:rsid w:val="00742484"/>
    <w:rsid w:val="00760EFD"/>
    <w:rsid w:val="00773410"/>
    <w:rsid w:val="007813AE"/>
    <w:rsid w:val="00781609"/>
    <w:rsid w:val="00781AF6"/>
    <w:rsid w:val="0078362A"/>
    <w:rsid w:val="007846D2"/>
    <w:rsid w:val="00792890"/>
    <w:rsid w:val="007B4FB5"/>
    <w:rsid w:val="007B5DDB"/>
    <w:rsid w:val="007B7418"/>
    <w:rsid w:val="007E071B"/>
    <w:rsid w:val="007F2468"/>
    <w:rsid w:val="007F4F75"/>
    <w:rsid w:val="007F7136"/>
    <w:rsid w:val="00802AAE"/>
    <w:rsid w:val="008179AF"/>
    <w:rsid w:val="0082021B"/>
    <w:rsid w:val="008317DA"/>
    <w:rsid w:val="0083752B"/>
    <w:rsid w:val="008421EE"/>
    <w:rsid w:val="00860F51"/>
    <w:rsid w:val="0087228E"/>
    <w:rsid w:val="0088136D"/>
    <w:rsid w:val="00881525"/>
    <w:rsid w:val="00883783"/>
    <w:rsid w:val="008855B5"/>
    <w:rsid w:val="008957BF"/>
    <w:rsid w:val="00895986"/>
    <w:rsid w:val="008A35D9"/>
    <w:rsid w:val="008A4B0D"/>
    <w:rsid w:val="008C5C3F"/>
    <w:rsid w:val="008D0A77"/>
    <w:rsid w:val="008D7436"/>
    <w:rsid w:val="008D7542"/>
    <w:rsid w:val="008F1B91"/>
    <w:rsid w:val="0090113F"/>
    <w:rsid w:val="0090379C"/>
    <w:rsid w:val="00910ECF"/>
    <w:rsid w:val="0091171B"/>
    <w:rsid w:val="0091259D"/>
    <w:rsid w:val="00913606"/>
    <w:rsid w:val="00915E1D"/>
    <w:rsid w:val="00930D24"/>
    <w:rsid w:val="00935E48"/>
    <w:rsid w:val="00941C31"/>
    <w:rsid w:val="00942EE7"/>
    <w:rsid w:val="00955528"/>
    <w:rsid w:val="00956804"/>
    <w:rsid w:val="00956E2E"/>
    <w:rsid w:val="00957415"/>
    <w:rsid w:val="0096045A"/>
    <w:rsid w:val="00962558"/>
    <w:rsid w:val="00964C1E"/>
    <w:rsid w:val="009655F8"/>
    <w:rsid w:val="00971074"/>
    <w:rsid w:val="009773F9"/>
    <w:rsid w:val="00986004"/>
    <w:rsid w:val="009956CF"/>
    <w:rsid w:val="0099743B"/>
    <w:rsid w:val="009A33FA"/>
    <w:rsid w:val="009A58DE"/>
    <w:rsid w:val="009B57E6"/>
    <w:rsid w:val="009C3593"/>
    <w:rsid w:val="009C6BB5"/>
    <w:rsid w:val="009F0A19"/>
    <w:rsid w:val="009F0BC5"/>
    <w:rsid w:val="009F4DB4"/>
    <w:rsid w:val="009F6385"/>
    <w:rsid w:val="00A00825"/>
    <w:rsid w:val="00A045DD"/>
    <w:rsid w:val="00A3574A"/>
    <w:rsid w:val="00A472F8"/>
    <w:rsid w:val="00A56443"/>
    <w:rsid w:val="00A96C44"/>
    <w:rsid w:val="00AA2CEC"/>
    <w:rsid w:val="00AA70FA"/>
    <w:rsid w:val="00AB2422"/>
    <w:rsid w:val="00AC21D4"/>
    <w:rsid w:val="00AD1A27"/>
    <w:rsid w:val="00AF53C4"/>
    <w:rsid w:val="00B00D57"/>
    <w:rsid w:val="00B0746B"/>
    <w:rsid w:val="00B14249"/>
    <w:rsid w:val="00B142A9"/>
    <w:rsid w:val="00B623D1"/>
    <w:rsid w:val="00B706FA"/>
    <w:rsid w:val="00B90ADC"/>
    <w:rsid w:val="00BA242B"/>
    <w:rsid w:val="00BA2B5D"/>
    <w:rsid w:val="00BA448C"/>
    <w:rsid w:val="00BB518F"/>
    <w:rsid w:val="00BC08D2"/>
    <w:rsid w:val="00BC4265"/>
    <w:rsid w:val="00BC78C8"/>
    <w:rsid w:val="00BE7153"/>
    <w:rsid w:val="00BF12C7"/>
    <w:rsid w:val="00C103C2"/>
    <w:rsid w:val="00C17E85"/>
    <w:rsid w:val="00C2473C"/>
    <w:rsid w:val="00C451F4"/>
    <w:rsid w:val="00C55CEA"/>
    <w:rsid w:val="00C62100"/>
    <w:rsid w:val="00C70C3A"/>
    <w:rsid w:val="00C7145E"/>
    <w:rsid w:val="00C72F11"/>
    <w:rsid w:val="00C77E23"/>
    <w:rsid w:val="00C849E8"/>
    <w:rsid w:val="00C86B5D"/>
    <w:rsid w:val="00C92C05"/>
    <w:rsid w:val="00C93048"/>
    <w:rsid w:val="00CA6E2D"/>
    <w:rsid w:val="00CB2960"/>
    <w:rsid w:val="00CC2672"/>
    <w:rsid w:val="00CD2100"/>
    <w:rsid w:val="00CD5C84"/>
    <w:rsid w:val="00CF197B"/>
    <w:rsid w:val="00CF5295"/>
    <w:rsid w:val="00D00A45"/>
    <w:rsid w:val="00D05906"/>
    <w:rsid w:val="00D07182"/>
    <w:rsid w:val="00D12B23"/>
    <w:rsid w:val="00D2011B"/>
    <w:rsid w:val="00D205C5"/>
    <w:rsid w:val="00D36786"/>
    <w:rsid w:val="00D55CB7"/>
    <w:rsid w:val="00D573A8"/>
    <w:rsid w:val="00D61A44"/>
    <w:rsid w:val="00D835C9"/>
    <w:rsid w:val="00D868A7"/>
    <w:rsid w:val="00D87FCD"/>
    <w:rsid w:val="00D90277"/>
    <w:rsid w:val="00D97982"/>
    <w:rsid w:val="00DB48D1"/>
    <w:rsid w:val="00DB7F8E"/>
    <w:rsid w:val="00E41ED1"/>
    <w:rsid w:val="00E427C6"/>
    <w:rsid w:val="00E42F7C"/>
    <w:rsid w:val="00E42F9C"/>
    <w:rsid w:val="00E5597A"/>
    <w:rsid w:val="00E579FB"/>
    <w:rsid w:val="00E62187"/>
    <w:rsid w:val="00E65FC8"/>
    <w:rsid w:val="00E6742A"/>
    <w:rsid w:val="00E97758"/>
    <w:rsid w:val="00EA0A08"/>
    <w:rsid w:val="00EC1AD4"/>
    <w:rsid w:val="00EC3F85"/>
    <w:rsid w:val="00ED65F6"/>
    <w:rsid w:val="00EE19CA"/>
    <w:rsid w:val="00EE29A1"/>
    <w:rsid w:val="00EE639D"/>
    <w:rsid w:val="00F173E3"/>
    <w:rsid w:val="00F26763"/>
    <w:rsid w:val="00F3052A"/>
    <w:rsid w:val="00F44F9A"/>
    <w:rsid w:val="00F46F66"/>
    <w:rsid w:val="00F579CF"/>
    <w:rsid w:val="00F60CF7"/>
    <w:rsid w:val="00F61727"/>
    <w:rsid w:val="00F644D1"/>
    <w:rsid w:val="00F679F4"/>
    <w:rsid w:val="00F67A7B"/>
    <w:rsid w:val="00F74857"/>
    <w:rsid w:val="00F819D6"/>
    <w:rsid w:val="00FA7EDC"/>
    <w:rsid w:val="00FB13AE"/>
    <w:rsid w:val="00FB5CBE"/>
    <w:rsid w:val="00FC740C"/>
    <w:rsid w:val="00FE301B"/>
    <w:rsid w:val="00FE35C7"/>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A795"/>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58"/>
  </w:style>
  <w:style w:type="paragraph" w:styleId="Ttulo1">
    <w:name w:val="heading 1"/>
    <w:basedOn w:val="Normal"/>
    <w:next w:val="Normal"/>
    <w:link w:val="Ttulo1Car"/>
    <w:uiPriority w:val="9"/>
    <w:qFormat/>
    <w:rsid w:val="00CD5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521F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21F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nhideWhenUsed/>
    <w:qFormat/>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aliases w:val="Car Ca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aliases w:val="Car Car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2496"/>
    <w:pPr>
      <w:ind w:left="720"/>
      <w:contextualSpacing/>
    </w:pPr>
  </w:style>
  <w:style w:type="paragraph" w:styleId="TDC1">
    <w:name w:val="toc 1"/>
    <w:basedOn w:val="Normal"/>
    <w:next w:val="Normal"/>
    <w:autoRedefine/>
    <w:uiPriority w:val="39"/>
    <w:unhideWhenUsed/>
    <w:rsid w:val="0034598D"/>
    <w:pPr>
      <w:tabs>
        <w:tab w:val="left" w:pos="440"/>
        <w:tab w:val="right" w:leader="dot" w:pos="8828"/>
      </w:tabs>
      <w:spacing w:after="0" w:line="360" w:lineRule="auto"/>
    </w:pPr>
  </w:style>
  <w:style w:type="paragraph" w:styleId="TDC2">
    <w:name w:val="toc 2"/>
    <w:basedOn w:val="Normal"/>
    <w:next w:val="Normal"/>
    <w:autoRedefine/>
    <w:uiPriority w:val="39"/>
    <w:unhideWhenUsed/>
    <w:rsid w:val="006E10FC"/>
    <w:pPr>
      <w:tabs>
        <w:tab w:val="left" w:pos="567"/>
        <w:tab w:val="right" w:leader="dot" w:pos="8828"/>
      </w:tabs>
      <w:spacing w:after="10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 w:type="paragraph" w:styleId="NormalWeb">
    <w:name w:val="Normal (Web)"/>
    <w:basedOn w:val="Normal"/>
    <w:uiPriority w:val="99"/>
    <w:unhideWhenUsed/>
    <w:rsid w:val="00E977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D5C84"/>
    <w:rPr>
      <w:rFonts w:asciiTheme="majorHAnsi" w:eastAsiaTheme="majorEastAsia" w:hAnsiTheme="majorHAnsi" w:cstheme="majorBidi"/>
      <w:color w:val="2E74B5" w:themeColor="accent1" w:themeShade="BF"/>
      <w:sz w:val="32"/>
      <w:szCs w:val="32"/>
    </w:rPr>
  </w:style>
  <w:style w:type="table" w:styleId="Tablaconcuadrcula6concolores-nfasis3">
    <w:name w:val="Grid Table 6 Colorful Accent 3"/>
    <w:basedOn w:val="Tablanormal"/>
    <w:uiPriority w:val="51"/>
    <w:rsid w:val="00CD5C84"/>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731C1B"/>
    <w:rPr>
      <w:color w:val="605E5C"/>
      <w:shd w:val="clear" w:color="auto" w:fill="E1DFDD"/>
    </w:rPr>
  </w:style>
  <w:style w:type="table" w:customStyle="1" w:styleId="Tablaconcuadrcula1">
    <w:name w:val="Tabla con cuadrícula1"/>
    <w:basedOn w:val="Tablanormal"/>
    <w:next w:val="Tablaconcuadrcula"/>
    <w:uiPriority w:val="59"/>
    <w:rsid w:val="005F79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F7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2D4A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2D4A4A"/>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12142"/>
    <w:rPr>
      <w:b/>
      <w:bCs/>
    </w:rPr>
  </w:style>
  <w:style w:type="paragraph" w:customStyle="1" w:styleId="m-698976158124685028gmail-msolistparagraph">
    <w:name w:val="m_-698976158124685028gmail-msolistparagraph"/>
    <w:basedOn w:val="Normal"/>
    <w:rsid w:val="007312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7312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7312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7312EC"/>
  </w:style>
  <w:style w:type="character" w:customStyle="1" w:styleId="Ttulo3Car">
    <w:name w:val="Título 3 Car"/>
    <w:basedOn w:val="Fuentedeprrafopredeter"/>
    <w:link w:val="Ttulo3"/>
    <w:uiPriority w:val="9"/>
    <w:rsid w:val="00521FB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521FB3"/>
    <w:rPr>
      <w:rFonts w:asciiTheme="majorHAnsi" w:eastAsiaTheme="majorEastAsia" w:hAnsiTheme="majorHAnsi" w:cstheme="majorBidi"/>
      <w:i/>
      <w:iCs/>
      <w:color w:val="2E74B5" w:themeColor="accent1" w:themeShade="BF"/>
    </w:rPr>
  </w:style>
  <w:style w:type="character" w:customStyle="1" w:styleId="cs4vcb-pgl6qe-ysggef">
    <w:name w:val="cs4vcb-pgl6qe-ysggef"/>
    <w:basedOn w:val="Fuentedeprrafopredeter"/>
    <w:rsid w:val="0052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1923">
      <w:bodyDiv w:val="1"/>
      <w:marLeft w:val="0"/>
      <w:marRight w:val="0"/>
      <w:marTop w:val="0"/>
      <w:marBottom w:val="0"/>
      <w:divBdr>
        <w:top w:val="none" w:sz="0" w:space="0" w:color="auto"/>
        <w:left w:val="none" w:sz="0" w:space="0" w:color="auto"/>
        <w:bottom w:val="none" w:sz="0" w:space="0" w:color="auto"/>
        <w:right w:val="none" w:sz="0" w:space="0" w:color="auto"/>
      </w:divBdr>
    </w:div>
    <w:div w:id="410977158">
      <w:bodyDiv w:val="1"/>
      <w:marLeft w:val="0"/>
      <w:marRight w:val="0"/>
      <w:marTop w:val="0"/>
      <w:marBottom w:val="0"/>
      <w:divBdr>
        <w:top w:val="none" w:sz="0" w:space="0" w:color="auto"/>
        <w:left w:val="none" w:sz="0" w:space="0" w:color="auto"/>
        <w:bottom w:val="none" w:sz="0" w:space="0" w:color="auto"/>
        <w:right w:val="none" w:sz="0" w:space="0" w:color="auto"/>
      </w:divBdr>
    </w:div>
    <w:div w:id="538712521">
      <w:bodyDiv w:val="1"/>
      <w:marLeft w:val="0"/>
      <w:marRight w:val="0"/>
      <w:marTop w:val="0"/>
      <w:marBottom w:val="0"/>
      <w:divBdr>
        <w:top w:val="none" w:sz="0" w:space="0" w:color="auto"/>
        <w:left w:val="none" w:sz="0" w:space="0" w:color="auto"/>
        <w:bottom w:val="none" w:sz="0" w:space="0" w:color="auto"/>
        <w:right w:val="none" w:sz="0" w:space="0" w:color="auto"/>
      </w:divBdr>
    </w:div>
    <w:div w:id="1224831947">
      <w:bodyDiv w:val="1"/>
      <w:marLeft w:val="0"/>
      <w:marRight w:val="0"/>
      <w:marTop w:val="0"/>
      <w:marBottom w:val="0"/>
      <w:divBdr>
        <w:top w:val="none" w:sz="0" w:space="0" w:color="auto"/>
        <w:left w:val="none" w:sz="0" w:space="0" w:color="auto"/>
        <w:bottom w:val="none" w:sz="0" w:space="0" w:color="auto"/>
        <w:right w:val="none" w:sz="0" w:space="0" w:color="auto"/>
      </w:divBdr>
      <w:divsChild>
        <w:div w:id="220486352">
          <w:marLeft w:val="0"/>
          <w:marRight w:val="0"/>
          <w:marTop w:val="0"/>
          <w:marBottom w:val="0"/>
          <w:divBdr>
            <w:top w:val="none" w:sz="0" w:space="0" w:color="auto"/>
            <w:left w:val="none" w:sz="0" w:space="0" w:color="auto"/>
            <w:bottom w:val="none" w:sz="0" w:space="0" w:color="auto"/>
            <w:right w:val="none" w:sz="0" w:space="0" w:color="auto"/>
          </w:divBdr>
        </w:div>
        <w:div w:id="1625429602">
          <w:marLeft w:val="0"/>
          <w:marRight w:val="0"/>
          <w:marTop w:val="0"/>
          <w:marBottom w:val="0"/>
          <w:divBdr>
            <w:top w:val="none" w:sz="0" w:space="0" w:color="auto"/>
            <w:left w:val="none" w:sz="0" w:space="0" w:color="auto"/>
            <w:bottom w:val="none" w:sz="0" w:space="0" w:color="auto"/>
            <w:right w:val="none" w:sz="0" w:space="0" w:color="auto"/>
          </w:divBdr>
          <w:divsChild>
            <w:div w:id="108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34994">
      <w:bodyDiv w:val="1"/>
      <w:marLeft w:val="0"/>
      <w:marRight w:val="0"/>
      <w:marTop w:val="0"/>
      <w:marBottom w:val="0"/>
      <w:divBdr>
        <w:top w:val="none" w:sz="0" w:space="0" w:color="auto"/>
        <w:left w:val="none" w:sz="0" w:space="0" w:color="auto"/>
        <w:bottom w:val="none" w:sz="0" w:space="0" w:color="auto"/>
        <w:right w:val="none" w:sz="0" w:space="0" w:color="auto"/>
      </w:divBdr>
      <w:divsChild>
        <w:div w:id="1719695306">
          <w:marLeft w:val="0"/>
          <w:marRight w:val="0"/>
          <w:marTop w:val="0"/>
          <w:marBottom w:val="0"/>
          <w:divBdr>
            <w:top w:val="none" w:sz="0" w:space="0" w:color="auto"/>
            <w:left w:val="none" w:sz="0" w:space="0" w:color="auto"/>
            <w:bottom w:val="none" w:sz="0" w:space="0" w:color="auto"/>
            <w:right w:val="none" w:sz="0" w:space="0" w:color="auto"/>
          </w:divBdr>
        </w:div>
        <w:div w:id="626934984">
          <w:marLeft w:val="0"/>
          <w:marRight w:val="0"/>
          <w:marTop w:val="120"/>
          <w:marBottom w:val="120"/>
          <w:divBdr>
            <w:top w:val="single" w:sz="6" w:space="9" w:color="D2D2D2"/>
            <w:left w:val="single" w:sz="6" w:space="9" w:color="D2D2D2"/>
            <w:bottom w:val="single" w:sz="6" w:space="9" w:color="D2D2D2"/>
            <w:right w:val="single" w:sz="6" w:space="9" w:color="D2D2D2"/>
          </w:divBdr>
        </w:div>
      </w:divsChild>
    </w:div>
    <w:div w:id="1640040101">
      <w:bodyDiv w:val="1"/>
      <w:marLeft w:val="0"/>
      <w:marRight w:val="0"/>
      <w:marTop w:val="0"/>
      <w:marBottom w:val="0"/>
      <w:divBdr>
        <w:top w:val="none" w:sz="0" w:space="0" w:color="auto"/>
        <w:left w:val="none" w:sz="0" w:space="0" w:color="auto"/>
        <w:bottom w:val="none" w:sz="0" w:space="0" w:color="auto"/>
        <w:right w:val="none" w:sz="0" w:space="0" w:color="auto"/>
      </w:divBdr>
      <w:divsChild>
        <w:div w:id="1094940848">
          <w:marLeft w:val="0"/>
          <w:marRight w:val="0"/>
          <w:marTop w:val="0"/>
          <w:marBottom w:val="0"/>
          <w:divBdr>
            <w:top w:val="none" w:sz="0" w:space="0" w:color="auto"/>
            <w:left w:val="none" w:sz="0" w:space="0" w:color="auto"/>
            <w:bottom w:val="none" w:sz="0" w:space="0" w:color="auto"/>
            <w:right w:val="none" w:sz="0" w:space="0" w:color="auto"/>
          </w:divBdr>
        </w:div>
        <w:div w:id="125127267">
          <w:marLeft w:val="0"/>
          <w:marRight w:val="0"/>
          <w:marTop w:val="120"/>
          <w:marBottom w:val="120"/>
          <w:divBdr>
            <w:top w:val="single" w:sz="6" w:space="9" w:color="D2D2D2"/>
            <w:left w:val="single" w:sz="6" w:space="9" w:color="D2D2D2"/>
            <w:bottom w:val="single" w:sz="6" w:space="9" w:color="D2D2D2"/>
            <w:right w:val="single" w:sz="6" w:space="9" w:color="D2D2D2"/>
          </w:divBdr>
          <w:divsChild>
            <w:div w:id="4722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4022">
      <w:bodyDiv w:val="1"/>
      <w:marLeft w:val="0"/>
      <w:marRight w:val="0"/>
      <w:marTop w:val="0"/>
      <w:marBottom w:val="0"/>
      <w:divBdr>
        <w:top w:val="none" w:sz="0" w:space="0" w:color="auto"/>
        <w:left w:val="none" w:sz="0" w:space="0" w:color="auto"/>
        <w:bottom w:val="none" w:sz="0" w:space="0" w:color="auto"/>
        <w:right w:val="none" w:sz="0" w:space="0" w:color="auto"/>
      </w:divBdr>
      <w:divsChild>
        <w:div w:id="226114284">
          <w:marLeft w:val="0"/>
          <w:marRight w:val="0"/>
          <w:marTop w:val="0"/>
          <w:marBottom w:val="0"/>
          <w:divBdr>
            <w:top w:val="none" w:sz="0" w:space="0" w:color="auto"/>
            <w:left w:val="none" w:sz="0" w:space="0" w:color="auto"/>
            <w:bottom w:val="none" w:sz="0" w:space="0" w:color="auto"/>
            <w:right w:val="none" w:sz="0" w:space="0" w:color="auto"/>
          </w:divBdr>
        </w:div>
        <w:div w:id="1452935461">
          <w:marLeft w:val="0"/>
          <w:marRight w:val="0"/>
          <w:marTop w:val="120"/>
          <w:marBottom w:val="120"/>
          <w:divBdr>
            <w:top w:val="single" w:sz="6" w:space="9" w:color="D2D2D2"/>
            <w:left w:val="single" w:sz="6" w:space="9" w:color="D2D2D2"/>
            <w:bottom w:val="single" w:sz="6" w:space="9" w:color="D2D2D2"/>
            <w:right w:val="single" w:sz="6" w:space="9" w:color="D2D2D2"/>
          </w:divBdr>
          <w:divsChild>
            <w:div w:id="2127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370/4.pdf" TargetMode="External"/><Relationship Id="rId2" Type="http://schemas.openxmlformats.org/officeDocument/2006/relationships/hyperlink" Target="https://www.corteidh.or.cr/sitios/libros/todos/docs/cuadernillo23.pdf" TargetMode="External"/><Relationship Id="rId1" Type="http://schemas.openxmlformats.org/officeDocument/2006/relationships/hyperlink" Target="https://www.inegi.org.mx/contenidos/saladeprensa/aproposito/2023/EAP_vsCorrup2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E439-69A5-47DE-B0C6-84898186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3446</Words>
  <Characters>18953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Infoem600</cp:lastModifiedBy>
  <cp:revision>12</cp:revision>
  <cp:lastPrinted>2023-12-11T22:04:00Z</cp:lastPrinted>
  <dcterms:created xsi:type="dcterms:W3CDTF">2023-12-08T20:19:00Z</dcterms:created>
  <dcterms:modified xsi:type="dcterms:W3CDTF">2024-02-09T17:32:00Z</dcterms:modified>
</cp:coreProperties>
</file>