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00D0C" w14:textId="77777777" w:rsidR="00925877" w:rsidRPr="00343A4C" w:rsidRDefault="00925877" w:rsidP="0046182D">
      <w:pPr>
        <w:pStyle w:val="Encabezado"/>
        <w:spacing w:line="360" w:lineRule="auto"/>
        <w:ind w:right="49"/>
        <w:jc w:val="both"/>
        <w:rPr>
          <w:rFonts w:ascii="Palatino Linotype" w:hAnsi="Palatino Linotype" w:cs="Tahoma"/>
          <w:b/>
          <w:sz w:val="10"/>
          <w:szCs w:val="10"/>
        </w:rPr>
      </w:pPr>
    </w:p>
    <w:p w14:paraId="31D3AAEE" w14:textId="2C73623F" w:rsidR="0046182D" w:rsidRPr="00925877" w:rsidRDefault="008B5910" w:rsidP="0046182D">
      <w:pPr>
        <w:pStyle w:val="Encabezado"/>
        <w:spacing w:line="360" w:lineRule="auto"/>
        <w:ind w:right="49"/>
        <w:jc w:val="both"/>
        <w:rPr>
          <w:rFonts w:ascii="Palatino Linotype" w:hAnsi="Palatino Linotype" w:cs="Tahoma"/>
          <w:b/>
        </w:rPr>
      </w:pPr>
      <w:r w:rsidRPr="00925877">
        <w:rPr>
          <w:rFonts w:ascii="Palatino Linotype" w:hAnsi="Palatino Linotype" w:cs="Tahoma"/>
          <w:b/>
        </w:rPr>
        <w:t xml:space="preserve">VOTO </w:t>
      </w:r>
      <w:r w:rsidR="005C7EF3" w:rsidRPr="00925877">
        <w:rPr>
          <w:rFonts w:ascii="Palatino Linotype" w:hAnsi="Palatino Linotype" w:cs="Tahoma"/>
          <w:b/>
        </w:rPr>
        <w:t xml:space="preserve">DISIDENTE </w:t>
      </w:r>
      <w:r w:rsidRPr="00925877">
        <w:rPr>
          <w:rFonts w:ascii="Palatino Linotype" w:hAnsi="Palatino Linotype" w:cs="Tahoma"/>
          <w:b/>
        </w:rPr>
        <w:t xml:space="preserve">QUE FORMULA EL COMISIONADO LUIS GUSTAVO PARRA NORIEGA, A LA RESOLUCIÓN DEL RECURSO DE REVISIÓN </w:t>
      </w:r>
      <w:r w:rsidR="00693863" w:rsidRPr="00925877">
        <w:rPr>
          <w:rFonts w:ascii="Palatino Linotype" w:hAnsi="Palatino Linotype" w:cs="Arial"/>
          <w:b/>
          <w:bCs/>
          <w:lang w:val="es-MX" w:eastAsia="es-MX"/>
        </w:rPr>
        <w:t>0</w:t>
      </w:r>
      <w:r w:rsidR="00052C7F">
        <w:rPr>
          <w:rFonts w:ascii="Palatino Linotype" w:hAnsi="Palatino Linotype" w:cs="Arial"/>
          <w:b/>
          <w:bCs/>
          <w:lang w:val="es-MX" w:eastAsia="es-MX"/>
        </w:rPr>
        <w:t>4610</w:t>
      </w:r>
      <w:r w:rsidR="00C66575" w:rsidRPr="00925877">
        <w:rPr>
          <w:rFonts w:ascii="Palatino Linotype" w:hAnsi="Palatino Linotype" w:cs="Arial"/>
          <w:b/>
          <w:bCs/>
          <w:lang w:val="es-MX" w:eastAsia="es-MX"/>
        </w:rPr>
        <w:t>/INFOEM/IP/RR/202</w:t>
      </w:r>
      <w:r w:rsidR="00693863" w:rsidRPr="00925877">
        <w:rPr>
          <w:rFonts w:ascii="Palatino Linotype" w:hAnsi="Palatino Linotype" w:cs="Arial"/>
          <w:b/>
          <w:bCs/>
          <w:lang w:val="es-MX" w:eastAsia="es-MX"/>
        </w:rPr>
        <w:t>3</w:t>
      </w:r>
      <w:r w:rsidR="00306972" w:rsidRPr="00925877">
        <w:rPr>
          <w:rFonts w:ascii="Palatino Linotype" w:hAnsi="Palatino Linotype" w:cs="Arial"/>
          <w:b/>
          <w:bCs/>
          <w:lang w:val="es-MX" w:eastAsia="es-MX"/>
        </w:rPr>
        <w:t>,</w:t>
      </w:r>
      <w:r w:rsidRPr="00925877">
        <w:rPr>
          <w:rFonts w:ascii="Palatino Linotype" w:hAnsi="Palatino Linotype" w:cs="Tahoma"/>
          <w:b/>
        </w:rPr>
        <w:t xml:space="preserve"> PROMOVIDO EN CONTRA </w:t>
      </w:r>
      <w:r w:rsidR="0066215C" w:rsidRPr="00925877">
        <w:rPr>
          <w:rFonts w:ascii="Palatino Linotype" w:hAnsi="Palatino Linotype" w:cs="Tahoma"/>
          <w:b/>
        </w:rPr>
        <w:t>DE</w:t>
      </w:r>
      <w:r w:rsidR="00052C7F">
        <w:rPr>
          <w:rFonts w:ascii="Palatino Linotype" w:hAnsi="Palatino Linotype" w:cs="Tahoma"/>
          <w:b/>
        </w:rPr>
        <w:t>L PODER LEGISLATIVO</w:t>
      </w:r>
      <w:r w:rsidR="00693863" w:rsidRPr="00925877">
        <w:rPr>
          <w:rFonts w:ascii="Palatino Linotype" w:hAnsi="Palatino Linotype" w:cs="Tahoma"/>
          <w:b/>
        </w:rPr>
        <w:t>.</w:t>
      </w:r>
    </w:p>
    <w:p w14:paraId="00A28B5B" w14:textId="77777777" w:rsidR="00342EE6" w:rsidRPr="00925877" w:rsidRDefault="00342EE6" w:rsidP="0046182D">
      <w:pPr>
        <w:pStyle w:val="Encabezado"/>
        <w:spacing w:line="360" w:lineRule="auto"/>
        <w:ind w:right="49"/>
        <w:jc w:val="both"/>
        <w:rPr>
          <w:rFonts w:ascii="Palatino Linotype" w:hAnsi="Palatino Linotype" w:cs="Tahoma"/>
        </w:rPr>
      </w:pPr>
    </w:p>
    <w:p w14:paraId="454829E5" w14:textId="752A11E1" w:rsidR="00F84B95" w:rsidRPr="00925877" w:rsidRDefault="00342EE6" w:rsidP="00342EE6">
      <w:pPr>
        <w:pStyle w:val="Encabezado"/>
        <w:spacing w:line="360" w:lineRule="auto"/>
        <w:ind w:right="49"/>
        <w:jc w:val="both"/>
        <w:rPr>
          <w:rFonts w:ascii="Palatino Linotype" w:hAnsi="Palatino Linotype" w:cs="Tahoma"/>
          <w:b/>
        </w:rPr>
      </w:pPr>
      <w:r w:rsidRPr="00925877">
        <w:rPr>
          <w:rFonts w:ascii="Palatino Linotype" w:hAnsi="Palatino Linotype" w:cs="Tahoma"/>
        </w:rPr>
        <w:t xml:space="preserve">El Pleno del Instituto de Transparencia, Acceso a la Información Pública y Protección de Datos Personales del Estado de México resolvió por </w:t>
      </w:r>
      <w:r w:rsidR="00052C7F">
        <w:rPr>
          <w:rFonts w:ascii="Palatino Linotype" w:hAnsi="Palatino Linotype" w:cs="Tahoma"/>
        </w:rPr>
        <w:t>unanimidad</w:t>
      </w:r>
      <w:r w:rsidRPr="00925877">
        <w:rPr>
          <w:rFonts w:ascii="Palatino Linotype" w:hAnsi="Palatino Linotype" w:cs="Tahoma"/>
        </w:rPr>
        <w:t xml:space="preserve"> de votos, la Resolución relativa al Recurso de Revisión </w:t>
      </w:r>
      <w:r w:rsidR="00BC543A" w:rsidRPr="00925877">
        <w:rPr>
          <w:rFonts w:ascii="Palatino Linotype" w:hAnsi="Palatino Linotype" w:cs="Tahoma"/>
          <w:b/>
          <w:bCs/>
        </w:rPr>
        <w:t>0</w:t>
      </w:r>
      <w:r w:rsidR="00052C7F">
        <w:rPr>
          <w:rFonts w:ascii="Palatino Linotype" w:hAnsi="Palatino Linotype" w:cs="Tahoma"/>
          <w:b/>
          <w:bCs/>
        </w:rPr>
        <w:t>4610</w:t>
      </w:r>
      <w:r w:rsidR="00D25706" w:rsidRPr="00925877">
        <w:rPr>
          <w:rFonts w:ascii="Palatino Linotype" w:hAnsi="Palatino Linotype" w:cs="Tahoma"/>
          <w:b/>
          <w:bCs/>
        </w:rPr>
        <w:t>/INFOEM/IP/RR/202</w:t>
      </w:r>
      <w:r w:rsidR="00BC543A" w:rsidRPr="00925877">
        <w:rPr>
          <w:rFonts w:ascii="Palatino Linotype" w:hAnsi="Palatino Linotype" w:cs="Tahoma"/>
          <w:b/>
          <w:bCs/>
        </w:rPr>
        <w:t>3</w:t>
      </w:r>
      <w:r w:rsidRPr="00925877">
        <w:rPr>
          <w:rFonts w:ascii="Palatino Linotype" w:hAnsi="Palatino Linotype" w:cs="Tahoma"/>
        </w:rPr>
        <w:t xml:space="preserve">, presentada por </w:t>
      </w:r>
      <w:r w:rsidR="00052C7F">
        <w:rPr>
          <w:rFonts w:ascii="Palatino Linotype" w:hAnsi="Palatino Linotype" w:cs="Tahoma"/>
        </w:rPr>
        <w:t>el</w:t>
      </w:r>
      <w:r w:rsidR="0066215C" w:rsidRPr="00925877">
        <w:rPr>
          <w:rFonts w:ascii="Palatino Linotype" w:hAnsi="Palatino Linotype" w:cs="Tahoma"/>
        </w:rPr>
        <w:t xml:space="preserve"> Comisionad</w:t>
      </w:r>
      <w:r w:rsidR="00052C7F">
        <w:rPr>
          <w:rFonts w:ascii="Palatino Linotype" w:hAnsi="Palatino Linotype" w:cs="Tahoma"/>
        </w:rPr>
        <w:t>o</w:t>
      </w:r>
      <w:r w:rsidR="0066215C" w:rsidRPr="00925877">
        <w:rPr>
          <w:rFonts w:ascii="Palatino Linotype" w:hAnsi="Palatino Linotype" w:cs="Tahoma"/>
        </w:rPr>
        <w:t xml:space="preserve"> </w:t>
      </w:r>
      <w:r w:rsidR="00052C7F">
        <w:rPr>
          <w:rFonts w:ascii="Palatino Linotype" w:hAnsi="Palatino Linotype" w:cs="Tahoma"/>
        </w:rPr>
        <w:t>José Martínez Vilchis</w:t>
      </w:r>
      <w:r w:rsidRPr="00925877">
        <w:rPr>
          <w:rFonts w:ascii="Palatino Linotype" w:hAnsi="Palatino Linotype" w:cs="Tahoma"/>
        </w:rPr>
        <w:t>, respecto de la cual el Comisionado Luis Gustavo Parra Noriega, emite Voto Disidente, e</w:t>
      </w:r>
      <w:r w:rsidR="0046182D" w:rsidRPr="00925877">
        <w:rPr>
          <w:rFonts w:ascii="Palatino Linotype" w:hAnsi="Palatino Linotype" w:cs="Tahoma"/>
        </w:rPr>
        <w:t xml:space="preserv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w:t>
      </w:r>
      <w:r w:rsidR="00C66575" w:rsidRPr="00925877">
        <w:rPr>
          <w:rFonts w:ascii="Palatino Linotype" w:hAnsi="Palatino Linotype" w:cs="Tahoma"/>
        </w:rPr>
        <w:t>XIX</w:t>
      </w:r>
      <w:r w:rsidR="0046182D" w:rsidRPr="00925877">
        <w:rPr>
          <w:rFonts w:ascii="Palatino Linotype" w:hAnsi="Palatino Linotype" w:cs="Tahoma"/>
        </w:rPr>
        <w:t xml:space="preserve">, 45, 48, fracción </w:t>
      </w:r>
      <w:r w:rsidR="00C66575" w:rsidRPr="00925877">
        <w:rPr>
          <w:rFonts w:ascii="Palatino Linotype" w:hAnsi="Palatino Linotype" w:cs="Tahoma"/>
        </w:rPr>
        <w:t>I</w:t>
      </w:r>
      <w:r w:rsidR="0046182D" w:rsidRPr="00925877">
        <w:rPr>
          <w:rFonts w:ascii="Palatino Linotype" w:hAnsi="Palatino Linotype" w:cs="Tahoma"/>
        </w:rPr>
        <w:t>I, de los Lineamientos para el funcionamiento del Pleno y las Comisiones del Instituto de Transparencia, Acceso a la Información Pública y Protección de Datos Personales del Estado de México y Municipios</w:t>
      </w:r>
      <w:r w:rsidRPr="00925877">
        <w:rPr>
          <w:rFonts w:ascii="Palatino Linotype" w:hAnsi="Palatino Linotype" w:cs="Tahoma"/>
        </w:rPr>
        <w:t>.</w:t>
      </w:r>
    </w:p>
    <w:p w14:paraId="7C7C0876" w14:textId="77777777" w:rsidR="00F84B95" w:rsidRPr="00925877" w:rsidRDefault="00F84B95" w:rsidP="00F84B95">
      <w:pPr>
        <w:spacing w:after="0" w:line="360" w:lineRule="auto"/>
        <w:jc w:val="both"/>
        <w:rPr>
          <w:rFonts w:ascii="Palatino Linotype" w:hAnsi="Palatino Linotype" w:cs="Tahoma"/>
        </w:rPr>
      </w:pPr>
    </w:p>
    <w:p w14:paraId="26F254F7" w14:textId="07C381C5" w:rsidR="00052C7F" w:rsidRDefault="00F84B95" w:rsidP="00F84B95">
      <w:pPr>
        <w:spacing w:after="0" w:line="360" w:lineRule="auto"/>
        <w:jc w:val="both"/>
        <w:rPr>
          <w:rFonts w:ascii="Palatino Linotype" w:hAnsi="Palatino Linotype" w:cs="Tahoma"/>
        </w:rPr>
      </w:pPr>
      <w:r w:rsidRPr="00925877">
        <w:rPr>
          <w:rFonts w:ascii="Palatino Linotype" w:hAnsi="Palatino Linotype" w:cs="Tahoma"/>
        </w:rPr>
        <w:t>Como se desprende de la Resolución que nos ocupa, el Solicitante requirió</w:t>
      </w:r>
      <w:r w:rsidR="00990E2D" w:rsidRPr="00925877">
        <w:rPr>
          <w:rFonts w:ascii="Palatino Linotype" w:hAnsi="Palatino Linotype" w:cs="Tahoma"/>
        </w:rPr>
        <w:t xml:space="preserve"> </w:t>
      </w:r>
      <w:r w:rsidR="00052C7F">
        <w:rPr>
          <w:rFonts w:ascii="Palatino Linotype" w:hAnsi="Palatino Linotype" w:cs="Tahoma"/>
        </w:rPr>
        <w:t>de</w:t>
      </w:r>
      <w:r w:rsidR="0083066E">
        <w:rPr>
          <w:rFonts w:ascii="Palatino Linotype" w:hAnsi="Palatino Linotype" w:cs="Tahoma"/>
        </w:rPr>
        <w:t xml:space="preserve"> un Organismo Municipal</w:t>
      </w:r>
      <w:r w:rsidR="00052C7F">
        <w:rPr>
          <w:rFonts w:ascii="Palatino Linotype" w:hAnsi="Palatino Linotype" w:cs="Tahoma"/>
        </w:rPr>
        <w:t>,</w:t>
      </w:r>
      <w:r w:rsidR="004A2054">
        <w:rPr>
          <w:rFonts w:ascii="Palatino Linotype" w:hAnsi="Palatino Linotype" w:cs="Tahoma"/>
        </w:rPr>
        <w:t xml:space="preserve"> el pago de</w:t>
      </w:r>
      <w:r w:rsidR="00052C7F">
        <w:rPr>
          <w:rFonts w:ascii="Palatino Linotype" w:hAnsi="Palatino Linotype" w:cs="Tahoma"/>
        </w:rPr>
        <w:t xml:space="preserve"> la quincena del primero al quince de agosto de dos mil veintitrés</w:t>
      </w:r>
      <w:r w:rsidR="0066215C" w:rsidRPr="00925877">
        <w:rPr>
          <w:rFonts w:ascii="Palatino Linotype" w:hAnsi="Palatino Linotype" w:cs="Tahoma"/>
        </w:rPr>
        <w:t xml:space="preserve">, </w:t>
      </w:r>
      <w:r w:rsidR="008452EC" w:rsidRPr="00925877">
        <w:rPr>
          <w:rFonts w:ascii="Palatino Linotype" w:hAnsi="Palatino Linotype" w:cs="Tahoma"/>
        </w:rPr>
        <w:t>en respuesta,</w:t>
      </w:r>
      <w:r w:rsidR="0066215C" w:rsidRPr="00925877">
        <w:rPr>
          <w:rFonts w:ascii="Palatino Linotype" w:hAnsi="Palatino Linotype" w:cs="Tahoma"/>
        </w:rPr>
        <w:t xml:space="preserve"> el Sujeto Obligado, </w:t>
      </w:r>
      <w:r w:rsidR="0083066E">
        <w:rPr>
          <w:rFonts w:ascii="Palatino Linotype" w:hAnsi="Palatino Linotype" w:cs="Tahoma"/>
        </w:rPr>
        <w:t xml:space="preserve">informó que los Organismos Municipales remiten su información financiera de manera trimestral, razón por la cual no contaba con la información. </w:t>
      </w:r>
    </w:p>
    <w:p w14:paraId="6349C852" w14:textId="77777777" w:rsidR="0083066E" w:rsidRPr="00925877" w:rsidRDefault="0083066E" w:rsidP="00F84B95">
      <w:pPr>
        <w:spacing w:after="0" w:line="360" w:lineRule="auto"/>
        <w:jc w:val="both"/>
        <w:rPr>
          <w:rFonts w:ascii="Palatino Linotype" w:hAnsi="Palatino Linotype" w:cs="Tahoma"/>
        </w:rPr>
      </w:pPr>
    </w:p>
    <w:p w14:paraId="4AE61ADB" w14:textId="37698E6F" w:rsidR="0066215C" w:rsidRPr="00925877" w:rsidRDefault="0066215C" w:rsidP="00F84B95">
      <w:pPr>
        <w:spacing w:after="0" w:line="360" w:lineRule="auto"/>
        <w:jc w:val="both"/>
        <w:rPr>
          <w:rFonts w:ascii="Palatino Linotype" w:hAnsi="Palatino Linotype" w:cs="Tahoma"/>
        </w:rPr>
      </w:pPr>
      <w:r w:rsidRPr="00925877">
        <w:rPr>
          <w:rFonts w:ascii="Palatino Linotype" w:hAnsi="Palatino Linotype" w:cs="Tahoma"/>
        </w:rPr>
        <w:t xml:space="preserve">El Particular, por su parte, se inconformó </w:t>
      </w:r>
      <w:r w:rsidR="004A2054">
        <w:rPr>
          <w:rFonts w:ascii="Palatino Linotype" w:hAnsi="Palatino Linotype" w:cs="Tahoma"/>
        </w:rPr>
        <w:t>bajo el argumento de</w:t>
      </w:r>
      <w:r w:rsidRPr="00925877">
        <w:rPr>
          <w:rFonts w:ascii="Palatino Linotype" w:hAnsi="Palatino Linotype" w:cs="Tahoma"/>
        </w:rPr>
        <w:t xml:space="preserve"> que </w:t>
      </w:r>
      <w:r w:rsidR="0083066E">
        <w:rPr>
          <w:rFonts w:ascii="Palatino Linotype" w:hAnsi="Palatino Linotype" w:cs="Tahoma"/>
        </w:rPr>
        <w:t xml:space="preserve">no </w:t>
      </w:r>
      <w:r w:rsidR="00134CA3">
        <w:rPr>
          <w:rFonts w:ascii="Palatino Linotype" w:hAnsi="Palatino Linotype" w:cs="Tahoma"/>
        </w:rPr>
        <w:t xml:space="preserve">le </w:t>
      </w:r>
      <w:r w:rsidR="0083066E">
        <w:rPr>
          <w:rFonts w:ascii="Palatino Linotype" w:hAnsi="Palatino Linotype" w:cs="Tahoma"/>
        </w:rPr>
        <w:t xml:space="preserve">entregó la información, </w:t>
      </w:r>
      <w:r w:rsidR="004A2054">
        <w:rPr>
          <w:rFonts w:ascii="Palatino Linotype" w:hAnsi="Palatino Linotype" w:cs="Tahoma"/>
        </w:rPr>
        <w:t>por lo que entonces requirió el</w:t>
      </w:r>
      <w:r w:rsidR="0083066E">
        <w:rPr>
          <w:rFonts w:ascii="Palatino Linotype" w:hAnsi="Palatino Linotype" w:cs="Tahoma"/>
        </w:rPr>
        <w:t xml:space="preserve"> in</w:t>
      </w:r>
      <w:r w:rsidR="004A2054">
        <w:rPr>
          <w:rFonts w:ascii="Palatino Linotype" w:hAnsi="Palatino Linotype" w:cs="Tahoma"/>
        </w:rPr>
        <w:t>forme</w:t>
      </w:r>
      <w:r w:rsidR="00134CA3">
        <w:rPr>
          <w:rFonts w:ascii="Palatino Linotype" w:hAnsi="Palatino Linotype" w:cs="Tahoma"/>
        </w:rPr>
        <w:t xml:space="preserve"> trimestral que contenga la información peticionada en la solicitud de información. </w:t>
      </w:r>
    </w:p>
    <w:p w14:paraId="47434BD4" w14:textId="77777777" w:rsidR="00134CA3" w:rsidRDefault="00134CA3" w:rsidP="00F84B95">
      <w:pPr>
        <w:spacing w:after="0" w:line="360" w:lineRule="auto"/>
        <w:jc w:val="both"/>
        <w:rPr>
          <w:rFonts w:ascii="Palatino Linotype" w:hAnsi="Palatino Linotype" w:cs="Tahoma"/>
        </w:rPr>
      </w:pPr>
    </w:p>
    <w:p w14:paraId="69224DB7" w14:textId="2C4F9B8F" w:rsidR="00CA3D30" w:rsidRDefault="00990E2D" w:rsidP="00F84B95">
      <w:pPr>
        <w:spacing w:after="0" w:line="360" w:lineRule="auto"/>
        <w:jc w:val="both"/>
        <w:rPr>
          <w:rFonts w:ascii="Palatino Linotype" w:hAnsi="Palatino Linotype" w:cs="Tahoma"/>
        </w:rPr>
      </w:pPr>
      <w:r w:rsidRPr="00925877">
        <w:rPr>
          <w:rFonts w:ascii="Palatino Linotype" w:hAnsi="Palatino Linotype" w:cs="Tahoma"/>
        </w:rPr>
        <w:lastRenderedPageBreak/>
        <w:t>En esta consecución de ideas,</w:t>
      </w:r>
      <w:r w:rsidR="00732624" w:rsidRPr="00925877">
        <w:rPr>
          <w:rFonts w:ascii="Palatino Linotype" w:hAnsi="Palatino Linotype" w:cs="Tahoma"/>
        </w:rPr>
        <w:t xml:space="preserve"> este Organismo Garante, determinó el sobreseimiento del presente medio de impugnación al d</w:t>
      </w:r>
      <w:r w:rsidR="008452EC" w:rsidRPr="00925877">
        <w:rPr>
          <w:rFonts w:ascii="Palatino Linotype" w:hAnsi="Palatino Linotype" w:cs="Tahoma"/>
        </w:rPr>
        <w:t>eterminar la improcedencia, por</w:t>
      </w:r>
      <w:r w:rsidR="00732624" w:rsidRPr="00925877">
        <w:rPr>
          <w:rFonts w:ascii="Palatino Linotype" w:hAnsi="Palatino Linotype" w:cs="Tahoma"/>
        </w:rPr>
        <w:t xml:space="preserve">que el Particular </w:t>
      </w:r>
      <w:r w:rsidR="00CA3D30">
        <w:rPr>
          <w:rFonts w:ascii="Palatino Linotype" w:hAnsi="Palatino Linotype" w:cs="Tahoma"/>
        </w:rPr>
        <w:t xml:space="preserve">sobre dicha inconformidad amplío su solicitud en el Recurso de Revisión, de conformidad con el artículo 192 fracción IV actualizando la causal de improcedencia del artículo 191 fracción VII </w:t>
      </w:r>
      <w:r w:rsidR="00CA3D30" w:rsidRPr="00925877">
        <w:rPr>
          <w:rFonts w:ascii="Palatino Linotype" w:hAnsi="Palatino Linotype" w:cs="Tahoma"/>
        </w:rPr>
        <w:t>de la Ley de Transparencia,</w:t>
      </w:r>
      <w:r w:rsidR="004A2054">
        <w:rPr>
          <w:rFonts w:ascii="Palatino Linotype" w:hAnsi="Palatino Linotype" w:cs="Tahoma"/>
        </w:rPr>
        <w:t xml:space="preserve"> vigente en el Estado de México, por considerar que se trataba de la ampliación de la solicitud.</w:t>
      </w:r>
    </w:p>
    <w:p w14:paraId="1741CE1D" w14:textId="77777777" w:rsidR="0066215C" w:rsidRPr="00925877" w:rsidRDefault="0066215C" w:rsidP="00F84B95">
      <w:pPr>
        <w:spacing w:after="0" w:line="360" w:lineRule="auto"/>
        <w:jc w:val="both"/>
        <w:rPr>
          <w:rFonts w:ascii="Palatino Linotype" w:hAnsi="Palatino Linotype" w:cs="Tahoma"/>
        </w:rPr>
      </w:pPr>
    </w:p>
    <w:p w14:paraId="2196CB64" w14:textId="584CF460" w:rsidR="006A0D2E" w:rsidRDefault="00CC24D8" w:rsidP="00F84B95">
      <w:pPr>
        <w:spacing w:after="0" w:line="360" w:lineRule="auto"/>
        <w:jc w:val="both"/>
        <w:rPr>
          <w:rFonts w:ascii="Palatino Linotype" w:hAnsi="Palatino Linotype" w:cs="Tahoma"/>
        </w:rPr>
      </w:pPr>
      <w:r w:rsidRPr="00925877">
        <w:rPr>
          <w:rFonts w:ascii="Palatino Linotype" w:hAnsi="Palatino Linotype" w:cs="Tahoma"/>
        </w:rPr>
        <w:t xml:space="preserve">Al respecto, </w:t>
      </w:r>
      <w:r w:rsidR="00732624" w:rsidRPr="00925877">
        <w:rPr>
          <w:rFonts w:ascii="Palatino Linotype" w:hAnsi="Palatino Linotype" w:cs="Tahoma"/>
        </w:rPr>
        <w:t xml:space="preserve">no coincido con la resolución pues considero que el Particular </w:t>
      </w:r>
      <w:r w:rsidR="00CA3D30">
        <w:rPr>
          <w:rFonts w:ascii="Palatino Linotype" w:hAnsi="Palatino Linotype" w:cs="Tahoma"/>
        </w:rPr>
        <w:t xml:space="preserve">requirió la misma información </w:t>
      </w:r>
      <w:r w:rsidR="009F114A">
        <w:rPr>
          <w:rFonts w:ascii="Palatino Linotype" w:hAnsi="Palatino Linotype" w:cs="Tahoma"/>
        </w:rPr>
        <w:t>de la solicitud de información que se encuentra integrada a la información financie</w:t>
      </w:r>
      <w:r w:rsidR="004A2054">
        <w:rPr>
          <w:rFonts w:ascii="Palatino Linotype" w:hAnsi="Palatino Linotype" w:cs="Tahoma"/>
        </w:rPr>
        <w:t>ra de manera trimestral; esto quiere decir precisó en dónde se encuentra la información que es de su interés, por lo que su intención nunca fue solicitar algo distinto que constituyera una ampliación de la solicitud, en este sentido, considero que</w:t>
      </w:r>
      <w:r w:rsidR="009F114A">
        <w:rPr>
          <w:rFonts w:ascii="Palatino Linotype" w:hAnsi="Palatino Linotype" w:cs="Tahoma"/>
        </w:rPr>
        <w:t xml:space="preserve">, </w:t>
      </w:r>
      <w:r w:rsidR="00732624" w:rsidRPr="00925877">
        <w:rPr>
          <w:rFonts w:ascii="Palatino Linotype" w:hAnsi="Palatino Linotype" w:cs="Tahoma"/>
        </w:rPr>
        <w:t xml:space="preserve">esgrimió argumentos suficientes para constreñir a este Organismo Garante a entrar al estudio de las constancias </w:t>
      </w:r>
      <w:r w:rsidR="009F114A">
        <w:rPr>
          <w:rFonts w:ascii="Palatino Linotype" w:hAnsi="Palatino Linotype" w:cs="Tahoma"/>
        </w:rPr>
        <w:t>y</w:t>
      </w:r>
      <w:r w:rsidR="006A0D2E">
        <w:rPr>
          <w:rFonts w:ascii="Palatino Linotype" w:hAnsi="Palatino Linotype" w:cs="Tahoma"/>
        </w:rPr>
        <w:t xml:space="preserve"> en todo caso ordenar la entrega de la información. </w:t>
      </w:r>
    </w:p>
    <w:p w14:paraId="1D100EF8" w14:textId="77777777" w:rsidR="00CA3D30" w:rsidRPr="00CA3D30" w:rsidRDefault="00CA3D30" w:rsidP="00F84B95">
      <w:pPr>
        <w:spacing w:after="0" w:line="360" w:lineRule="auto"/>
        <w:jc w:val="both"/>
        <w:rPr>
          <w:rFonts w:ascii="Palatino Linotype" w:hAnsi="Palatino Linotype" w:cs="Tahoma"/>
          <w:lang w:val="es-MX"/>
        </w:rPr>
      </w:pPr>
    </w:p>
    <w:p w14:paraId="55A011BD" w14:textId="40979B8A" w:rsidR="000176D3" w:rsidRPr="00925877" w:rsidRDefault="00EB3527" w:rsidP="00135502">
      <w:pPr>
        <w:spacing w:after="0" w:line="360" w:lineRule="auto"/>
        <w:jc w:val="both"/>
        <w:rPr>
          <w:rFonts w:ascii="Palatino Linotype" w:hAnsi="Palatino Linotype" w:cs="Tahoma"/>
        </w:rPr>
      </w:pPr>
      <w:r w:rsidRPr="00925877">
        <w:rPr>
          <w:rFonts w:ascii="Palatino Linotype" w:hAnsi="Palatino Linotype" w:cs="Tahoma"/>
        </w:rPr>
        <w:t xml:space="preserve">Así, contrario a lo planteado en la resolución sobre la que se emite el presente voto, se puede hallar </w:t>
      </w:r>
      <w:r w:rsidR="00D873E6" w:rsidRPr="00925877">
        <w:rPr>
          <w:rFonts w:ascii="Palatino Linotype" w:hAnsi="Palatino Linotype" w:cs="Tahoma"/>
        </w:rPr>
        <w:t>que existe una causal de procedencia, por lo que la determinación del sobreseimiento no guarda congruencia con las actuaciones.</w:t>
      </w:r>
    </w:p>
    <w:p w14:paraId="1C0F557D" w14:textId="77777777" w:rsidR="00D873E6" w:rsidRPr="00925877" w:rsidRDefault="00D873E6" w:rsidP="00DD7150">
      <w:pPr>
        <w:spacing w:after="0" w:line="360" w:lineRule="auto"/>
        <w:jc w:val="both"/>
        <w:rPr>
          <w:rFonts w:ascii="Palatino Linotype" w:hAnsi="Palatino Linotype" w:cs="Tahoma"/>
        </w:rPr>
      </w:pPr>
    </w:p>
    <w:p w14:paraId="6BB98B5F" w14:textId="0666B16F" w:rsidR="00135502" w:rsidRPr="00925877" w:rsidRDefault="00FA4218" w:rsidP="00DD7150">
      <w:pPr>
        <w:spacing w:after="0" w:line="360" w:lineRule="auto"/>
        <w:jc w:val="both"/>
        <w:rPr>
          <w:rFonts w:ascii="Palatino Linotype" w:hAnsi="Palatino Linotype" w:cs="Tahoma"/>
        </w:rPr>
      </w:pPr>
      <w:r w:rsidRPr="00925877">
        <w:rPr>
          <w:rFonts w:ascii="Palatino Linotype" w:hAnsi="Palatino Linotype" w:cs="Tahoma"/>
        </w:rPr>
        <w:t>Al respecto, l</w:t>
      </w:r>
      <w:r w:rsidR="00D873E6" w:rsidRPr="00925877">
        <w:rPr>
          <w:rFonts w:ascii="Palatino Linotype" w:hAnsi="Palatino Linotype" w:cs="Tahoma"/>
        </w:rPr>
        <w:t>a diferencia que existe entre s</w:t>
      </w:r>
      <w:r w:rsidR="00135502" w:rsidRPr="00925877">
        <w:rPr>
          <w:rFonts w:ascii="Palatino Linotype" w:hAnsi="Palatino Linotype" w:cs="Tahoma"/>
        </w:rPr>
        <w:t>obreseer</w:t>
      </w:r>
      <w:r w:rsidR="00D873E6" w:rsidRPr="00925877">
        <w:rPr>
          <w:rFonts w:ascii="Palatino Linotype" w:hAnsi="Palatino Linotype" w:cs="Tahoma"/>
        </w:rPr>
        <w:t xml:space="preserve"> y entrar al estudio de la información aportada en el expediente </w:t>
      </w:r>
      <w:r w:rsidR="000568CD" w:rsidRPr="00925877">
        <w:rPr>
          <w:rFonts w:ascii="Palatino Linotype" w:hAnsi="Palatino Linotype" w:cs="Tahoma"/>
        </w:rPr>
        <w:t>digital</w:t>
      </w:r>
      <w:r w:rsidR="00D873E6" w:rsidRPr="00925877">
        <w:rPr>
          <w:rFonts w:ascii="Palatino Linotype" w:hAnsi="Palatino Linotype" w:cs="Tahoma"/>
        </w:rPr>
        <w:t xml:space="preserve"> </w:t>
      </w:r>
      <w:r w:rsidR="000568CD" w:rsidRPr="00925877">
        <w:rPr>
          <w:rFonts w:ascii="Palatino Linotype" w:hAnsi="Palatino Linotype" w:cs="Tahoma"/>
        </w:rPr>
        <w:t>afecta o puede afectar en el sentido de la resolución</w:t>
      </w:r>
      <w:r w:rsidR="00135502" w:rsidRPr="00925877">
        <w:rPr>
          <w:rFonts w:ascii="Palatino Linotype" w:hAnsi="Palatino Linotype" w:cs="Tahoma"/>
        </w:rPr>
        <w:t>, para ello, cobra relevancia</w:t>
      </w:r>
      <w:r w:rsidR="00DD7150" w:rsidRPr="00925877">
        <w:rPr>
          <w:rFonts w:ascii="Palatino Linotype" w:hAnsi="Palatino Linotype" w:cs="Tahoma"/>
        </w:rPr>
        <w:t xml:space="preserve"> para efectos de criterio jurídico,</w:t>
      </w:r>
      <w:r w:rsidR="00135502" w:rsidRPr="00925877">
        <w:rPr>
          <w:rFonts w:ascii="Palatino Linotype" w:hAnsi="Palatino Linotype" w:cs="Tahoma"/>
        </w:rPr>
        <w:t xml:space="preserve"> la jurisprudencia</w:t>
      </w:r>
      <w:r w:rsidR="00DD7150" w:rsidRPr="00925877">
        <w:rPr>
          <w:rFonts w:ascii="Palatino Linotype" w:hAnsi="Palatino Linotype" w:cs="Tahoma"/>
        </w:rPr>
        <w:t xml:space="preserve">, emitida por la Segunda Sala de la </w:t>
      </w:r>
      <w:r w:rsidR="00135502" w:rsidRPr="00925877">
        <w:rPr>
          <w:rFonts w:ascii="Palatino Linotype" w:hAnsi="Palatino Linotype" w:cs="Tahoma"/>
        </w:rPr>
        <w:t>Suprema Corte de Justicia de la Nación</w:t>
      </w:r>
      <w:r w:rsidR="00DD7150" w:rsidRPr="00925877">
        <w:rPr>
          <w:rFonts w:ascii="Palatino Linotype" w:hAnsi="Palatino Linotype" w:cs="Tahoma"/>
        </w:rPr>
        <w:t>, con r</w:t>
      </w:r>
      <w:r w:rsidR="00135502" w:rsidRPr="00925877">
        <w:rPr>
          <w:rFonts w:ascii="Palatino Linotype" w:hAnsi="Palatino Linotype" w:cs="Tahoma"/>
        </w:rPr>
        <w:t>egistro digital 239006</w:t>
      </w:r>
      <w:r w:rsidR="00DD7150" w:rsidRPr="00925877">
        <w:rPr>
          <w:rFonts w:ascii="Palatino Linotype" w:hAnsi="Palatino Linotype" w:cs="Tahoma"/>
        </w:rPr>
        <w:t>, de la s</w:t>
      </w:r>
      <w:r w:rsidR="00135502" w:rsidRPr="00925877">
        <w:rPr>
          <w:rFonts w:ascii="Palatino Linotype" w:hAnsi="Palatino Linotype" w:cs="Tahoma"/>
        </w:rPr>
        <w:t xml:space="preserve">éptima </w:t>
      </w:r>
      <w:r w:rsidR="00DD7150" w:rsidRPr="00925877">
        <w:rPr>
          <w:rFonts w:ascii="Palatino Linotype" w:hAnsi="Palatino Linotype" w:cs="Tahoma"/>
        </w:rPr>
        <w:t>é</w:t>
      </w:r>
      <w:r w:rsidR="00135502" w:rsidRPr="00925877">
        <w:rPr>
          <w:rFonts w:ascii="Palatino Linotype" w:hAnsi="Palatino Linotype" w:cs="Tahoma"/>
        </w:rPr>
        <w:t>poca</w:t>
      </w:r>
      <w:r w:rsidR="00DD7150" w:rsidRPr="00925877">
        <w:rPr>
          <w:rFonts w:ascii="Palatino Linotype" w:hAnsi="Palatino Linotype" w:cs="Tahoma"/>
        </w:rPr>
        <w:t>, publicada en el s</w:t>
      </w:r>
      <w:r w:rsidR="00135502" w:rsidRPr="00925877">
        <w:rPr>
          <w:rFonts w:ascii="Palatino Linotype" w:hAnsi="Palatino Linotype" w:cs="Tahoma"/>
        </w:rPr>
        <w:t xml:space="preserve">emanario </w:t>
      </w:r>
      <w:r w:rsidR="00DD7150" w:rsidRPr="00925877">
        <w:rPr>
          <w:rFonts w:ascii="Palatino Linotype" w:hAnsi="Palatino Linotype" w:cs="Tahoma"/>
        </w:rPr>
        <w:t>j</w:t>
      </w:r>
      <w:r w:rsidR="00135502" w:rsidRPr="00925877">
        <w:rPr>
          <w:rFonts w:ascii="Palatino Linotype" w:hAnsi="Palatino Linotype" w:cs="Tahoma"/>
        </w:rPr>
        <w:t xml:space="preserve">udicial de la </w:t>
      </w:r>
      <w:r w:rsidR="00DD7150" w:rsidRPr="00925877">
        <w:rPr>
          <w:rFonts w:ascii="Palatino Linotype" w:hAnsi="Palatino Linotype" w:cs="Tahoma"/>
        </w:rPr>
        <w:t>f</w:t>
      </w:r>
      <w:r w:rsidR="00135502" w:rsidRPr="00925877">
        <w:rPr>
          <w:rFonts w:ascii="Palatino Linotype" w:hAnsi="Palatino Linotype" w:cs="Tahoma"/>
        </w:rPr>
        <w:t>ederación</w:t>
      </w:r>
      <w:r w:rsidR="00DD7150" w:rsidRPr="00925877">
        <w:rPr>
          <w:rFonts w:ascii="Palatino Linotype" w:hAnsi="Palatino Linotype" w:cs="Tahoma"/>
        </w:rPr>
        <w:t>, v</w:t>
      </w:r>
      <w:r w:rsidR="00135502" w:rsidRPr="00925877">
        <w:rPr>
          <w:rFonts w:ascii="Palatino Linotype" w:hAnsi="Palatino Linotype" w:cs="Tahoma"/>
        </w:rPr>
        <w:t xml:space="preserve">olumen 24, </w:t>
      </w:r>
      <w:r w:rsidR="00DD7150" w:rsidRPr="00925877">
        <w:rPr>
          <w:rFonts w:ascii="Palatino Linotype" w:hAnsi="Palatino Linotype" w:cs="Tahoma"/>
        </w:rPr>
        <w:t>t</w:t>
      </w:r>
      <w:r w:rsidR="00135502" w:rsidRPr="00925877">
        <w:rPr>
          <w:rFonts w:ascii="Palatino Linotype" w:hAnsi="Palatino Linotype" w:cs="Tahoma"/>
        </w:rPr>
        <w:t xml:space="preserve">ercera </w:t>
      </w:r>
      <w:r w:rsidR="00DD7150" w:rsidRPr="00925877">
        <w:rPr>
          <w:rFonts w:ascii="Palatino Linotype" w:hAnsi="Palatino Linotype" w:cs="Tahoma"/>
        </w:rPr>
        <w:t>p</w:t>
      </w:r>
      <w:r w:rsidR="00135502" w:rsidRPr="00925877">
        <w:rPr>
          <w:rFonts w:ascii="Palatino Linotype" w:hAnsi="Palatino Linotype" w:cs="Tahoma"/>
        </w:rPr>
        <w:t>arte, página 49</w:t>
      </w:r>
      <w:r w:rsidR="00DD7150" w:rsidRPr="00925877">
        <w:rPr>
          <w:rFonts w:ascii="Palatino Linotype" w:hAnsi="Palatino Linotype" w:cs="Tahoma"/>
        </w:rPr>
        <w:t>, que lleva por rubro y texto:</w:t>
      </w:r>
    </w:p>
    <w:p w14:paraId="48249CD8" w14:textId="77777777" w:rsidR="00135502" w:rsidRPr="00925877" w:rsidRDefault="00135502" w:rsidP="00135502">
      <w:pPr>
        <w:spacing w:after="0" w:line="360" w:lineRule="auto"/>
        <w:jc w:val="both"/>
        <w:rPr>
          <w:rFonts w:ascii="Palatino Linotype" w:hAnsi="Palatino Linotype" w:cs="Tahoma"/>
          <w:sz w:val="24"/>
        </w:rPr>
      </w:pPr>
    </w:p>
    <w:p w14:paraId="3FA1E283" w14:textId="77777777" w:rsidR="00135502" w:rsidRPr="00925877" w:rsidRDefault="00135502" w:rsidP="00DD7150">
      <w:pPr>
        <w:spacing w:after="0" w:line="360" w:lineRule="auto"/>
        <w:ind w:left="567" w:right="616"/>
        <w:jc w:val="both"/>
        <w:rPr>
          <w:rFonts w:ascii="Palatino Linotype" w:hAnsi="Palatino Linotype" w:cs="Tahoma"/>
          <w:b/>
          <w:bCs/>
          <w:i/>
          <w:iCs/>
          <w:sz w:val="20"/>
          <w:szCs w:val="20"/>
        </w:rPr>
      </w:pPr>
      <w:r w:rsidRPr="00925877">
        <w:rPr>
          <w:rFonts w:ascii="Palatino Linotype" w:hAnsi="Palatino Linotype" w:cs="Tahoma"/>
          <w:b/>
          <w:bCs/>
          <w:i/>
          <w:iCs/>
          <w:sz w:val="20"/>
          <w:szCs w:val="20"/>
        </w:rPr>
        <w:lastRenderedPageBreak/>
        <w:t>SOBRESEIMIENTO. NO PERMITE ENTRAR AL ESTUDIO DE LAS CUESTIONES DE FONDO.</w:t>
      </w:r>
    </w:p>
    <w:p w14:paraId="5CD63486" w14:textId="77777777" w:rsidR="00135502" w:rsidRPr="00925877" w:rsidRDefault="00135502" w:rsidP="00DD7150">
      <w:pPr>
        <w:spacing w:after="0" w:line="360" w:lineRule="auto"/>
        <w:ind w:left="567" w:right="616"/>
        <w:jc w:val="both"/>
        <w:rPr>
          <w:rFonts w:ascii="Palatino Linotype" w:hAnsi="Palatino Linotype" w:cs="Tahoma"/>
          <w:i/>
          <w:iCs/>
          <w:sz w:val="20"/>
          <w:szCs w:val="20"/>
        </w:rPr>
      </w:pPr>
      <w:r w:rsidRPr="00925877">
        <w:rPr>
          <w:rFonts w:ascii="Palatino Linotype" w:hAnsi="Palatino Linotype" w:cs="Tahoma"/>
          <w:i/>
          <w:iCs/>
          <w:sz w:val="20"/>
          <w:szCs w:val="20"/>
        </w:rPr>
        <w:t>No causa agravio la sentencia que no se ocupa de los razonamientos tendientes a demostrar la violación de garantías individuales por los actos reclamados de las autoridades responsables, que constituyen el problema de fondo, si se decreta el sobreseimiento del juicio.</w:t>
      </w:r>
    </w:p>
    <w:p w14:paraId="0BF2FC9E" w14:textId="77777777" w:rsidR="00DD7150" w:rsidRPr="00925877" w:rsidRDefault="00DD7150" w:rsidP="00F84B95">
      <w:pPr>
        <w:spacing w:after="0" w:line="360" w:lineRule="auto"/>
        <w:jc w:val="both"/>
        <w:rPr>
          <w:rFonts w:ascii="Palatino Linotype" w:hAnsi="Palatino Linotype" w:cs="Tahoma"/>
        </w:rPr>
      </w:pPr>
    </w:p>
    <w:p w14:paraId="18512FD1" w14:textId="150CA27C" w:rsidR="00445F2A" w:rsidRPr="00925877" w:rsidRDefault="00445F2A" w:rsidP="00F84B95">
      <w:pPr>
        <w:spacing w:after="0" w:line="360" w:lineRule="auto"/>
        <w:jc w:val="both"/>
        <w:rPr>
          <w:rFonts w:ascii="Palatino Linotype" w:hAnsi="Palatino Linotype" w:cs="Tahoma"/>
        </w:rPr>
      </w:pPr>
      <w:r w:rsidRPr="00925877">
        <w:rPr>
          <w:rFonts w:ascii="Palatino Linotype" w:hAnsi="Palatino Linotype" w:cs="Tahoma"/>
        </w:rPr>
        <w:t xml:space="preserve">Es </w:t>
      </w:r>
      <w:r w:rsidR="00DD7150" w:rsidRPr="00925877">
        <w:rPr>
          <w:rFonts w:ascii="Palatino Linotype" w:hAnsi="Palatino Linotype" w:cs="Tahoma"/>
        </w:rPr>
        <w:t>conveniente citar</w:t>
      </w:r>
      <w:r w:rsidRPr="00925877">
        <w:rPr>
          <w:rFonts w:ascii="Palatino Linotype" w:hAnsi="Palatino Linotype" w:cs="Tahoma"/>
        </w:rPr>
        <w:t xml:space="preserve"> al Doctor Ignacio Burgoa, en su obra </w:t>
      </w:r>
      <w:r w:rsidRPr="00925877">
        <w:rPr>
          <w:rFonts w:ascii="Palatino Linotype" w:hAnsi="Palatino Linotype" w:cs="Tahoma"/>
          <w:i/>
        </w:rPr>
        <w:t>El Juicio de Amparo</w:t>
      </w:r>
      <w:r w:rsidRPr="00925877">
        <w:rPr>
          <w:rFonts w:ascii="Palatino Linotype" w:hAnsi="Palatino Linotype" w:cs="Tahoma"/>
        </w:rPr>
        <w:t xml:space="preserve">, donde plasma que el sobreseimiento es un acto procesal proveniente de </w:t>
      </w:r>
      <w:r w:rsidR="00DD7150" w:rsidRPr="00925877">
        <w:rPr>
          <w:rFonts w:ascii="Palatino Linotype" w:hAnsi="Palatino Linotype" w:cs="Tahoma"/>
        </w:rPr>
        <w:t>la potestad</w:t>
      </w:r>
      <w:r w:rsidRPr="00925877">
        <w:rPr>
          <w:rFonts w:ascii="Palatino Linotype" w:hAnsi="Palatino Linotype" w:cs="Tahoma"/>
        </w:rPr>
        <w:t xml:space="preserve"> jurisdiccional, que concluye una instancia judicial, sin resolver el negocio en cuanto al fondo, sustantivamente, sino atendiendo a circunstancias o hechos ajenos, o al menos, diversos, de lo substancial de la controversia subyacente o fundamental. </w:t>
      </w:r>
    </w:p>
    <w:p w14:paraId="2C82D228" w14:textId="77777777" w:rsidR="00F84B95" w:rsidRPr="00925877" w:rsidRDefault="00F84B95" w:rsidP="00DD7150">
      <w:pPr>
        <w:tabs>
          <w:tab w:val="left" w:pos="4962"/>
        </w:tabs>
        <w:spacing w:after="0" w:line="360" w:lineRule="auto"/>
        <w:ind w:right="567"/>
        <w:jc w:val="both"/>
        <w:rPr>
          <w:rFonts w:ascii="Palatino Linotype" w:eastAsia="Calibri" w:hAnsi="Palatino Linotype" w:cs="Tahoma"/>
          <w:iCs/>
          <w:lang w:eastAsia="es-ES_tradnl"/>
        </w:rPr>
      </w:pPr>
    </w:p>
    <w:p w14:paraId="75B8EC05" w14:textId="4757D066" w:rsidR="00170463" w:rsidRPr="00925877" w:rsidRDefault="00170463" w:rsidP="000B7841">
      <w:pPr>
        <w:spacing w:after="0" w:line="360" w:lineRule="auto"/>
        <w:jc w:val="both"/>
        <w:rPr>
          <w:rFonts w:ascii="Palatino Linotype" w:hAnsi="Palatino Linotype" w:cs="Tahoma"/>
        </w:rPr>
      </w:pPr>
      <w:r w:rsidRPr="00925877">
        <w:rPr>
          <w:rFonts w:ascii="Palatino Linotype" w:hAnsi="Palatino Linotype" w:cs="Tahoma"/>
        </w:rPr>
        <w:t>Considero que los Organismos Garantes en materia de transparencia cuentan con una labor social de alto impacto pues determinan sobre la publicidad o la clasificación de la información, cuando esta, puede repercutir en la cotidianidad social en</w:t>
      </w:r>
      <w:r w:rsidR="000B7841" w:rsidRPr="00925877">
        <w:rPr>
          <w:rFonts w:ascii="Palatino Linotype" w:hAnsi="Palatino Linotype" w:cs="Tahoma"/>
        </w:rPr>
        <w:t xml:space="preserve"> materias como administración, pública, política, salud, cultura, deporte, por señalar algunas áreas, para lo que reputo, que en la interpretación de los aspectos sustantivos y adjetivos del derecho de acceso a la información pública y de la transparencia, deben ser analizados en beneficio del solicitante y por ende, del derecho </w:t>
      </w:r>
      <w:r w:rsidR="000B7841" w:rsidRPr="00925877">
        <w:rPr>
          <w:rFonts w:ascii="Palatino Linotype" w:hAnsi="Palatino Linotype" w:cs="Tahoma"/>
          <w:i/>
          <w:iCs/>
        </w:rPr>
        <w:t>per se</w:t>
      </w:r>
      <w:r w:rsidR="000B7841" w:rsidRPr="00925877">
        <w:rPr>
          <w:rFonts w:ascii="Palatino Linotype" w:hAnsi="Palatino Linotype" w:cs="Tahoma"/>
        </w:rPr>
        <w:t xml:space="preserve">, esta afirmación encuentra sustento los preceptos normativos de </w:t>
      </w:r>
      <w:r w:rsidRPr="00925877">
        <w:rPr>
          <w:rFonts w:ascii="Palatino Linotype" w:hAnsi="Palatino Linotype" w:cs="Tahoma"/>
        </w:rPr>
        <w:t xml:space="preserve">la </w:t>
      </w:r>
      <w:r w:rsidRPr="00925877">
        <w:rPr>
          <w:rFonts w:ascii="Palatino Linotype" w:hAnsi="Palatino Linotype" w:cs="Tahoma"/>
          <w:i/>
          <w:iCs/>
        </w:rPr>
        <w:t>Ley Modelo Interamericana 2.0 sobre Acceso a la Información Pública</w:t>
      </w:r>
      <w:r w:rsidR="000B7841" w:rsidRPr="00925877">
        <w:rPr>
          <w:rFonts w:ascii="Palatino Linotype" w:hAnsi="Palatino Linotype" w:cs="Tahoma"/>
          <w:i/>
          <w:iCs/>
        </w:rPr>
        <w:t xml:space="preserve">, preparado por el Departamento de Derecho Internacional de la Secretaría de Asuntos Jurídicos de la OEA, </w:t>
      </w:r>
      <w:r w:rsidR="000B7841" w:rsidRPr="00925877">
        <w:rPr>
          <w:rFonts w:ascii="Palatino Linotype" w:hAnsi="Palatino Linotype" w:cs="Tahoma"/>
        </w:rPr>
        <w:t>que contempla a la letra, en su artículo 3°, lo siguiente:</w:t>
      </w:r>
    </w:p>
    <w:p w14:paraId="2A859D67" w14:textId="77777777" w:rsidR="000B7841" w:rsidRPr="00925877" w:rsidRDefault="000B7841" w:rsidP="000B7841">
      <w:pPr>
        <w:spacing w:after="0" w:line="360" w:lineRule="auto"/>
        <w:ind w:left="567" w:right="616"/>
        <w:jc w:val="both"/>
        <w:rPr>
          <w:rFonts w:ascii="Palatino Linotype" w:hAnsi="Palatino Linotype" w:cs="Tahoma"/>
          <w:i/>
          <w:iCs/>
          <w:sz w:val="20"/>
          <w:szCs w:val="20"/>
        </w:rPr>
      </w:pPr>
    </w:p>
    <w:p w14:paraId="4402C31C" w14:textId="066402A3" w:rsidR="000B7841" w:rsidRPr="00925877" w:rsidRDefault="000B7841" w:rsidP="000B7841">
      <w:pPr>
        <w:spacing w:after="0" w:line="360" w:lineRule="auto"/>
        <w:ind w:left="567" w:right="616"/>
        <w:jc w:val="both"/>
        <w:rPr>
          <w:rFonts w:ascii="Palatino Linotype" w:hAnsi="Palatino Linotype" w:cs="Tahoma"/>
          <w:i/>
          <w:iCs/>
          <w:sz w:val="20"/>
          <w:szCs w:val="20"/>
        </w:rPr>
      </w:pPr>
      <w:r w:rsidRPr="00925877">
        <w:rPr>
          <w:rFonts w:ascii="Palatino Linotype" w:hAnsi="Palatino Linotype" w:cs="Tahoma"/>
          <w:i/>
          <w:iCs/>
          <w:sz w:val="20"/>
          <w:szCs w:val="20"/>
        </w:rPr>
        <w:t>Artículo 3 Derecho de acceso a la Información pública</w:t>
      </w:r>
    </w:p>
    <w:p w14:paraId="4B9B13E8" w14:textId="320D16D9" w:rsidR="000B7841" w:rsidRPr="00925877" w:rsidRDefault="000B7841" w:rsidP="000B7841">
      <w:pPr>
        <w:spacing w:after="0" w:line="360" w:lineRule="auto"/>
        <w:ind w:left="567" w:right="616"/>
        <w:jc w:val="both"/>
        <w:rPr>
          <w:rFonts w:ascii="Palatino Linotype" w:hAnsi="Palatino Linotype" w:cs="Tahoma"/>
          <w:i/>
          <w:iCs/>
          <w:sz w:val="20"/>
          <w:szCs w:val="20"/>
        </w:rPr>
      </w:pPr>
      <w:r w:rsidRPr="00925877">
        <w:rPr>
          <w:rFonts w:ascii="Palatino Linotype" w:hAnsi="Palatino Linotype" w:cs="Tahoma"/>
          <w:i/>
          <w:iCs/>
          <w:sz w:val="20"/>
          <w:szCs w:val="20"/>
        </w:rPr>
        <w:t>1. Toda persona que solicite Información a cualquier Autoridad Pública que esté comprendida por la presente Ley tendrá los siguientes derechos, sujetos únicamente a las disposiciones del</w:t>
      </w:r>
    </w:p>
    <w:p w14:paraId="17579130" w14:textId="194D3E09" w:rsidR="000B7841" w:rsidRPr="00925877" w:rsidRDefault="000B7841" w:rsidP="000B7841">
      <w:pPr>
        <w:spacing w:after="0" w:line="360" w:lineRule="auto"/>
        <w:ind w:left="567" w:right="616"/>
        <w:jc w:val="both"/>
        <w:rPr>
          <w:rFonts w:ascii="Palatino Linotype" w:hAnsi="Palatino Linotype" w:cs="Tahoma"/>
          <w:i/>
          <w:iCs/>
          <w:sz w:val="20"/>
          <w:szCs w:val="20"/>
        </w:rPr>
      </w:pPr>
      <w:r w:rsidRPr="00925877">
        <w:rPr>
          <w:rFonts w:ascii="Palatino Linotype" w:hAnsi="Palatino Linotype" w:cs="Tahoma"/>
          <w:i/>
          <w:iCs/>
          <w:sz w:val="20"/>
          <w:szCs w:val="20"/>
        </w:rPr>
        <w:t>Capítulo IV de esta Ley:</w:t>
      </w:r>
    </w:p>
    <w:p w14:paraId="2BDEE86B" w14:textId="26901B82" w:rsidR="000B7841" w:rsidRPr="00925877" w:rsidRDefault="000B7841" w:rsidP="000B7841">
      <w:pPr>
        <w:spacing w:after="0" w:line="360" w:lineRule="auto"/>
        <w:ind w:left="567" w:right="616"/>
        <w:jc w:val="both"/>
        <w:rPr>
          <w:rFonts w:ascii="Palatino Linotype" w:hAnsi="Palatino Linotype" w:cs="Tahoma"/>
          <w:i/>
          <w:iCs/>
          <w:sz w:val="20"/>
          <w:szCs w:val="20"/>
        </w:rPr>
      </w:pPr>
      <w:r w:rsidRPr="00925877">
        <w:rPr>
          <w:rFonts w:ascii="Palatino Linotype" w:hAnsi="Palatino Linotype" w:cs="Tahoma"/>
          <w:i/>
          <w:iCs/>
          <w:sz w:val="20"/>
          <w:szCs w:val="20"/>
        </w:rPr>
        <w:lastRenderedPageBreak/>
        <w:t>a. a ser informada si los documentos que contienen la Información solicitada, o de los que se pueda derivar dicha Información, obran o no en poder de la Autoridad Pública;</w:t>
      </w:r>
    </w:p>
    <w:p w14:paraId="018E6A93" w14:textId="6E672CB9" w:rsidR="000B7841" w:rsidRPr="00925877" w:rsidRDefault="000B7841" w:rsidP="000B7841">
      <w:pPr>
        <w:spacing w:after="0" w:line="360" w:lineRule="auto"/>
        <w:ind w:left="567" w:right="616"/>
        <w:jc w:val="both"/>
        <w:rPr>
          <w:rFonts w:ascii="Palatino Linotype" w:hAnsi="Palatino Linotype" w:cs="Tahoma"/>
          <w:i/>
          <w:iCs/>
          <w:sz w:val="20"/>
          <w:szCs w:val="20"/>
        </w:rPr>
      </w:pPr>
      <w:r w:rsidRPr="00925877">
        <w:rPr>
          <w:rFonts w:ascii="Palatino Linotype" w:hAnsi="Palatino Linotype" w:cs="Tahoma"/>
          <w:i/>
          <w:iCs/>
          <w:sz w:val="20"/>
          <w:szCs w:val="20"/>
        </w:rPr>
        <w:t>b</w:t>
      </w:r>
      <w:r w:rsidRPr="000359E7">
        <w:rPr>
          <w:rFonts w:ascii="Palatino Linotype" w:hAnsi="Palatino Linotype" w:cs="Tahoma"/>
          <w:b/>
          <w:bCs/>
          <w:i/>
          <w:iCs/>
          <w:sz w:val="20"/>
          <w:szCs w:val="20"/>
        </w:rPr>
        <w:t>. si dichos Documentos obran en poder de la Autoridad Pública que recibió la solicitud, a que se le comunique dicha Información en forma expedita</w:t>
      </w:r>
      <w:r w:rsidRPr="00925877">
        <w:rPr>
          <w:rFonts w:ascii="Palatino Linotype" w:hAnsi="Palatino Linotype" w:cs="Tahoma"/>
          <w:i/>
          <w:iCs/>
          <w:sz w:val="20"/>
          <w:szCs w:val="20"/>
        </w:rPr>
        <w:t>;</w:t>
      </w:r>
    </w:p>
    <w:p w14:paraId="0EB5555C" w14:textId="2ECF0D8D" w:rsidR="000B7841" w:rsidRPr="00925877" w:rsidRDefault="000B7841" w:rsidP="000B7841">
      <w:pPr>
        <w:spacing w:after="0" w:line="360" w:lineRule="auto"/>
        <w:ind w:left="567" w:right="616"/>
        <w:jc w:val="both"/>
        <w:rPr>
          <w:rFonts w:ascii="Palatino Linotype" w:hAnsi="Palatino Linotype" w:cs="Tahoma"/>
          <w:i/>
          <w:iCs/>
          <w:sz w:val="20"/>
          <w:szCs w:val="20"/>
        </w:rPr>
      </w:pPr>
      <w:r w:rsidRPr="00925877">
        <w:rPr>
          <w:rFonts w:ascii="Palatino Linotype" w:hAnsi="Palatino Linotype" w:cs="Tahoma"/>
          <w:i/>
          <w:iCs/>
          <w:sz w:val="20"/>
          <w:szCs w:val="20"/>
        </w:rPr>
        <w:t>c. si dichos Documentos no se le entregan al solicitante, a apelar la no entrega de la Información;</w:t>
      </w:r>
    </w:p>
    <w:p w14:paraId="5D985701" w14:textId="77777777" w:rsidR="000B7841" w:rsidRPr="00925877" w:rsidRDefault="000B7841" w:rsidP="000B7841">
      <w:pPr>
        <w:spacing w:after="0" w:line="360" w:lineRule="auto"/>
        <w:ind w:left="567" w:right="616"/>
        <w:jc w:val="both"/>
        <w:rPr>
          <w:rFonts w:ascii="Palatino Linotype" w:hAnsi="Palatino Linotype" w:cs="Tahoma"/>
          <w:i/>
          <w:iCs/>
          <w:sz w:val="20"/>
          <w:szCs w:val="20"/>
        </w:rPr>
      </w:pPr>
      <w:r w:rsidRPr="00925877">
        <w:rPr>
          <w:rFonts w:ascii="Palatino Linotype" w:hAnsi="Palatino Linotype" w:cs="Tahoma"/>
          <w:i/>
          <w:iCs/>
          <w:sz w:val="20"/>
          <w:szCs w:val="20"/>
        </w:rPr>
        <w:t>d. a realizar solicitudes de Información en forma anónima;</w:t>
      </w:r>
    </w:p>
    <w:p w14:paraId="3B150685" w14:textId="51BF7C64" w:rsidR="000B7841" w:rsidRPr="00925877" w:rsidRDefault="000B7841" w:rsidP="000B7841">
      <w:pPr>
        <w:spacing w:after="0" w:line="360" w:lineRule="auto"/>
        <w:ind w:left="567" w:right="616"/>
        <w:jc w:val="both"/>
        <w:rPr>
          <w:rFonts w:ascii="Palatino Linotype" w:hAnsi="Palatino Linotype" w:cs="Tahoma"/>
          <w:i/>
          <w:iCs/>
          <w:sz w:val="20"/>
          <w:szCs w:val="20"/>
        </w:rPr>
      </w:pPr>
      <w:r w:rsidRPr="00925877">
        <w:rPr>
          <w:rFonts w:ascii="Palatino Linotype" w:hAnsi="Palatino Linotype" w:cs="Tahoma"/>
          <w:i/>
          <w:iCs/>
          <w:sz w:val="20"/>
          <w:szCs w:val="20"/>
        </w:rPr>
        <w:t>e. a solicitar Información sin tener que justificar las razones por las cuales se solicita;</w:t>
      </w:r>
    </w:p>
    <w:p w14:paraId="35731B86" w14:textId="521639FA" w:rsidR="000B7841" w:rsidRPr="00925877" w:rsidRDefault="000B7841" w:rsidP="000B7841">
      <w:pPr>
        <w:spacing w:after="0" w:line="360" w:lineRule="auto"/>
        <w:ind w:left="567" w:right="616"/>
        <w:jc w:val="both"/>
        <w:rPr>
          <w:rFonts w:ascii="Palatino Linotype" w:hAnsi="Palatino Linotype" w:cs="Tahoma"/>
          <w:i/>
          <w:iCs/>
          <w:sz w:val="20"/>
          <w:szCs w:val="20"/>
        </w:rPr>
      </w:pPr>
      <w:r w:rsidRPr="00925877">
        <w:rPr>
          <w:rFonts w:ascii="Palatino Linotype" w:hAnsi="Palatino Linotype" w:cs="Tahoma"/>
          <w:i/>
          <w:iCs/>
          <w:sz w:val="20"/>
          <w:szCs w:val="20"/>
        </w:rPr>
        <w:t>f. a no ser sujeto de cualquier discriminación que pueda basarse en la naturaleza de la solicitud; y</w:t>
      </w:r>
    </w:p>
    <w:p w14:paraId="5BC7B659" w14:textId="3DF57907" w:rsidR="000B7841" w:rsidRPr="00925877" w:rsidRDefault="000B7841" w:rsidP="000B7841">
      <w:pPr>
        <w:spacing w:after="0" w:line="360" w:lineRule="auto"/>
        <w:ind w:left="567" w:right="616"/>
        <w:jc w:val="both"/>
        <w:rPr>
          <w:rFonts w:ascii="Palatino Linotype" w:hAnsi="Palatino Linotype" w:cs="Tahoma"/>
          <w:i/>
          <w:iCs/>
          <w:sz w:val="20"/>
          <w:szCs w:val="20"/>
        </w:rPr>
      </w:pPr>
      <w:r w:rsidRPr="00925877">
        <w:rPr>
          <w:rFonts w:ascii="Palatino Linotype" w:hAnsi="Palatino Linotype" w:cs="Tahoma"/>
          <w:i/>
          <w:iCs/>
          <w:sz w:val="20"/>
          <w:szCs w:val="20"/>
        </w:rPr>
        <w:t>g. a obtener la Información en forma gratuita o con un costo que no exceda el generado por la reproducción de los Documentos.</w:t>
      </w:r>
    </w:p>
    <w:p w14:paraId="4E7548A5" w14:textId="1797D99C" w:rsidR="000B7841" w:rsidRPr="00925877" w:rsidRDefault="000B7841" w:rsidP="000B7841">
      <w:pPr>
        <w:spacing w:after="0" w:line="360" w:lineRule="auto"/>
        <w:ind w:left="567" w:right="616"/>
        <w:jc w:val="both"/>
        <w:rPr>
          <w:rFonts w:ascii="Palatino Linotype" w:hAnsi="Palatino Linotype" w:cs="Tahoma"/>
          <w:i/>
          <w:iCs/>
          <w:sz w:val="20"/>
          <w:szCs w:val="20"/>
        </w:rPr>
      </w:pPr>
      <w:r w:rsidRPr="00925877">
        <w:rPr>
          <w:rFonts w:ascii="Palatino Linotype" w:hAnsi="Palatino Linotype" w:cs="Tahoma"/>
          <w:i/>
          <w:iCs/>
          <w:sz w:val="20"/>
          <w:szCs w:val="20"/>
        </w:rPr>
        <w:t>2. El solicitante no será sancionado, castigado o procesado por el</w:t>
      </w:r>
      <w:r w:rsidR="001C64C0" w:rsidRPr="00925877">
        <w:rPr>
          <w:rFonts w:ascii="Palatino Linotype" w:hAnsi="Palatino Linotype" w:cs="Tahoma"/>
          <w:i/>
          <w:iCs/>
          <w:sz w:val="20"/>
          <w:szCs w:val="20"/>
        </w:rPr>
        <w:t xml:space="preserve"> </w:t>
      </w:r>
      <w:r w:rsidRPr="00925877">
        <w:rPr>
          <w:rFonts w:ascii="Palatino Linotype" w:hAnsi="Palatino Linotype" w:cs="Tahoma"/>
          <w:i/>
          <w:iCs/>
          <w:sz w:val="20"/>
          <w:szCs w:val="20"/>
        </w:rPr>
        <w:t>ejercicio del derecho de acceso a la Información.</w:t>
      </w:r>
    </w:p>
    <w:p w14:paraId="22076DFD" w14:textId="23FF1B25" w:rsidR="000B7841" w:rsidRPr="00925877" w:rsidRDefault="000B7841" w:rsidP="000B7841">
      <w:pPr>
        <w:spacing w:after="0" w:line="360" w:lineRule="auto"/>
        <w:ind w:left="567" w:right="616"/>
        <w:jc w:val="both"/>
        <w:rPr>
          <w:rFonts w:ascii="Palatino Linotype" w:hAnsi="Palatino Linotype" w:cs="Tahoma"/>
          <w:i/>
          <w:iCs/>
          <w:sz w:val="20"/>
          <w:szCs w:val="20"/>
        </w:rPr>
      </w:pPr>
      <w:r w:rsidRPr="00925877">
        <w:rPr>
          <w:rFonts w:ascii="Palatino Linotype" w:hAnsi="Palatino Linotype" w:cs="Tahoma"/>
          <w:i/>
          <w:iCs/>
          <w:sz w:val="20"/>
          <w:szCs w:val="20"/>
        </w:rPr>
        <w:t xml:space="preserve">3. </w:t>
      </w:r>
      <w:r w:rsidRPr="000359E7">
        <w:rPr>
          <w:rFonts w:ascii="Palatino Linotype" w:hAnsi="Palatino Linotype" w:cs="Tahoma"/>
          <w:b/>
          <w:bCs/>
          <w:i/>
          <w:iCs/>
          <w:sz w:val="20"/>
          <w:szCs w:val="20"/>
        </w:rPr>
        <w:t>El Oficial de Información deberá hacer esfuerzos razonables</w:t>
      </w:r>
      <w:r w:rsidR="001C64C0" w:rsidRPr="000359E7">
        <w:rPr>
          <w:rFonts w:ascii="Palatino Linotype" w:hAnsi="Palatino Linotype" w:cs="Tahoma"/>
          <w:b/>
          <w:bCs/>
          <w:i/>
          <w:iCs/>
          <w:sz w:val="20"/>
          <w:szCs w:val="20"/>
        </w:rPr>
        <w:t xml:space="preserve"> </w:t>
      </w:r>
      <w:r w:rsidRPr="000359E7">
        <w:rPr>
          <w:rFonts w:ascii="Palatino Linotype" w:hAnsi="Palatino Linotype" w:cs="Tahoma"/>
          <w:b/>
          <w:bCs/>
          <w:i/>
          <w:iCs/>
          <w:sz w:val="20"/>
          <w:szCs w:val="20"/>
        </w:rPr>
        <w:t>para ayudar al solicitante en relación con la solicitud, responder</w:t>
      </w:r>
      <w:r w:rsidR="001C64C0" w:rsidRPr="000359E7">
        <w:rPr>
          <w:rFonts w:ascii="Palatino Linotype" w:hAnsi="Palatino Linotype" w:cs="Tahoma"/>
          <w:b/>
          <w:bCs/>
          <w:i/>
          <w:iCs/>
          <w:sz w:val="20"/>
          <w:szCs w:val="20"/>
        </w:rPr>
        <w:t xml:space="preserve"> </w:t>
      </w:r>
      <w:r w:rsidRPr="000359E7">
        <w:rPr>
          <w:rFonts w:ascii="Palatino Linotype" w:hAnsi="Palatino Linotype" w:cs="Tahoma"/>
          <w:b/>
          <w:bCs/>
          <w:i/>
          <w:iCs/>
          <w:sz w:val="20"/>
          <w:szCs w:val="20"/>
        </w:rPr>
        <w:t>a la solicitud de forma precisa y completa y, de conformidad con</w:t>
      </w:r>
      <w:r w:rsidR="001C64C0" w:rsidRPr="000359E7">
        <w:rPr>
          <w:rFonts w:ascii="Palatino Linotype" w:hAnsi="Palatino Linotype" w:cs="Tahoma"/>
          <w:b/>
          <w:bCs/>
          <w:i/>
          <w:iCs/>
          <w:sz w:val="20"/>
          <w:szCs w:val="20"/>
        </w:rPr>
        <w:t xml:space="preserve"> </w:t>
      </w:r>
      <w:r w:rsidRPr="000359E7">
        <w:rPr>
          <w:rFonts w:ascii="Palatino Linotype" w:hAnsi="Palatino Linotype" w:cs="Tahoma"/>
          <w:b/>
          <w:bCs/>
          <w:i/>
          <w:iCs/>
          <w:sz w:val="20"/>
          <w:szCs w:val="20"/>
        </w:rPr>
        <w:t>la reglamentación aplicable, facilitar el acceso oportuno a los</w:t>
      </w:r>
      <w:r w:rsidR="001C64C0" w:rsidRPr="000359E7">
        <w:rPr>
          <w:rFonts w:ascii="Palatino Linotype" w:hAnsi="Palatino Linotype" w:cs="Tahoma"/>
          <w:b/>
          <w:bCs/>
          <w:i/>
          <w:iCs/>
          <w:sz w:val="20"/>
          <w:szCs w:val="20"/>
        </w:rPr>
        <w:t xml:space="preserve"> </w:t>
      </w:r>
      <w:r w:rsidRPr="000359E7">
        <w:rPr>
          <w:rFonts w:ascii="Palatino Linotype" w:hAnsi="Palatino Linotype" w:cs="Tahoma"/>
          <w:b/>
          <w:bCs/>
          <w:i/>
          <w:iCs/>
          <w:sz w:val="20"/>
          <w:szCs w:val="20"/>
        </w:rPr>
        <w:t>Documentos en el formato solicitado</w:t>
      </w:r>
      <w:r w:rsidRPr="00925877">
        <w:rPr>
          <w:rFonts w:ascii="Palatino Linotype" w:hAnsi="Palatino Linotype" w:cs="Tahoma"/>
          <w:i/>
          <w:iCs/>
          <w:sz w:val="20"/>
          <w:szCs w:val="20"/>
        </w:rPr>
        <w:t>.</w:t>
      </w:r>
    </w:p>
    <w:p w14:paraId="5DE5DE67" w14:textId="4BE89ED5" w:rsidR="000B7841" w:rsidRPr="000359E7" w:rsidRDefault="000B7841" w:rsidP="001C64C0">
      <w:pPr>
        <w:spacing w:after="0" w:line="360" w:lineRule="auto"/>
        <w:ind w:left="567" w:right="616"/>
        <w:jc w:val="both"/>
        <w:rPr>
          <w:rFonts w:ascii="Palatino Linotype" w:hAnsi="Palatino Linotype" w:cs="Tahoma"/>
          <w:i/>
          <w:iCs/>
          <w:sz w:val="20"/>
          <w:szCs w:val="20"/>
        </w:rPr>
      </w:pPr>
      <w:r w:rsidRPr="000359E7">
        <w:rPr>
          <w:rFonts w:ascii="Palatino Linotype" w:hAnsi="Palatino Linotype" w:cs="Tahoma"/>
          <w:i/>
          <w:iCs/>
          <w:sz w:val="20"/>
          <w:szCs w:val="20"/>
        </w:rPr>
        <w:t>4. El Órgano Garante deberá hacer esfuerzos razonables para</w:t>
      </w:r>
      <w:r w:rsidR="001C64C0" w:rsidRPr="000359E7">
        <w:rPr>
          <w:rFonts w:ascii="Palatino Linotype" w:hAnsi="Palatino Linotype" w:cs="Tahoma"/>
          <w:i/>
          <w:iCs/>
          <w:sz w:val="20"/>
          <w:szCs w:val="20"/>
        </w:rPr>
        <w:t xml:space="preserve"> </w:t>
      </w:r>
      <w:r w:rsidRPr="000359E7">
        <w:rPr>
          <w:rFonts w:ascii="Palatino Linotype" w:hAnsi="Palatino Linotype" w:cs="Tahoma"/>
          <w:i/>
          <w:iCs/>
          <w:sz w:val="20"/>
          <w:szCs w:val="20"/>
        </w:rPr>
        <w:t>ayudar al solicitante en relación con un recurso de apelación</w:t>
      </w:r>
      <w:r w:rsidR="001C64C0" w:rsidRPr="000359E7">
        <w:rPr>
          <w:rFonts w:ascii="Palatino Linotype" w:hAnsi="Palatino Linotype" w:cs="Tahoma"/>
          <w:i/>
          <w:iCs/>
          <w:sz w:val="20"/>
          <w:szCs w:val="20"/>
        </w:rPr>
        <w:t xml:space="preserve"> </w:t>
      </w:r>
      <w:r w:rsidRPr="000359E7">
        <w:rPr>
          <w:rFonts w:ascii="Palatino Linotype" w:hAnsi="Palatino Linotype" w:cs="Tahoma"/>
          <w:i/>
          <w:iCs/>
          <w:sz w:val="20"/>
          <w:szCs w:val="20"/>
        </w:rPr>
        <w:t>interpuesto ante una negativa de divulgación de Información</w:t>
      </w:r>
      <w:r w:rsidR="001C64C0" w:rsidRPr="000359E7">
        <w:rPr>
          <w:rFonts w:ascii="Palatino Linotype" w:hAnsi="Palatino Linotype" w:cs="Tahoma"/>
          <w:i/>
          <w:iCs/>
          <w:sz w:val="20"/>
          <w:szCs w:val="20"/>
        </w:rPr>
        <w:t>.</w:t>
      </w:r>
    </w:p>
    <w:p w14:paraId="003931BE" w14:textId="77777777" w:rsidR="00170463" w:rsidRPr="00925877" w:rsidRDefault="00170463" w:rsidP="00DD7150">
      <w:pPr>
        <w:tabs>
          <w:tab w:val="left" w:pos="4962"/>
        </w:tabs>
        <w:spacing w:after="0" w:line="360" w:lineRule="auto"/>
        <w:ind w:right="567"/>
        <w:jc w:val="both"/>
        <w:rPr>
          <w:rFonts w:ascii="Palatino Linotype" w:eastAsia="Calibri" w:hAnsi="Palatino Linotype" w:cs="Tahoma"/>
          <w:iCs/>
          <w:lang w:eastAsia="es-ES_tradnl"/>
        </w:rPr>
      </w:pPr>
    </w:p>
    <w:p w14:paraId="58EC3448" w14:textId="392FF332" w:rsidR="00986A57" w:rsidRDefault="001C64C0" w:rsidP="00285C7B">
      <w:pPr>
        <w:spacing w:after="0" w:line="360" w:lineRule="auto"/>
        <w:jc w:val="both"/>
        <w:rPr>
          <w:rFonts w:ascii="Palatino Linotype" w:hAnsi="Palatino Linotype" w:cs="Tahoma"/>
        </w:rPr>
      </w:pPr>
      <w:r w:rsidRPr="00925877">
        <w:rPr>
          <w:rFonts w:ascii="Palatino Linotype" w:hAnsi="Palatino Linotype" w:cs="Tahoma"/>
        </w:rPr>
        <w:t xml:space="preserve">Por ello, reitero que </w:t>
      </w:r>
      <w:r w:rsidR="00DD7150" w:rsidRPr="00925877">
        <w:rPr>
          <w:rFonts w:ascii="Palatino Linotype" w:hAnsi="Palatino Linotype" w:cs="Tahoma"/>
        </w:rPr>
        <w:t xml:space="preserve">para cuando se entregan documentos en respuesta y los ciudadanos, en ejercicio de su derecho de acceso a la información y de un medio de impugnación, señalan </w:t>
      </w:r>
      <w:r w:rsidR="000568CD" w:rsidRPr="00925877">
        <w:rPr>
          <w:rFonts w:ascii="Palatino Linotype" w:hAnsi="Palatino Linotype" w:cs="Tahoma"/>
        </w:rPr>
        <w:t>alguna de las causales contempladas en el artículo 179 de la Ley de Transparencia y Acceso a la Información Pública del Estado de México y Municipios</w:t>
      </w:r>
      <w:r w:rsidR="00DD7150" w:rsidRPr="00925877">
        <w:rPr>
          <w:rFonts w:ascii="Palatino Linotype" w:hAnsi="Palatino Linotype" w:cs="Tahoma"/>
        </w:rPr>
        <w:t xml:space="preserve">, es necesario entrar al estudio de las constancias, lo que constriñe a este Organismo Garante a analizar la naturaleza normativa de la información y de los documentos aportados, </w:t>
      </w:r>
      <w:r w:rsidR="000568CD" w:rsidRPr="00925877">
        <w:rPr>
          <w:rFonts w:ascii="Palatino Linotype" w:hAnsi="Palatino Linotype" w:cs="Tahoma"/>
        </w:rPr>
        <w:t xml:space="preserve">para así, determinar la procedencia del medio recursal, con la emisión de una resolución debidamente fundada y motivada. </w:t>
      </w:r>
    </w:p>
    <w:p w14:paraId="336FD105" w14:textId="125EF4BF" w:rsidR="004A2054" w:rsidRDefault="004A2054" w:rsidP="00285C7B">
      <w:pPr>
        <w:spacing w:after="0" w:line="360" w:lineRule="auto"/>
        <w:jc w:val="both"/>
        <w:rPr>
          <w:rFonts w:ascii="Palatino Linotype" w:hAnsi="Palatino Linotype" w:cs="Tahoma"/>
        </w:rPr>
      </w:pPr>
      <w:bookmarkStart w:id="0" w:name="_GoBack"/>
      <w:bookmarkEnd w:id="0"/>
      <w:r>
        <w:rPr>
          <w:rFonts w:ascii="Palatino Linotype" w:hAnsi="Palatino Linotype" w:cs="Tahoma"/>
        </w:rPr>
        <w:lastRenderedPageBreak/>
        <w:t>Adicional a ello, he reiterado en distintos votos que el Poder L</w:t>
      </w:r>
      <w:r w:rsidR="00BA2451">
        <w:rPr>
          <w:rFonts w:ascii="Palatino Linotype" w:hAnsi="Palatino Linotype" w:cs="Tahoma"/>
        </w:rPr>
        <w:t>egislativo es competente para entregar los informes trimestrales, de conformidad con lo siguiente:</w:t>
      </w:r>
    </w:p>
    <w:p w14:paraId="5FDFEDF2" w14:textId="77777777" w:rsidR="00BA2451" w:rsidRDefault="00BA2451" w:rsidP="00285C7B">
      <w:pPr>
        <w:spacing w:after="0" w:line="360" w:lineRule="auto"/>
        <w:jc w:val="both"/>
        <w:rPr>
          <w:rFonts w:ascii="Palatino Linotype" w:hAnsi="Palatino Linotype" w:cs="Tahoma"/>
        </w:rPr>
      </w:pPr>
    </w:p>
    <w:p w14:paraId="33165068" w14:textId="77777777" w:rsidR="00BA2451" w:rsidRPr="00800B69" w:rsidRDefault="00BA2451" w:rsidP="00BA2451">
      <w:pPr>
        <w:spacing w:after="0" w:line="360" w:lineRule="auto"/>
        <w:jc w:val="both"/>
        <w:rPr>
          <w:rFonts w:ascii="Palatino Linotype" w:hAnsi="Palatino Linotype" w:cs="Tahoma"/>
        </w:rPr>
      </w:pPr>
      <w:r w:rsidRPr="00800B69">
        <w:rPr>
          <w:rFonts w:ascii="Palatino Linotype" w:hAnsi="Palatino Linotype" w:cs="Tahoma"/>
        </w:rPr>
        <w:t>Sobre el derecho de acceso a la información, la Ley General de Transparencia y Acceso a la Información Pública, así como la Ley de Transparencia y Acceso a la Información Pública del Estado de México y Municipios, señalan lo siguiente:</w:t>
      </w:r>
    </w:p>
    <w:p w14:paraId="7A176DC9" w14:textId="77777777" w:rsidR="00BA2451" w:rsidRPr="00800B69" w:rsidRDefault="00BA2451" w:rsidP="00BA2451">
      <w:pPr>
        <w:spacing w:after="0" w:line="360" w:lineRule="auto"/>
        <w:jc w:val="both"/>
        <w:rPr>
          <w:rFonts w:ascii="Palatino Linotype" w:hAnsi="Palatino Linotype" w:cs="Tahoma"/>
        </w:rPr>
      </w:pPr>
    </w:p>
    <w:p w14:paraId="6FDBA736" w14:textId="77777777" w:rsidR="00BA2451" w:rsidRPr="00800B69" w:rsidRDefault="00BA2451" w:rsidP="00BA2451">
      <w:pPr>
        <w:spacing w:after="0" w:line="360" w:lineRule="auto"/>
        <w:ind w:left="567" w:right="616"/>
        <w:jc w:val="both"/>
        <w:rPr>
          <w:rFonts w:ascii="Palatino Linotype" w:hAnsi="Palatino Linotype" w:cs="Tahoma"/>
        </w:rPr>
      </w:pPr>
      <w:r w:rsidRPr="00800B69">
        <w:rPr>
          <w:rFonts w:ascii="Palatino Linotype" w:hAnsi="Palatino Linotype" w:cs="Tahoma"/>
          <w:i/>
          <w:iCs/>
          <w:sz w:val="20"/>
          <w:szCs w:val="20"/>
        </w:rPr>
        <w:t>LEY GENERAL DE TRANSPARENCIA Y ACCESO A LA INFORMACIÓN PÚBLICA</w:t>
      </w:r>
    </w:p>
    <w:p w14:paraId="58AAB1BC" w14:textId="77777777" w:rsidR="00BA2451" w:rsidRPr="00800B69" w:rsidRDefault="00BA2451" w:rsidP="00BA2451">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Artículo 100. La clasificación es el proceso mediante el cual el sujeto obligado determina que la información en su poder actualiza alguno de los supuestos de reserva o confidencialidad, de conformidad con lo dispuesto en el presente Título.</w:t>
      </w:r>
    </w:p>
    <w:p w14:paraId="27716186" w14:textId="77777777" w:rsidR="00BA2451" w:rsidRPr="00800B69" w:rsidRDefault="00BA2451" w:rsidP="00BA2451">
      <w:pPr>
        <w:spacing w:after="0" w:line="360" w:lineRule="auto"/>
        <w:ind w:left="567" w:right="616"/>
        <w:jc w:val="both"/>
        <w:rPr>
          <w:rFonts w:ascii="Palatino Linotype" w:hAnsi="Palatino Linotype" w:cs="Tahoma"/>
          <w:i/>
          <w:iCs/>
          <w:sz w:val="20"/>
          <w:szCs w:val="20"/>
        </w:rPr>
      </w:pPr>
    </w:p>
    <w:p w14:paraId="43B71E8E" w14:textId="77777777" w:rsidR="00BA2451" w:rsidRPr="00800B69" w:rsidRDefault="00BA2451" w:rsidP="00BA2451">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Los supuestos de reserva o confidencialidad previstos en las leyes deberán ser acordes con las bases, principios y disposiciones establecidos en esta Ley y, en ningún caso, podrán contravenirla.</w:t>
      </w:r>
    </w:p>
    <w:p w14:paraId="631C155C" w14:textId="77777777" w:rsidR="00BA2451" w:rsidRPr="00800B69" w:rsidRDefault="00BA2451" w:rsidP="00BA2451">
      <w:pPr>
        <w:spacing w:after="0" w:line="360" w:lineRule="auto"/>
        <w:ind w:left="567" w:right="616"/>
        <w:jc w:val="both"/>
        <w:rPr>
          <w:rFonts w:ascii="Palatino Linotype" w:hAnsi="Palatino Linotype" w:cs="Tahoma"/>
          <w:i/>
          <w:iCs/>
          <w:sz w:val="20"/>
          <w:szCs w:val="20"/>
        </w:rPr>
      </w:pPr>
    </w:p>
    <w:p w14:paraId="476C5A37" w14:textId="77777777" w:rsidR="00BA2451" w:rsidRPr="00800B69" w:rsidRDefault="00BA2451" w:rsidP="00BA2451">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Los titulares de las Áreas de los sujetos obligados serán los responsables de clasificar la información, de conformidad con lo dispuesto en esta Ley, la Ley Federal y de las Entidades Federativas.</w:t>
      </w:r>
    </w:p>
    <w:p w14:paraId="22CDCA1F" w14:textId="77777777" w:rsidR="00BA2451" w:rsidRPr="00800B69" w:rsidRDefault="00BA2451" w:rsidP="00BA2451">
      <w:pPr>
        <w:spacing w:after="0" w:line="360" w:lineRule="auto"/>
        <w:ind w:left="567" w:right="616"/>
        <w:jc w:val="both"/>
        <w:rPr>
          <w:rFonts w:ascii="Palatino Linotype" w:hAnsi="Palatino Linotype" w:cs="Tahoma"/>
          <w:i/>
          <w:iCs/>
          <w:sz w:val="20"/>
          <w:szCs w:val="20"/>
        </w:rPr>
      </w:pPr>
    </w:p>
    <w:p w14:paraId="461E9299" w14:textId="77777777" w:rsidR="00BA2451" w:rsidRPr="00800B69" w:rsidRDefault="00BA2451" w:rsidP="00BA2451">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LEY DE TRANSPARENCIA Y ACCESO A LA INFORMACIÓN PÚBLICA DEL ESTADO DE MÉXICO Y MUNICIPIOS.</w:t>
      </w:r>
    </w:p>
    <w:p w14:paraId="1DEACDC1" w14:textId="77777777" w:rsidR="00BA2451" w:rsidRPr="00800B69" w:rsidRDefault="00BA2451" w:rsidP="00BA2451">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Artículo 122. La clasificación es el proceso mediante el cual el sujeto obligado determina que la información en su poder actualiza alguno de los supuestos de reserva o confidencialidad, de conformidad con lo dispuesto en el presente título.</w:t>
      </w:r>
    </w:p>
    <w:p w14:paraId="53E4143E" w14:textId="77777777" w:rsidR="00BA2451" w:rsidRPr="00800B69" w:rsidRDefault="00BA2451" w:rsidP="00BA2451">
      <w:pPr>
        <w:spacing w:after="0" w:line="360" w:lineRule="auto"/>
        <w:ind w:left="567" w:right="616"/>
        <w:jc w:val="both"/>
        <w:rPr>
          <w:rFonts w:ascii="Palatino Linotype" w:hAnsi="Palatino Linotype" w:cs="Tahoma"/>
          <w:i/>
          <w:iCs/>
          <w:sz w:val="20"/>
          <w:szCs w:val="20"/>
        </w:rPr>
      </w:pPr>
    </w:p>
    <w:p w14:paraId="6FE97207" w14:textId="77777777" w:rsidR="00BA2451" w:rsidRPr="00800B69" w:rsidRDefault="00BA2451" w:rsidP="00BA2451">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lastRenderedPageBreak/>
        <w:t xml:space="preserve">Los supuestos de reserva o confidencialidad previstos en las leyes deberán ser acordes con las bases, principios y disposiciones establecidos en la Ley General y, en ningún caso, podrán contravenirla. </w:t>
      </w:r>
    </w:p>
    <w:p w14:paraId="69C858C6" w14:textId="77777777" w:rsidR="00BA2451" w:rsidRPr="00800B69" w:rsidRDefault="00BA2451" w:rsidP="00BA2451">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Los titulares de las áreas de los sujetos obligados serán los responsables de clasificar la información, de conformidad con lo dispuesto en la presente Ley y demás disposiciones jurídicas aplicables.</w:t>
      </w:r>
    </w:p>
    <w:p w14:paraId="460282DD" w14:textId="77777777" w:rsidR="00BA2451" w:rsidRPr="00800B69" w:rsidRDefault="00BA2451" w:rsidP="00BA2451">
      <w:pPr>
        <w:spacing w:after="0" w:line="360" w:lineRule="auto"/>
        <w:ind w:left="567" w:right="616"/>
        <w:jc w:val="both"/>
        <w:rPr>
          <w:rFonts w:ascii="Palatino Linotype" w:hAnsi="Palatino Linotype" w:cs="Tahoma"/>
          <w:i/>
          <w:iCs/>
          <w:sz w:val="20"/>
          <w:szCs w:val="20"/>
        </w:rPr>
      </w:pPr>
    </w:p>
    <w:p w14:paraId="40B46E11" w14:textId="77777777" w:rsidR="00BA2451" w:rsidRPr="00800B69" w:rsidRDefault="00BA2451" w:rsidP="00BA2451">
      <w:pPr>
        <w:spacing w:after="0" w:line="360" w:lineRule="auto"/>
        <w:jc w:val="both"/>
        <w:rPr>
          <w:rFonts w:ascii="Palatino Linotype" w:hAnsi="Palatino Linotype" w:cs="Tahoma"/>
        </w:rPr>
      </w:pPr>
      <w:r w:rsidRPr="00800B69">
        <w:rPr>
          <w:rFonts w:ascii="Palatino Linotype" w:hAnsi="Palatino Linotype" w:cs="Tahoma"/>
        </w:rPr>
        <w:t>Así, toda la información en poder de los Sujetos Obligados, -como el Poder Legislativo-, es de naturaleza pública, sin la distinción de que la tengan en su poder, a partir de que la hayan generado, obtenido, adquirido, transformado o administrado, bastará con que esté en su posesión y solo podrá ser limitada bajo dos supuestos la reserva y la confidencialidad.</w:t>
      </w:r>
    </w:p>
    <w:p w14:paraId="64EF5A24" w14:textId="77777777" w:rsidR="00BA2451" w:rsidRPr="00800B69" w:rsidRDefault="00BA2451" w:rsidP="00BA2451">
      <w:pPr>
        <w:spacing w:after="0" w:line="360" w:lineRule="auto"/>
        <w:jc w:val="both"/>
        <w:rPr>
          <w:rFonts w:ascii="Palatino Linotype" w:hAnsi="Palatino Linotype" w:cs="Tahoma"/>
        </w:rPr>
      </w:pPr>
    </w:p>
    <w:p w14:paraId="4D61FA5C" w14:textId="77777777" w:rsidR="00BA2451" w:rsidRPr="00800B69" w:rsidRDefault="00BA2451" w:rsidP="00BA2451">
      <w:pPr>
        <w:spacing w:after="0" w:line="360" w:lineRule="auto"/>
        <w:jc w:val="both"/>
        <w:rPr>
          <w:rFonts w:ascii="Palatino Linotype" w:hAnsi="Palatino Linotype" w:cs="Tahoma"/>
        </w:rPr>
      </w:pPr>
      <w:r w:rsidRPr="00800B69">
        <w:rPr>
          <w:rFonts w:ascii="Palatino Linotype" w:hAnsi="Palatino Linotype" w:cs="Tahoma"/>
        </w:rPr>
        <w:t>Es necesario determinar la competencia del Sujeto Obligado para poseer información y, por ende, la fuente obligacional de proporcionarla; en ese sentido, el artículo 61, fracción XXXII de la Constitución Política del Estado Libre y Soberano de México, precisa que la Legislatura podrá revisar, fiscalizar y calificar las cuentas públicas del Estado y los Municipios, del año anterior y para tal efecto contará con un Órgano Superior de Fiscalización.</w:t>
      </w:r>
    </w:p>
    <w:p w14:paraId="42CE68BF" w14:textId="77777777" w:rsidR="00BA2451" w:rsidRPr="00800B69" w:rsidRDefault="00BA2451" w:rsidP="00BA2451">
      <w:pPr>
        <w:spacing w:after="0" w:line="360" w:lineRule="auto"/>
        <w:jc w:val="both"/>
        <w:rPr>
          <w:rFonts w:ascii="Palatino Linotype" w:hAnsi="Palatino Linotype" w:cs="Tahoma"/>
        </w:rPr>
      </w:pPr>
    </w:p>
    <w:p w14:paraId="0395529D" w14:textId="77777777" w:rsidR="00BA2451" w:rsidRPr="00800B69" w:rsidRDefault="00BA2451" w:rsidP="00BA2451">
      <w:pPr>
        <w:spacing w:after="0" w:line="360" w:lineRule="auto"/>
        <w:jc w:val="both"/>
        <w:rPr>
          <w:rFonts w:ascii="Palatino Linotype" w:hAnsi="Palatino Linotype" w:cs="Tahoma"/>
        </w:rPr>
      </w:pPr>
      <w:r w:rsidRPr="00800B69">
        <w:rPr>
          <w:rFonts w:ascii="Palatino Linotype" w:hAnsi="Palatino Linotype" w:cs="Tahoma"/>
        </w:rPr>
        <w:t>Por su parte, los artículos 94, fracción I y 95 de la Ley Orgánica del Poder Legislativo del Estado Libre y Soberano de México, establecen que para el control, fiscalización y revisión del ingreso y del gasto público de los entes públicos que manejen recursos del Estado y Municipios la Legislatura dispondrá del Órgano Superior de Fiscalización, cuya organización y funcionamiento se regirá por la Ley de Fiscalización Superior del Estado de México y su Reglamento Interior.</w:t>
      </w:r>
    </w:p>
    <w:p w14:paraId="128F01BE" w14:textId="77777777" w:rsidR="00BA2451" w:rsidRPr="00800B69" w:rsidRDefault="00BA2451" w:rsidP="00BA2451">
      <w:pPr>
        <w:spacing w:after="0" w:line="360" w:lineRule="auto"/>
        <w:jc w:val="both"/>
        <w:rPr>
          <w:rFonts w:ascii="Palatino Linotype" w:hAnsi="Palatino Linotype" w:cs="Tahoma"/>
        </w:rPr>
      </w:pPr>
    </w:p>
    <w:p w14:paraId="13428C0D" w14:textId="77777777" w:rsidR="00BA2451" w:rsidRPr="00800B69" w:rsidRDefault="00BA2451" w:rsidP="00BA2451">
      <w:pPr>
        <w:spacing w:after="0" w:line="360" w:lineRule="auto"/>
        <w:jc w:val="both"/>
        <w:rPr>
          <w:rFonts w:ascii="Palatino Linotype" w:hAnsi="Palatino Linotype" w:cs="Tahoma"/>
        </w:rPr>
      </w:pPr>
      <w:r w:rsidRPr="00800B69">
        <w:rPr>
          <w:rFonts w:ascii="Palatino Linotype" w:hAnsi="Palatino Linotype" w:cs="Tahoma"/>
        </w:rPr>
        <w:t xml:space="preserve">En ese orden de ideas, los artículos 2º, fracción XI y 32, párrafo primero de la Ley de Fiscalización Superior del Estado de México, se desprende que los Informes Trimestrales </w:t>
      </w:r>
      <w:r w:rsidRPr="00800B69">
        <w:rPr>
          <w:rFonts w:ascii="Palatino Linotype" w:hAnsi="Palatino Linotype" w:cs="Tahoma"/>
        </w:rPr>
        <w:lastRenderedPageBreak/>
        <w:t>son el documento físico y/o electrónico que trimestralmente presentan las entidades fiscalizables sobre la situación económica y en su caso deuda pública y se deberá presentar dentro de los veinte días hábiles posteriores al término del trimestre correspondiente al Órgano Superior para su análisis.</w:t>
      </w:r>
    </w:p>
    <w:p w14:paraId="7B0380C5" w14:textId="77777777" w:rsidR="00BA2451" w:rsidRPr="00800B69" w:rsidRDefault="00BA2451" w:rsidP="00BA2451">
      <w:pPr>
        <w:spacing w:after="0" w:line="360" w:lineRule="auto"/>
        <w:jc w:val="both"/>
        <w:rPr>
          <w:rFonts w:ascii="Palatino Linotype" w:hAnsi="Palatino Linotype" w:cs="Tahoma"/>
        </w:rPr>
      </w:pPr>
    </w:p>
    <w:p w14:paraId="507012A8" w14:textId="77777777" w:rsidR="00BA2451" w:rsidRPr="00800B69" w:rsidRDefault="00BA2451" w:rsidP="00BA2451">
      <w:pPr>
        <w:spacing w:after="0" w:line="360" w:lineRule="auto"/>
        <w:jc w:val="both"/>
        <w:rPr>
          <w:rFonts w:ascii="Palatino Linotype" w:hAnsi="Palatino Linotype" w:cs="Tahoma"/>
        </w:rPr>
      </w:pPr>
      <w:r w:rsidRPr="00800B69">
        <w:rPr>
          <w:rFonts w:ascii="Palatino Linotype" w:hAnsi="Palatino Linotype" w:cs="Tahoma"/>
        </w:rPr>
        <w:t xml:space="preserve">Así, </w:t>
      </w:r>
      <w:r w:rsidRPr="00800B69">
        <w:rPr>
          <w:rFonts w:ascii="Palatino Linotype" w:hAnsi="Palatino Linotype" w:cs="Tahoma"/>
          <w:b/>
        </w:rPr>
        <w:t>el Poder Legislativo, es poseedor de la información por lo que la única manera de restringir el derecho de acceso a la información mediante la clasificación de información</w:t>
      </w:r>
      <w:r w:rsidRPr="00800B69">
        <w:rPr>
          <w:rFonts w:ascii="Palatino Linotype" w:hAnsi="Palatino Linotype" w:cs="Tahoma"/>
        </w:rPr>
        <w:t xml:space="preserve"> con la emisión de un acuerdo, aprobado por el Comité de Transparencia del Sujeto Obligado, debidamente fundado y motivado, que en apego a los preceptor de clasificación antes invocados, exprese en la especie, cuáles son los supuestos de clasificación que se actualizan en el caso que nos ocupa, situación que no aconteció, pues el Poder Legislativo únicamente se limitó a referir que el Órgano Superior de Fiscalización se encuentra impedido a proporcionar la información y orientó al Particular a solicitar la información al Ayuntamiento de Tianguistenco, en virtud de que este es el generador de la información, en cumplimiento de las obligaciones de fiscalización, de tal suerte que para restringir el acceso a documentos que obran en sus archivos, debió acreditar que se trata de información clasificada.</w:t>
      </w:r>
    </w:p>
    <w:p w14:paraId="76889211" w14:textId="77777777" w:rsidR="00BA2451" w:rsidRPr="00800B69" w:rsidRDefault="00BA2451" w:rsidP="00BA2451">
      <w:pPr>
        <w:spacing w:after="0" w:line="360" w:lineRule="auto"/>
        <w:jc w:val="both"/>
        <w:rPr>
          <w:rFonts w:ascii="Palatino Linotype" w:hAnsi="Palatino Linotype" w:cs="Tahoma"/>
          <w:highlight w:val="yellow"/>
        </w:rPr>
      </w:pPr>
    </w:p>
    <w:p w14:paraId="70588A9D" w14:textId="77777777" w:rsidR="00BA2451" w:rsidRPr="00800B69" w:rsidRDefault="00BA2451" w:rsidP="00BA2451">
      <w:pPr>
        <w:spacing w:after="0" w:line="360" w:lineRule="auto"/>
        <w:jc w:val="both"/>
        <w:rPr>
          <w:rFonts w:ascii="Palatino Linotype" w:hAnsi="Palatino Linotype" w:cs="Tahoma"/>
        </w:rPr>
      </w:pPr>
      <w:r w:rsidRPr="00800B69">
        <w:rPr>
          <w:rFonts w:ascii="Palatino Linotype" w:hAnsi="Palatino Linotype" w:cs="Tahoma"/>
        </w:rPr>
        <w:t>Es decir, para limitar el acceso a información los Sujetos Obligados, deben emitir un acuerdo, que, de manera fundada y motivada, otorgue al Particular certeza de que la información que no se le entrega, es porque su divulgación, podría genera una afectación o bien, por ser información que por su propia naturaleza  no es divulgable, como pueden ser datos personales, secreto bancario, fiduciario, comercial o bien, cuando se entregue a los Sujetos Obligados con naturaleza confidencial.</w:t>
      </w:r>
    </w:p>
    <w:p w14:paraId="0FCA8D5E" w14:textId="77777777" w:rsidR="00BA2451" w:rsidRPr="00800B69" w:rsidRDefault="00BA2451" w:rsidP="00BA2451">
      <w:pPr>
        <w:spacing w:after="0" w:line="360" w:lineRule="auto"/>
        <w:jc w:val="both"/>
        <w:rPr>
          <w:rFonts w:ascii="Palatino Linotype" w:hAnsi="Palatino Linotype" w:cs="Tahoma"/>
        </w:rPr>
      </w:pPr>
    </w:p>
    <w:p w14:paraId="689E0B04" w14:textId="77777777" w:rsidR="00BA2451" w:rsidRPr="00800B69" w:rsidRDefault="00BA2451" w:rsidP="00BA2451">
      <w:pPr>
        <w:spacing w:after="0" w:line="360" w:lineRule="auto"/>
        <w:jc w:val="both"/>
        <w:rPr>
          <w:rFonts w:ascii="Palatino Linotype" w:hAnsi="Palatino Linotype" w:cs="Tahoma"/>
        </w:rPr>
      </w:pPr>
      <w:r w:rsidRPr="00800B69">
        <w:rPr>
          <w:rFonts w:ascii="Palatino Linotype" w:hAnsi="Palatino Linotype" w:cs="Tahoma"/>
        </w:rPr>
        <w:lastRenderedPageBreak/>
        <w:t>En tal sentido, no se argumentó que la información solicitada actualice alguna causal de confidencialidad o de reserva, y en contexto, cuando no se acredita esta limitación a la entrega de información los sujetos obligados están constreñidos a entregar toda la información que por cualquier motivo obre en sus archivos, por lo que justificar una restricción al derecho humano de acceso a la información, únicamente porque la información fue generada por otro sujeto obligado o porque dicha información también obra en los archivos de ese sujeto obligado distinto, va en contra del derecho de acceso a la información, de tal suerte que, la resolución que nos ocupa, debió indicar que los documentos que se remiten por las instituciones públicas al OSFEM, son documentos finales, esto quiere decir, que son actos consumados por las instituciones públicas y lo que la ley permite al OSFEM es clasificar la información que ellos generan derivado de las revisiones que realizan y que podrían dar cuenta de las observaciones hasta en tanto no estén acreditadas o solventadas, por lo que incluso el argumento de que los documentos están siendo fiscalizados, no es suficiente para restringir el derecho de acceso a la información.</w:t>
      </w:r>
    </w:p>
    <w:p w14:paraId="12197751" w14:textId="77777777" w:rsidR="00BA2451" w:rsidRPr="00800B69" w:rsidRDefault="00BA2451" w:rsidP="00BA2451">
      <w:pPr>
        <w:spacing w:after="0" w:line="360" w:lineRule="auto"/>
        <w:jc w:val="both"/>
        <w:rPr>
          <w:rFonts w:ascii="Palatino Linotype" w:hAnsi="Palatino Linotype" w:cs="Tahoma"/>
        </w:rPr>
      </w:pPr>
    </w:p>
    <w:p w14:paraId="76031040" w14:textId="77777777" w:rsidR="00BA2451" w:rsidRPr="00800B69" w:rsidRDefault="00BA2451" w:rsidP="00BA2451">
      <w:pPr>
        <w:spacing w:after="0" w:line="360" w:lineRule="auto"/>
        <w:jc w:val="both"/>
        <w:rPr>
          <w:rFonts w:ascii="Palatino Linotype" w:hAnsi="Palatino Linotype" w:cs="Tahoma"/>
        </w:rPr>
      </w:pPr>
      <w:r w:rsidRPr="00800B69">
        <w:rPr>
          <w:rFonts w:ascii="Palatino Linotype" w:hAnsi="Palatino Linotype" w:cs="Tahoma"/>
        </w:rPr>
        <w:t>No se deja de lado que, el Poder Legislativo en ningún momento argumentó como justificación de la restricción del derecho de acceso a la información que los documentos fueran clasificados, simplemente indicó que es incompetente para hacer la entrega en virtud de que fueron generados por un sujeto obligado distinto y es este quien debe entregarlos, dejando de lado que la información sí obra en los archivos del Poder Legislativo.</w:t>
      </w:r>
    </w:p>
    <w:p w14:paraId="6E935F6F" w14:textId="77777777" w:rsidR="00BA2451" w:rsidRPr="00800B69" w:rsidRDefault="00BA2451" w:rsidP="00BA2451">
      <w:pPr>
        <w:spacing w:after="0" w:line="360" w:lineRule="auto"/>
        <w:jc w:val="both"/>
        <w:rPr>
          <w:rFonts w:ascii="Palatino Linotype" w:hAnsi="Palatino Linotype" w:cs="Tahoma"/>
        </w:rPr>
      </w:pPr>
    </w:p>
    <w:p w14:paraId="7B9A3B0A" w14:textId="77777777" w:rsidR="00BA2451" w:rsidRPr="00800B69" w:rsidRDefault="00BA2451" w:rsidP="00BA2451">
      <w:pPr>
        <w:spacing w:after="0" w:line="360" w:lineRule="auto"/>
        <w:jc w:val="both"/>
        <w:rPr>
          <w:rFonts w:ascii="Palatino Linotype" w:hAnsi="Palatino Linotype" w:cs="Tahoma"/>
        </w:rPr>
      </w:pPr>
      <w:r w:rsidRPr="00800B69">
        <w:rPr>
          <w:rFonts w:ascii="Palatino Linotype" w:hAnsi="Palatino Linotype" w:cs="Tahoma"/>
        </w:rPr>
        <w:t xml:space="preserve">Robustece lo anterior, la nota periodística denominada “El Infoem firmó convenio interinstitucional con el OSFEM” del cinco de julio de dos mil veintidós, consultable en </w:t>
      </w:r>
      <w:hyperlink r:id="rId7" w:history="1">
        <w:r w:rsidRPr="00800B69">
          <w:rPr>
            <w:rStyle w:val="Hipervnculo"/>
            <w:rFonts w:ascii="Palatino Linotype" w:hAnsi="Palatino Linotype" w:cs="Tahoma"/>
            <w:i/>
            <w:sz w:val="20"/>
          </w:rPr>
          <w:t>https://www.infoem.org.mx/es/contenido/noticias/el-infoem-firm%C3%B3-conveniointerinstitucional-con-el-osfem</w:t>
        </w:r>
      </w:hyperlink>
      <w:r w:rsidRPr="00800B69">
        <w:rPr>
          <w:rFonts w:ascii="Palatino Linotype" w:hAnsi="Palatino Linotype" w:cs="Tahoma"/>
        </w:rPr>
        <w:t xml:space="preserve">, por medio de la cual se señala la revisión y análisis </w:t>
      </w:r>
      <w:r w:rsidRPr="00800B69">
        <w:rPr>
          <w:rFonts w:ascii="Palatino Linotype" w:hAnsi="Palatino Linotype" w:cs="Tahoma"/>
        </w:rPr>
        <w:lastRenderedPageBreak/>
        <w:t>entre la posible disparidad o incongruencia de la información que las instituciones publican en sus portales de transparencia , a través del Sistema de Información Pública de Oficio Mexiquense (Ipomex) y aquella que reportan al Órgano Superior de Fiscalización, con el fin de iniciar de manera más eficiente, los procedimientos de responsabilidad administrativa que puedan existir y disminuir los índices de corrupción en servicio estatal y municipal.</w:t>
      </w:r>
    </w:p>
    <w:p w14:paraId="66D7D5CF" w14:textId="77777777" w:rsidR="00BA2451" w:rsidRPr="00800B69" w:rsidRDefault="00BA2451" w:rsidP="00BA2451">
      <w:pPr>
        <w:spacing w:after="0" w:line="360" w:lineRule="auto"/>
        <w:jc w:val="both"/>
        <w:rPr>
          <w:rFonts w:ascii="Palatino Linotype" w:hAnsi="Palatino Linotype" w:cs="Tahoma"/>
        </w:rPr>
      </w:pPr>
    </w:p>
    <w:p w14:paraId="013244B0" w14:textId="77777777" w:rsidR="00BA2451" w:rsidRPr="00800B69" w:rsidRDefault="00BA2451" w:rsidP="00BA2451">
      <w:pPr>
        <w:spacing w:after="0" w:line="360" w:lineRule="auto"/>
        <w:jc w:val="both"/>
        <w:rPr>
          <w:rFonts w:ascii="Palatino Linotype" w:hAnsi="Palatino Linotype" w:cs="Tahoma"/>
        </w:rPr>
      </w:pPr>
      <w:r w:rsidRPr="00800B69">
        <w:rPr>
          <w:rFonts w:ascii="Palatino Linotype" w:hAnsi="Palatino Linotype" w:cs="Tahoma"/>
        </w:rPr>
        <w:t>Es valioso señalar que la afirmación, de que la información es localizable en el Ayuntamiento de Atizapán de Zaragoza, no es falsa, pues en efecto, es el Sujeto Obligado generador de la información, lo que no exime al Poder Legislativo a contar con ella en sus archivos, al respecto, el Instituto Nacional de Transparencia, Acceso a la Información Pública y Protección de Datos Personales (INAI), a través de su criterio histórico, con clave de control SO/015/2013, contempla la existencia de competencias concurrentes, en los siguientes términos:</w:t>
      </w:r>
    </w:p>
    <w:p w14:paraId="0081C94A" w14:textId="77777777" w:rsidR="00BA2451" w:rsidRPr="00800B69" w:rsidRDefault="00BA2451" w:rsidP="00BA2451">
      <w:pPr>
        <w:spacing w:after="0" w:line="360" w:lineRule="auto"/>
        <w:jc w:val="both"/>
        <w:rPr>
          <w:rFonts w:ascii="Palatino Linotype" w:hAnsi="Palatino Linotype" w:cs="Tahoma"/>
        </w:rPr>
      </w:pPr>
    </w:p>
    <w:p w14:paraId="0E13DBF3" w14:textId="77777777" w:rsidR="00BA2451" w:rsidRPr="00800B69" w:rsidRDefault="00BA2451" w:rsidP="00BA2451">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b/>
          <w:bCs/>
          <w:i/>
          <w:iCs/>
          <w:sz w:val="20"/>
          <w:szCs w:val="20"/>
        </w:rPr>
        <w:t>Competencia concurrente. Los sujetos obligados deberán proporcionar la información con la que cuenten y orientar al particular a las otras autoridades competentes</w:t>
      </w:r>
      <w:r w:rsidRPr="00800B69">
        <w:rPr>
          <w:rFonts w:ascii="Palatino Linotype" w:hAnsi="Palatino Linotype" w:cs="Tahoma"/>
          <w:i/>
          <w:iCs/>
          <w:sz w:val="20"/>
          <w:szCs w:val="20"/>
        </w:rPr>
        <w:t>. De conformidad con lo dispuesto en el artículo 28, fracción III de la Ley Federal de Transparencia y Acceso a la Información Pública Gubernamental, cuando las dependencias y entidades de la Administración Pública Federal reciban una solicitud de acceso a información gubernamental que no sea de su competencia, deberán orientar al particular para que presente una nueva solicitud de acceso ante la Unidad de Enlace de la autoridad competente para conocer de la información. Ahora bien, cuando sobre una materia, el sujeto obligado tenga una competencia concurrente con otra u otras autoridades, deberá agotar el procedimiento de búsqueda de la información y proporcionar aquélla con la que cuente o, de no contar con ésta, deberá declarar formalmente la inexistencia y, en su caso, orientar al particular para que, de así considerarlo, presente su solicitud ante la dependencia o entidad que también tengan competencia para conocer de la información.</w:t>
      </w:r>
    </w:p>
    <w:p w14:paraId="2AE9C3DE" w14:textId="77777777" w:rsidR="00BA2451" w:rsidRPr="00800B69" w:rsidRDefault="00BA2451" w:rsidP="00BA2451">
      <w:pPr>
        <w:spacing w:after="0" w:line="360" w:lineRule="auto"/>
        <w:jc w:val="both"/>
        <w:rPr>
          <w:rFonts w:ascii="Palatino Linotype" w:hAnsi="Palatino Linotype" w:cs="Tahoma"/>
        </w:rPr>
      </w:pPr>
    </w:p>
    <w:p w14:paraId="650BEAE2" w14:textId="7F35F07E" w:rsidR="00BA2451" w:rsidRPr="00800B69" w:rsidRDefault="00BA2451" w:rsidP="00BA2451">
      <w:pPr>
        <w:spacing w:after="0" w:line="360" w:lineRule="auto"/>
        <w:jc w:val="both"/>
        <w:rPr>
          <w:rFonts w:ascii="Palatino Linotype" w:hAnsi="Palatino Linotype" w:cs="Tahoma"/>
        </w:rPr>
      </w:pPr>
      <w:r w:rsidRPr="00800B69">
        <w:rPr>
          <w:rFonts w:ascii="Palatino Linotype" w:hAnsi="Palatino Linotype" w:cs="Tahoma"/>
        </w:rPr>
        <w:t xml:space="preserve">De lo anterior, se logra vislumbrar el interés legítimo del Particular en acceder a la información </w:t>
      </w:r>
      <w:r>
        <w:rPr>
          <w:rFonts w:ascii="Palatino Linotype" w:hAnsi="Palatino Linotype" w:cs="Tahoma"/>
        </w:rPr>
        <w:t xml:space="preserve">tanto en posesión de un Organismo Municipal, </w:t>
      </w:r>
      <w:r w:rsidRPr="00800B69">
        <w:rPr>
          <w:rFonts w:ascii="Palatino Linotype" w:hAnsi="Palatino Linotype" w:cs="Tahoma"/>
        </w:rPr>
        <w:t>como la del Órgano Superior de Fiscalización, a fin de verificar el cumplimiento de las obligaciones y que permiten a la ciudadanía involucrarse de manera activa en la rendición de cuentas y combate a la corrupción, de tal manera que en el presente caso debió prevalecer el principio de máxima publicidad y ordenar al Órgano Superior de Fiscalización, la entrega del Informe Trimestral con la documentación de interés del particular y que satisfacen el derecho de acceso a la información del Recurrente, y no confirmar la incompetencia de poseer la información.</w:t>
      </w:r>
    </w:p>
    <w:p w14:paraId="2CB83D59" w14:textId="77777777" w:rsidR="00BA2451" w:rsidRPr="00925877" w:rsidRDefault="00BA2451" w:rsidP="00285C7B">
      <w:pPr>
        <w:spacing w:after="0" w:line="360" w:lineRule="auto"/>
        <w:jc w:val="both"/>
        <w:rPr>
          <w:rFonts w:ascii="Palatino Linotype" w:hAnsi="Palatino Linotype" w:cs="Tahoma"/>
        </w:rPr>
      </w:pPr>
    </w:p>
    <w:p w14:paraId="7FFFC4FF" w14:textId="291F186C" w:rsidR="00F84B95" w:rsidRDefault="00F84B95" w:rsidP="00F84B95">
      <w:pPr>
        <w:rPr>
          <w:rFonts w:ascii="Palatino Linotype" w:hAnsi="Palatino Linotype" w:cs="Tahoma"/>
        </w:rPr>
      </w:pPr>
      <w:r w:rsidRPr="00925877">
        <w:rPr>
          <w:rFonts w:ascii="Palatino Linotype" w:hAnsi="Palatino Linotype" w:cs="Tahoma"/>
        </w:rPr>
        <w:t xml:space="preserve">Así, con base en los razonamientos expuestos, </w:t>
      </w:r>
      <w:r w:rsidRPr="00925877">
        <w:rPr>
          <w:rFonts w:ascii="Palatino Linotype" w:hAnsi="Palatino Linotype" w:cs="Tahoma"/>
          <w:b/>
        </w:rPr>
        <w:t xml:space="preserve">se emite el presente Voto </w:t>
      </w:r>
      <w:r w:rsidR="00DD7150" w:rsidRPr="00925877">
        <w:rPr>
          <w:rFonts w:ascii="Palatino Linotype" w:hAnsi="Palatino Linotype" w:cs="Tahoma"/>
          <w:b/>
        </w:rPr>
        <w:t>Disidente</w:t>
      </w:r>
      <w:r w:rsidR="00DD7150" w:rsidRPr="00925877">
        <w:rPr>
          <w:rFonts w:ascii="Palatino Linotype" w:hAnsi="Palatino Linotype" w:cs="Tahoma"/>
        </w:rPr>
        <w:t>. ---------------------------------------------------------------------------------------------------------------------------------</w:t>
      </w:r>
      <w:r w:rsidR="00C45719" w:rsidRPr="00925877">
        <w:rPr>
          <w:rFonts w:ascii="Palatino Linotype" w:hAnsi="Palatino Linotype" w:cs="Tahoma"/>
        </w:rPr>
        <w:t>-----------------------------------------------------------------------------------------------------------------------</w:t>
      </w:r>
    </w:p>
    <w:p w14:paraId="76DD5688" w14:textId="77777777" w:rsidR="00F84B95" w:rsidRDefault="00F84B95" w:rsidP="00F84B95">
      <w:pPr>
        <w:rPr>
          <w:rFonts w:ascii="Palatino Linotype" w:hAnsi="Palatino Linotype" w:cs="Tahoma"/>
        </w:rPr>
      </w:pPr>
    </w:p>
    <w:p w14:paraId="244D9A4A" w14:textId="77777777" w:rsidR="00F84B95" w:rsidRDefault="00F84B95" w:rsidP="00F84B95">
      <w:pPr>
        <w:rPr>
          <w:rFonts w:ascii="Palatino Linotype" w:hAnsi="Palatino Linotype" w:cs="Tahoma"/>
        </w:rPr>
      </w:pPr>
    </w:p>
    <w:p w14:paraId="5024DE86" w14:textId="77777777" w:rsidR="00F84B95" w:rsidRDefault="00F84B95" w:rsidP="00F84B95">
      <w:pPr>
        <w:rPr>
          <w:rFonts w:ascii="Palatino Linotype" w:hAnsi="Palatino Linotype" w:cs="Tahoma"/>
        </w:rPr>
      </w:pPr>
    </w:p>
    <w:p w14:paraId="3179AC1F" w14:textId="77777777" w:rsidR="00F84B95" w:rsidRDefault="00F84B95" w:rsidP="00F84B95">
      <w:pPr>
        <w:rPr>
          <w:rFonts w:ascii="Palatino Linotype" w:hAnsi="Palatino Linotype" w:cs="Tahoma"/>
        </w:rPr>
      </w:pPr>
    </w:p>
    <w:p w14:paraId="23CCFB41" w14:textId="77777777" w:rsidR="00F84B95" w:rsidRDefault="00F84B95" w:rsidP="00F84B95">
      <w:pPr>
        <w:rPr>
          <w:rFonts w:ascii="Palatino Linotype" w:hAnsi="Palatino Linotype" w:cs="Tahoma"/>
        </w:rPr>
      </w:pPr>
    </w:p>
    <w:p w14:paraId="09CFA5DD" w14:textId="77777777" w:rsidR="00F84B95" w:rsidRDefault="00F84B95" w:rsidP="00F84B95">
      <w:pPr>
        <w:rPr>
          <w:rFonts w:ascii="Palatino Linotype" w:hAnsi="Palatino Linotype" w:cs="Tahoma"/>
        </w:rPr>
      </w:pPr>
    </w:p>
    <w:p w14:paraId="7E1ABA11" w14:textId="77777777" w:rsidR="00F84B95" w:rsidRDefault="00F84B95" w:rsidP="00F84B95">
      <w:pPr>
        <w:rPr>
          <w:rFonts w:ascii="Palatino Linotype" w:hAnsi="Palatino Linotype" w:cs="Tahoma"/>
        </w:rPr>
      </w:pPr>
    </w:p>
    <w:p w14:paraId="62611383" w14:textId="77777777" w:rsidR="00F84B95" w:rsidRDefault="00F84B95" w:rsidP="00F84B95">
      <w:pPr>
        <w:rPr>
          <w:rFonts w:ascii="Palatino Linotype" w:hAnsi="Palatino Linotype" w:cs="Tahoma"/>
        </w:rPr>
      </w:pPr>
    </w:p>
    <w:p w14:paraId="413673D0" w14:textId="77777777" w:rsidR="00F84B95" w:rsidRDefault="00F84B95" w:rsidP="00F84B95">
      <w:pPr>
        <w:rPr>
          <w:rFonts w:ascii="Palatino Linotype" w:hAnsi="Palatino Linotype" w:cs="Tahoma"/>
        </w:rPr>
      </w:pPr>
    </w:p>
    <w:p w14:paraId="6105C9A1" w14:textId="77777777" w:rsidR="00F84B95" w:rsidRDefault="00F84B95" w:rsidP="00F84B95">
      <w:pPr>
        <w:rPr>
          <w:rFonts w:ascii="Palatino Linotype" w:hAnsi="Palatino Linotype" w:cs="Tahoma"/>
        </w:rPr>
      </w:pPr>
    </w:p>
    <w:p w14:paraId="39EB3D58" w14:textId="77777777" w:rsidR="00986A57" w:rsidRDefault="00986A57" w:rsidP="00F84B95">
      <w:pPr>
        <w:rPr>
          <w:rFonts w:ascii="Palatino Linotype" w:hAnsi="Palatino Linotype" w:cs="Tahoma"/>
        </w:rPr>
      </w:pPr>
    </w:p>
    <w:p w14:paraId="109D3210" w14:textId="77777777" w:rsidR="00986A57" w:rsidRDefault="00986A57" w:rsidP="00F84B95">
      <w:pPr>
        <w:rPr>
          <w:rFonts w:ascii="Palatino Linotype" w:hAnsi="Palatino Linotype" w:cs="Tahoma"/>
        </w:rPr>
      </w:pPr>
    </w:p>
    <w:p w14:paraId="79964229" w14:textId="77777777" w:rsidR="00986A57" w:rsidRDefault="00986A57" w:rsidP="00F84B95">
      <w:pPr>
        <w:rPr>
          <w:rFonts w:ascii="Palatino Linotype" w:hAnsi="Palatino Linotype" w:cs="Tahoma"/>
        </w:rPr>
      </w:pPr>
    </w:p>
    <w:p w14:paraId="1475217F" w14:textId="77777777" w:rsidR="00986A57" w:rsidRDefault="00986A57" w:rsidP="00F84B95">
      <w:pPr>
        <w:rPr>
          <w:rFonts w:ascii="Palatino Linotype" w:hAnsi="Palatino Linotype" w:cs="Tahoma"/>
        </w:rPr>
      </w:pPr>
    </w:p>
    <w:p w14:paraId="6C92CFB0" w14:textId="77777777" w:rsidR="00986A57" w:rsidRDefault="00986A57" w:rsidP="00F84B95">
      <w:pPr>
        <w:rPr>
          <w:rFonts w:ascii="Palatino Linotype" w:hAnsi="Palatino Linotype" w:cs="Tahoma"/>
        </w:rPr>
      </w:pPr>
    </w:p>
    <w:p w14:paraId="573688E0" w14:textId="77777777" w:rsidR="00986A57" w:rsidRDefault="00986A57" w:rsidP="00F84B95">
      <w:pPr>
        <w:rPr>
          <w:rFonts w:ascii="Palatino Linotype" w:hAnsi="Palatino Linotype" w:cs="Tahoma"/>
        </w:rPr>
      </w:pPr>
    </w:p>
    <w:p w14:paraId="622DCF9E" w14:textId="77777777" w:rsidR="00986A57" w:rsidRDefault="00986A57" w:rsidP="00F84B95">
      <w:pPr>
        <w:rPr>
          <w:rFonts w:ascii="Palatino Linotype" w:hAnsi="Palatino Linotype" w:cs="Tahoma"/>
        </w:rPr>
      </w:pPr>
    </w:p>
    <w:p w14:paraId="1282BCDD" w14:textId="77777777" w:rsidR="00986A57" w:rsidRDefault="00986A57" w:rsidP="00F84B95">
      <w:pPr>
        <w:rPr>
          <w:rFonts w:ascii="Palatino Linotype" w:hAnsi="Palatino Linotype" w:cs="Tahoma"/>
        </w:rPr>
      </w:pPr>
    </w:p>
    <w:p w14:paraId="3C94234E" w14:textId="77777777" w:rsidR="00986A57" w:rsidRDefault="00986A57" w:rsidP="00F84B95">
      <w:pPr>
        <w:rPr>
          <w:rFonts w:ascii="Palatino Linotype" w:hAnsi="Palatino Linotype" w:cs="Tahoma"/>
        </w:rPr>
      </w:pPr>
    </w:p>
    <w:p w14:paraId="1A1B49F2" w14:textId="77777777" w:rsidR="00986A57" w:rsidRDefault="00986A57" w:rsidP="00F84B95">
      <w:pPr>
        <w:rPr>
          <w:rFonts w:ascii="Palatino Linotype" w:hAnsi="Palatino Linotype" w:cs="Tahoma"/>
        </w:rPr>
      </w:pPr>
    </w:p>
    <w:p w14:paraId="23F07DE4" w14:textId="77777777" w:rsidR="00986A57" w:rsidRDefault="00986A57" w:rsidP="00F84B95">
      <w:pPr>
        <w:rPr>
          <w:rFonts w:ascii="Palatino Linotype" w:hAnsi="Palatino Linotype" w:cs="Tahoma"/>
        </w:rPr>
      </w:pPr>
    </w:p>
    <w:p w14:paraId="5C1A5769" w14:textId="77777777" w:rsidR="00986A57" w:rsidRDefault="00986A57" w:rsidP="00F84B95">
      <w:pPr>
        <w:rPr>
          <w:rFonts w:ascii="Palatino Linotype" w:hAnsi="Palatino Linotype" w:cs="Tahoma"/>
        </w:rPr>
      </w:pPr>
    </w:p>
    <w:p w14:paraId="79985133" w14:textId="77777777" w:rsidR="00986A57" w:rsidRDefault="00986A57" w:rsidP="00F84B95">
      <w:pPr>
        <w:rPr>
          <w:rFonts w:ascii="Palatino Linotype" w:hAnsi="Palatino Linotype" w:cs="Tahoma"/>
        </w:rPr>
      </w:pPr>
    </w:p>
    <w:p w14:paraId="361501E0" w14:textId="77777777" w:rsidR="00F84B95" w:rsidRDefault="00F84B95" w:rsidP="00F84B95">
      <w:pPr>
        <w:rPr>
          <w:rFonts w:ascii="Palatino Linotype" w:hAnsi="Palatino Linotype" w:cs="Tahoma"/>
        </w:rPr>
      </w:pPr>
    </w:p>
    <w:p w14:paraId="5EF5C6CA" w14:textId="77777777" w:rsidR="00F84B95" w:rsidRDefault="00F84B95" w:rsidP="00F84B95">
      <w:pPr>
        <w:rPr>
          <w:rFonts w:ascii="Palatino Linotype" w:hAnsi="Palatino Linotype" w:cs="Tahoma"/>
        </w:rPr>
      </w:pPr>
    </w:p>
    <w:sectPr w:rsidR="00F84B95" w:rsidSect="00950355">
      <w:headerReference w:type="even" r:id="rId8"/>
      <w:headerReference w:type="default" r:id="rId9"/>
      <w:footerReference w:type="default" r:id="rId10"/>
      <w:headerReference w:type="firs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B4A3F" w14:textId="77777777" w:rsidR="00187C4D" w:rsidRDefault="00187C4D" w:rsidP="00A80C30">
      <w:pPr>
        <w:spacing w:after="0" w:line="240" w:lineRule="auto"/>
      </w:pPr>
      <w:r>
        <w:separator/>
      </w:r>
    </w:p>
  </w:endnote>
  <w:endnote w:type="continuationSeparator" w:id="0">
    <w:p w14:paraId="6B355927" w14:textId="77777777" w:rsidR="00187C4D" w:rsidRDefault="00187C4D"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77777" w:rsidR="00EC2830"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962388">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62388">
              <w:rPr>
                <w:b/>
                <w:bCs/>
                <w:noProof/>
              </w:rPr>
              <w:t>11</w:t>
            </w:r>
            <w:r>
              <w:rPr>
                <w:b/>
                <w:bCs/>
                <w:sz w:val="24"/>
                <w:szCs w:val="24"/>
              </w:rPr>
              <w:fldChar w:fldCharType="end"/>
            </w:r>
          </w:p>
        </w:sdtContent>
      </w:sdt>
    </w:sdtContent>
  </w:sdt>
  <w:p w14:paraId="0581D3D8" w14:textId="77777777" w:rsidR="00EC2830" w:rsidRDefault="00EC283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BE61D" w14:textId="77777777" w:rsidR="00187C4D" w:rsidRDefault="00187C4D" w:rsidP="00A80C30">
      <w:pPr>
        <w:spacing w:after="0" w:line="240" w:lineRule="auto"/>
      </w:pPr>
      <w:r>
        <w:separator/>
      </w:r>
    </w:p>
  </w:footnote>
  <w:footnote w:type="continuationSeparator" w:id="0">
    <w:p w14:paraId="462A5E61" w14:textId="77777777" w:rsidR="00187C4D" w:rsidRDefault="00187C4D"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F5E0F" w14:textId="680E46C1" w:rsidR="00A80C30" w:rsidRDefault="00187C4D">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528"/>
    </w:tblGrid>
    <w:tr w:rsidR="0077694E" w:rsidRPr="001106EA" w14:paraId="1FC3852C" w14:textId="77777777" w:rsidTr="00A748F9">
      <w:trPr>
        <w:trHeight w:val="1843"/>
      </w:trPr>
      <w:tc>
        <w:tcPr>
          <w:tcW w:w="3686" w:type="dxa"/>
          <w:vAlign w:val="bottom"/>
        </w:tcPr>
        <w:p w14:paraId="3BB07D34" w14:textId="77777777" w:rsidR="00EC2830" w:rsidRDefault="001F75E5" w:rsidP="00285C7B">
          <w:pPr>
            <w:pStyle w:val="Encabezado"/>
            <w:tabs>
              <w:tab w:val="clear" w:pos="4252"/>
              <w:tab w:val="center" w:pos="2614"/>
            </w:tabs>
            <w:ind w:left="-255"/>
          </w:pPr>
          <w:r>
            <w:rPr>
              <w:noProof/>
              <w:sz w:val="10"/>
              <w:szCs w:val="10"/>
              <w:lang w:val="es-MX" w:eastAsia="es-MX"/>
            </w:rPr>
            <w:drawing>
              <wp:inline distT="0" distB="0" distL="0" distR="0" wp14:anchorId="449244AA" wp14:editId="3A60F757">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5E60A2A5" w14:textId="4E0BF485" w:rsidR="00285C7B" w:rsidRDefault="00285C7B" w:rsidP="00285C7B">
          <w:pPr>
            <w:pStyle w:val="Encabezado"/>
            <w:tabs>
              <w:tab w:val="clear" w:pos="4252"/>
              <w:tab w:val="center" w:pos="2614"/>
            </w:tabs>
            <w:ind w:left="-255"/>
          </w:pPr>
        </w:p>
      </w:tc>
      <w:tc>
        <w:tcPr>
          <w:tcW w:w="5528" w:type="dxa"/>
          <w:vAlign w:val="center"/>
        </w:tcPr>
        <w:p w14:paraId="3C4C7CFE" w14:textId="77777777" w:rsidR="00EC2830" w:rsidRPr="00B9745A" w:rsidRDefault="00EC2830" w:rsidP="00285C7B">
          <w:pPr>
            <w:pStyle w:val="Encabezado"/>
            <w:ind w:right="-250"/>
            <w:jc w:val="both"/>
            <w:rPr>
              <w:rFonts w:ascii="Palatino Linotype" w:hAnsi="Palatino Linotype" w:cs="Tahoma"/>
            </w:rPr>
          </w:pPr>
        </w:p>
        <w:p w14:paraId="5D63E913" w14:textId="0A88DDE5" w:rsidR="00EC2830"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 xml:space="preserve">Voto </w:t>
          </w:r>
          <w:r w:rsidR="00C66575">
            <w:rPr>
              <w:rFonts w:ascii="Palatino Linotype" w:hAnsi="Palatino Linotype" w:cs="Tahoma"/>
              <w:b/>
            </w:rPr>
            <w:t>Disidente</w:t>
          </w:r>
        </w:p>
        <w:p w14:paraId="723FEADC" w14:textId="07638024" w:rsidR="00B45EC5" w:rsidRDefault="00DB3F93" w:rsidP="00790A7C">
          <w:pPr>
            <w:pStyle w:val="Encabezado"/>
            <w:ind w:left="-108" w:right="-250"/>
            <w:jc w:val="both"/>
            <w:rPr>
              <w:rFonts w:ascii="Palatino Linotype" w:hAnsi="Palatino Linotype"/>
              <w:lang w:val="es-MX"/>
            </w:rPr>
          </w:pPr>
          <w:r>
            <w:rPr>
              <w:rFonts w:ascii="Palatino Linotype" w:hAnsi="Palatino Linotype" w:cs="Tahoma"/>
              <w:b/>
            </w:rPr>
            <w:t xml:space="preserve">Recurso de Revisión: </w:t>
          </w:r>
          <w:r w:rsidR="00A748F9">
            <w:rPr>
              <w:rFonts w:ascii="Palatino Linotype" w:hAnsi="Palatino Linotype"/>
              <w:lang w:val="es-MX"/>
            </w:rPr>
            <w:t>0</w:t>
          </w:r>
          <w:r w:rsidR="00192943">
            <w:rPr>
              <w:rFonts w:ascii="Palatino Linotype" w:hAnsi="Palatino Linotype"/>
              <w:lang w:val="es-MX"/>
            </w:rPr>
            <w:t>4610</w:t>
          </w:r>
          <w:r w:rsidR="00C66575" w:rsidRPr="00C66575">
            <w:rPr>
              <w:rFonts w:ascii="Palatino Linotype" w:hAnsi="Palatino Linotype"/>
              <w:lang w:val="es-MX"/>
            </w:rPr>
            <w:t>/INFOEM/IP/RR/202</w:t>
          </w:r>
          <w:r w:rsidR="00A748F9">
            <w:rPr>
              <w:rFonts w:ascii="Palatino Linotype" w:hAnsi="Palatino Linotype"/>
              <w:lang w:val="es-MX"/>
            </w:rPr>
            <w:t>3</w:t>
          </w:r>
        </w:p>
        <w:p w14:paraId="636ADCAF" w14:textId="4762E98D" w:rsidR="00D25706" w:rsidRDefault="001F75E5" w:rsidP="00A748F9">
          <w:pPr>
            <w:pStyle w:val="Encabezado"/>
            <w:ind w:left="-108" w:right="-109"/>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8B5910">
            <w:rPr>
              <w:rFonts w:ascii="Palatino Linotype" w:hAnsi="Palatino Linotype"/>
              <w:bCs/>
              <w:lang w:val="es-MX"/>
            </w:rPr>
            <w:t xml:space="preserve"> </w:t>
          </w:r>
          <w:r w:rsidR="00192943">
            <w:rPr>
              <w:rFonts w:ascii="Palatino Linotype" w:hAnsi="Palatino Linotype"/>
              <w:bCs/>
              <w:lang w:val="es-MX"/>
            </w:rPr>
            <w:t>Poder Legislativo</w:t>
          </w:r>
        </w:p>
        <w:p w14:paraId="2404F005" w14:textId="50A608AF" w:rsidR="00285C7B" w:rsidRDefault="001F75E5" w:rsidP="00285C7B">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D60170">
            <w:rPr>
              <w:rFonts w:ascii="Palatino Linotype" w:hAnsi="Palatino Linotype" w:cs="Tahoma"/>
              <w:b/>
            </w:rPr>
            <w:t xml:space="preserve"> </w:t>
          </w:r>
          <w:r w:rsidR="00D60170" w:rsidRPr="00342EE6">
            <w:rPr>
              <w:rFonts w:ascii="Palatino Linotype" w:hAnsi="Palatino Linotype" w:cs="Tahoma"/>
              <w:bCs/>
            </w:rPr>
            <w:t xml:space="preserve"> </w:t>
          </w:r>
          <w:r w:rsidR="00192943">
            <w:rPr>
              <w:rFonts w:ascii="Palatino Linotype" w:hAnsi="Palatino Linotype" w:cs="Tahoma"/>
              <w:bCs/>
            </w:rPr>
            <w:t>José Martínez Vilchis</w:t>
          </w:r>
        </w:p>
        <w:p w14:paraId="39702EE3" w14:textId="5A2DA44C" w:rsidR="00285C7B" w:rsidRPr="00285C7B" w:rsidRDefault="00285C7B" w:rsidP="00285C7B">
          <w:pPr>
            <w:pStyle w:val="Encabezado"/>
            <w:ind w:left="-108" w:right="-250"/>
            <w:jc w:val="both"/>
            <w:rPr>
              <w:rFonts w:ascii="Palatino Linotype" w:hAnsi="Palatino Linotype"/>
              <w:bCs/>
              <w:lang w:val="es-ES_tradnl"/>
            </w:rPr>
          </w:pPr>
        </w:p>
      </w:tc>
    </w:tr>
  </w:tbl>
  <w:p w14:paraId="2AD8A022" w14:textId="278C58FE" w:rsidR="00EC2830" w:rsidRPr="001106EA" w:rsidRDefault="00EC2830">
    <w:pPr>
      <w:pStyle w:val="Encabezad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EC72E" w14:textId="0BC76365" w:rsidR="00A80C30" w:rsidRDefault="00187C4D">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74690"/>
    <w:multiLevelType w:val="hybridMultilevel"/>
    <w:tmpl w:val="83D2900A"/>
    <w:lvl w:ilvl="0" w:tplc="DBB656B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176D3"/>
    <w:rsid w:val="000359E7"/>
    <w:rsid w:val="000432E0"/>
    <w:rsid w:val="00043DB7"/>
    <w:rsid w:val="000501A4"/>
    <w:rsid w:val="00052C7F"/>
    <w:rsid w:val="0005576B"/>
    <w:rsid w:val="000568CD"/>
    <w:rsid w:val="00061988"/>
    <w:rsid w:val="00082310"/>
    <w:rsid w:val="000B7841"/>
    <w:rsid w:val="00100065"/>
    <w:rsid w:val="00122A9C"/>
    <w:rsid w:val="00134CA3"/>
    <w:rsid w:val="00135502"/>
    <w:rsid w:val="0015666C"/>
    <w:rsid w:val="00170463"/>
    <w:rsid w:val="00187C4D"/>
    <w:rsid w:val="00192943"/>
    <w:rsid w:val="001971A0"/>
    <w:rsid w:val="001C64C0"/>
    <w:rsid w:val="001D3CC9"/>
    <w:rsid w:val="001F75E5"/>
    <w:rsid w:val="00246ABE"/>
    <w:rsid w:val="00270543"/>
    <w:rsid w:val="00276117"/>
    <w:rsid w:val="00285C7B"/>
    <w:rsid w:val="002A3487"/>
    <w:rsid w:val="002D499A"/>
    <w:rsid w:val="002D6AB3"/>
    <w:rsid w:val="002D71BE"/>
    <w:rsid w:val="00304A0F"/>
    <w:rsid w:val="00306972"/>
    <w:rsid w:val="00314859"/>
    <w:rsid w:val="0032455C"/>
    <w:rsid w:val="00325569"/>
    <w:rsid w:val="00342EE6"/>
    <w:rsid w:val="00343A4C"/>
    <w:rsid w:val="003674F2"/>
    <w:rsid w:val="003769CB"/>
    <w:rsid w:val="0038777F"/>
    <w:rsid w:val="003B3C01"/>
    <w:rsid w:val="003D503D"/>
    <w:rsid w:val="003E3FA6"/>
    <w:rsid w:val="003E56C5"/>
    <w:rsid w:val="004120C8"/>
    <w:rsid w:val="004412C6"/>
    <w:rsid w:val="00445F2A"/>
    <w:rsid w:val="0046182D"/>
    <w:rsid w:val="00463342"/>
    <w:rsid w:val="004659A1"/>
    <w:rsid w:val="00466582"/>
    <w:rsid w:val="00466D4D"/>
    <w:rsid w:val="00470ABE"/>
    <w:rsid w:val="004738C3"/>
    <w:rsid w:val="00486BD3"/>
    <w:rsid w:val="00494387"/>
    <w:rsid w:val="004A2054"/>
    <w:rsid w:val="004A2EF7"/>
    <w:rsid w:val="004B6C8D"/>
    <w:rsid w:val="004C0D87"/>
    <w:rsid w:val="004C7D91"/>
    <w:rsid w:val="004D26F6"/>
    <w:rsid w:val="004E5B48"/>
    <w:rsid w:val="004E600B"/>
    <w:rsid w:val="004F55E2"/>
    <w:rsid w:val="0050010A"/>
    <w:rsid w:val="00506560"/>
    <w:rsid w:val="00506AB5"/>
    <w:rsid w:val="00533E57"/>
    <w:rsid w:val="00541BAC"/>
    <w:rsid w:val="00543C9A"/>
    <w:rsid w:val="00555F21"/>
    <w:rsid w:val="00576F34"/>
    <w:rsid w:val="005974CA"/>
    <w:rsid w:val="005C7EF3"/>
    <w:rsid w:val="00601591"/>
    <w:rsid w:val="00632BB1"/>
    <w:rsid w:val="0063326A"/>
    <w:rsid w:val="00655716"/>
    <w:rsid w:val="0066215C"/>
    <w:rsid w:val="00667232"/>
    <w:rsid w:val="00670EAD"/>
    <w:rsid w:val="006710E4"/>
    <w:rsid w:val="00684986"/>
    <w:rsid w:val="00690441"/>
    <w:rsid w:val="00693863"/>
    <w:rsid w:val="006A0D2E"/>
    <w:rsid w:val="006C2B09"/>
    <w:rsid w:val="006C544C"/>
    <w:rsid w:val="006D2495"/>
    <w:rsid w:val="006D42AE"/>
    <w:rsid w:val="00716333"/>
    <w:rsid w:val="00720137"/>
    <w:rsid w:val="00732624"/>
    <w:rsid w:val="00744C2E"/>
    <w:rsid w:val="00753213"/>
    <w:rsid w:val="00756729"/>
    <w:rsid w:val="00790A7C"/>
    <w:rsid w:val="007B7B1E"/>
    <w:rsid w:val="007D094D"/>
    <w:rsid w:val="007D5355"/>
    <w:rsid w:val="007F32AC"/>
    <w:rsid w:val="00823E1B"/>
    <w:rsid w:val="0083066E"/>
    <w:rsid w:val="0083177F"/>
    <w:rsid w:val="00837ED6"/>
    <w:rsid w:val="00842979"/>
    <w:rsid w:val="008444A9"/>
    <w:rsid w:val="008452EC"/>
    <w:rsid w:val="008A2C7A"/>
    <w:rsid w:val="008B5910"/>
    <w:rsid w:val="008E5742"/>
    <w:rsid w:val="008F78B8"/>
    <w:rsid w:val="00915F40"/>
    <w:rsid w:val="00922026"/>
    <w:rsid w:val="00925877"/>
    <w:rsid w:val="0093124E"/>
    <w:rsid w:val="00940F06"/>
    <w:rsid w:val="00944C02"/>
    <w:rsid w:val="00960C5A"/>
    <w:rsid w:val="00961702"/>
    <w:rsid w:val="00962388"/>
    <w:rsid w:val="00986A57"/>
    <w:rsid w:val="00990E2D"/>
    <w:rsid w:val="009A2135"/>
    <w:rsid w:val="009A3B6C"/>
    <w:rsid w:val="009A6633"/>
    <w:rsid w:val="009A6952"/>
    <w:rsid w:val="009F114A"/>
    <w:rsid w:val="009F23B2"/>
    <w:rsid w:val="009F37BE"/>
    <w:rsid w:val="00A16DDF"/>
    <w:rsid w:val="00A43EFA"/>
    <w:rsid w:val="00A478F1"/>
    <w:rsid w:val="00A54CCC"/>
    <w:rsid w:val="00A57381"/>
    <w:rsid w:val="00A72D99"/>
    <w:rsid w:val="00A748F9"/>
    <w:rsid w:val="00A80C30"/>
    <w:rsid w:val="00A9451F"/>
    <w:rsid w:val="00A9782A"/>
    <w:rsid w:val="00AC23FC"/>
    <w:rsid w:val="00AD77D2"/>
    <w:rsid w:val="00AE249C"/>
    <w:rsid w:val="00AF7632"/>
    <w:rsid w:val="00AF77D3"/>
    <w:rsid w:val="00B24FBD"/>
    <w:rsid w:val="00B43526"/>
    <w:rsid w:val="00B45EC5"/>
    <w:rsid w:val="00B55282"/>
    <w:rsid w:val="00B70A3F"/>
    <w:rsid w:val="00B97313"/>
    <w:rsid w:val="00BA2451"/>
    <w:rsid w:val="00BA54EE"/>
    <w:rsid w:val="00BC543A"/>
    <w:rsid w:val="00BD1A40"/>
    <w:rsid w:val="00C00E77"/>
    <w:rsid w:val="00C20C96"/>
    <w:rsid w:val="00C341C6"/>
    <w:rsid w:val="00C35922"/>
    <w:rsid w:val="00C45719"/>
    <w:rsid w:val="00C60C1A"/>
    <w:rsid w:val="00C66575"/>
    <w:rsid w:val="00C75F6B"/>
    <w:rsid w:val="00CA0F7F"/>
    <w:rsid w:val="00CA3D30"/>
    <w:rsid w:val="00CC24D8"/>
    <w:rsid w:val="00CC3A0F"/>
    <w:rsid w:val="00CD67D3"/>
    <w:rsid w:val="00CD7937"/>
    <w:rsid w:val="00CF200D"/>
    <w:rsid w:val="00D02886"/>
    <w:rsid w:val="00D11D78"/>
    <w:rsid w:val="00D14C9A"/>
    <w:rsid w:val="00D25706"/>
    <w:rsid w:val="00D337A9"/>
    <w:rsid w:val="00D60170"/>
    <w:rsid w:val="00D873E6"/>
    <w:rsid w:val="00DB19CC"/>
    <w:rsid w:val="00DB3F93"/>
    <w:rsid w:val="00DC474B"/>
    <w:rsid w:val="00DD5D61"/>
    <w:rsid w:val="00DD7150"/>
    <w:rsid w:val="00E21609"/>
    <w:rsid w:val="00E236B1"/>
    <w:rsid w:val="00E43FEA"/>
    <w:rsid w:val="00E678EF"/>
    <w:rsid w:val="00E7322A"/>
    <w:rsid w:val="00E8722E"/>
    <w:rsid w:val="00E878DE"/>
    <w:rsid w:val="00EA53D6"/>
    <w:rsid w:val="00EB135A"/>
    <w:rsid w:val="00EB3527"/>
    <w:rsid w:val="00EC2830"/>
    <w:rsid w:val="00EC3610"/>
    <w:rsid w:val="00F00E66"/>
    <w:rsid w:val="00F1426D"/>
    <w:rsid w:val="00F24795"/>
    <w:rsid w:val="00F35BFB"/>
    <w:rsid w:val="00F46F8E"/>
    <w:rsid w:val="00F60B97"/>
    <w:rsid w:val="00F613C8"/>
    <w:rsid w:val="00F642D7"/>
    <w:rsid w:val="00F7440B"/>
    <w:rsid w:val="00F84B95"/>
    <w:rsid w:val="00FA4218"/>
    <w:rsid w:val="00FA5F27"/>
    <w:rsid w:val="00FC3DE6"/>
    <w:rsid w:val="00FD78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character" w:customStyle="1" w:styleId="Mencinsinresolver1">
    <w:name w:val="Mención sin resolver1"/>
    <w:basedOn w:val="Fuentedeprrafopredeter"/>
    <w:uiPriority w:val="99"/>
    <w:semiHidden/>
    <w:unhideWhenUsed/>
    <w:rsid w:val="00990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foem.org.mx/es/contenido/noticias/el-infoem-firm%C3%B3-conveniointerinstitucional-con-el-osfe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11</Pages>
  <Words>2745</Words>
  <Characters>15102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Cuenta Microsoft</cp:lastModifiedBy>
  <cp:revision>8</cp:revision>
  <cp:lastPrinted>2023-05-15T17:40:00Z</cp:lastPrinted>
  <dcterms:created xsi:type="dcterms:W3CDTF">2023-09-22T00:42:00Z</dcterms:created>
  <dcterms:modified xsi:type="dcterms:W3CDTF">2023-09-25T15:48:00Z</dcterms:modified>
</cp:coreProperties>
</file>