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1220360</wp:posOffset>
            </wp:positionH>
            <wp:positionV relativeFrom="page">
              <wp:posOffset>121788</wp:posOffset>
            </wp:positionV>
            <wp:extent cx="6155816" cy="9598155"/>
            <wp:effectExtent b="0" l="0" r="0" t="0"/>
            <wp:wrapNone/>
            <wp:docPr id="4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5816" cy="959815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spacing w:before="0" w:lineRule="auto"/>
        <w:ind w:left="4789" w:right="0" w:firstLine="1625"/>
        <w:jc w:val="left"/>
        <w:rPr>
          <w:b w:val="1"/>
          <w:sz w:val="20"/>
          <w:szCs w:val="20"/>
        </w:rPr>
      </w:pPr>
      <w:r w:rsidDel="00000000" w:rsidR="00000000" w:rsidRPr="00000000">
        <w:rPr>
          <w:b w:val="1"/>
          <w:sz w:val="20"/>
          <w:szCs w:val="20"/>
          <w:rtl w:val="0"/>
        </w:rPr>
        <w:t xml:space="preserve">VOTO DISIDENTE CONCURRENTE RECURSOS DE REVISIÓN: 07815/INFOEM/IP/RR/2023</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2"/>
        <w:spacing w:line="360" w:lineRule="auto"/>
        <w:ind w:right="123" w:firstLine="965"/>
        <w:jc w:val="both"/>
        <w:rPr/>
      </w:pPr>
      <w:r w:rsidDel="00000000" w:rsidR="00000000" w:rsidRPr="00000000">
        <w:rPr>
          <w:rtl w:val="0"/>
        </w:rPr>
        <w:t xml:space="preserve">VOTO DISIDENTE CONCURRENTE QUE FORMULA LA COMISIONADA GUADALUPE RAMÍREZ PEÑA Y EL COMISIONADO LUIS GUSTAVO PARRA NORIEGA, EN RELACIÓN CON LA RESOLUCIÓN DICTADA POR EL PLENO DEL INSTITUTO DE TRANSPARENCIA, ACCESO A LA INFORMACIÓN PÚBLICA Y PROTECCIÓN DE DATOS PERSONALES DEL ESTADO DE MÉXICO Y MUNICIPIOS, EN LA CUADRAGÉSIMA CUARTA SESIÓN ORDINARIA DEL SEIS DE DICIEMBRE DE DOS MIL VEINTITRÉS, EN EL RECURSO DE REVISIÓN 07815/INFOEM/IP/RR/2023.</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5" w:right="121"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Con fundamento en lo dispuesto por el artículo 14, fracciones X y XI, del Reglamento del Instituto de Transparencia, Acceso a la Información Pública y Protección de Datos Personales del Estado de México, la Comisionada Guadalupe Ramírez Peña y el Comisionado Luis Gustavo Parra Noriega, emiten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VOTO DISIDENTE CONCURRENTE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respecto a la resolución dictada en el recurso de revisión número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07815/INFOEM/IP/RR/2023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pronunciada por el Pleno de este Instituto ante el proyecto presentado por el Comisionado Presidente José Martínez Vilchis, el cual es del tenor siguiente: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2"/>
        <w:numPr>
          <w:ilvl w:val="0"/>
          <w:numId w:val="1"/>
        </w:numPr>
        <w:tabs>
          <w:tab w:val="left" w:leader="none" w:pos="1532"/>
        </w:tabs>
        <w:spacing w:after="0" w:before="1" w:line="240" w:lineRule="auto"/>
        <w:ind w:left="1532" w:right="0" w:hanging="140"/>
        <w:jc w:val="left"/>
        <w:rPr/>
      </w:pPr>
      <w:r w:rsidDel="00000000" w:rsidR="00000000" w:rsidRPr="00000000">
        <w:rPr>
          <w:rtl w:val="0"/>
        </w:rPr>
        <w:t xml:space="preserve">Antecedentes.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spacing w:before="0" w:line="360" w:lineRule="auto"/>
        <w:ind w:left="965" w:right="123" w:firstLine="0"/>
        <w:jc w:val="both"/>
        <w:rPr>
          <w:sz w:val="22"/>
          <w:szCs w:val="22"/>
        </w:rPr>
      </w:pPr>
      <w:r w:rsidDel="00000000" w:rsidR="00000000" w:rsidRPr="00000000">
        <w:rPr>
          <w:sz w:val="22"/>
          <w:szCs w:val="22"/>
          <w:rtl w:val="0"/>
        </w:rPr>
        <w:t xml:space="preserve">En el asunto que nos ocupa, la parte </w:t>
      </w:r>
      <w:r w:rsidDel="00000000" w:rsidR="00000000" w:rsidRPr="00000000">
        <w:rPr>
          <w:b w:val="1"/>
          <w:sz w:val="22"/>
          <w:szCs w:val="22"/>
          <w:rtl w:val="0"/>
        </w:rPr>
        <w:t xml:space="preserve">Recurrente </w:t>
      </w:r>
      <w:r w:rsidDel="00000000" w:rsidR="00000000" w:rsidRPr="00000000">
        <w:rPr>
          <w:sz w:val="22"/>
          <w:szCs w:val="22"/>
          <w:rtl w:val="0"/>
        </w:rPr>
        <w:t xml:space="preserve">solicitó al </w:t>
      </w:r>
      <w:r w:rsidDel="00000000" w:rsidR="00000000" w:rsidRPr="00000000">
        <w:rPr>
          <w:b w:val="1"/>
          <w:sz w:val="22"/>
          <w:szCs w:val="22"/>
          <w:rtl w:val="0"/>
        </w:rPr>
        <w:t xml:space="preserve">Ayuntamiento de Atizapán</w:t>
      </w:r>
      <w:r w:rsidDel="00000000" w:rsidR="00000000" w:rsidRPr="00000000">
        <w:rPr>
          <w:sz w:val="22"/>
          <w:szCs w:val="22"/>
          <w:rtl w:val="0"/>
        </w:rPr>
        <w:t xml:space="preserve">, le </w:t>
      </w:r>
      <w:r w:rsidDel="00000000" w:rsidR="00000000" w:rsidRPr="00000000">
        <w:rPr>
          <w:rtl w:val="0"/>
        </w:rPr>
        <w:t xml:space="preserve">proporcionará</w:t>
      </w:r>
      <w:r w:rsidDel="00000000" w:rsidR="00000000" w:rsidRPr="00000000">
        <w:rPr>
          <w:sz w:val="22"/>
          <w:szCs w:val="22"/>
          <w:rtl w:val="0"/>
        </w:rPr>
        <w:t xml:space="preserve"> lo siguiente: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spacing w:before="0" w:lineRule="auto"/>
        <w:ind w:left="1531" w:right="0" w:firstLine="0"/>
        <w:jc w:val="left"/>
        <w:rPr>
          <w:i w:val="1"/>
          <w:sz w:val="22"/>
          <w:szCs w:val="22"/>
        </w:rPr>
        <w:sectPr>
          <w:pgSz w:h="15840" w:w="12240" w:orient="portrait"/>
          <w:pgMar w:bottom="280" w:top="200" w:left="1020" w:right="1200" w:header="360" w:footer="360"/>
          <w:pgNumType w:start="1"/>
        </w:sectPr>
      </w:pPr>
      <w:r w:rsidDel="00000000" w:rsidR="00000000" w:rsidRPr="00000000">
        <w:rPr>
          <w:i w:val="1"/>
          <w:sz w:val="22"/>
          <w:szCs w:val="22"/>
          <w:rtl w:val="0"/>
        </w:rPr>
        <w:t xml:space="preserve">“Atlas de Riesgo 2022 y 2023.”</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1220360</wp:posOffset>
            </wp:positionH>
            <wp:positionV relativeFrom="page">
              <wp:posOffset>121788</wp:posOffset>
            </wp:positionV>
            <wp:extent cx="6155816" cy="9598155"/>
            <wp:effectExtent b="0" l="0" r="0" t="0"/>
            <wp:wrapNone/>
            <wp:docPr id="4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5816" cy="9598155"/>
                    </a:xfrm>
                    <a:prstGeom prst="rect"/>
                    <a:ln/>
                  </pic:spPr>
                </pic:pic>
              </a:graphicData>
            </a:graphic>
          </wp:anchor>
        </w:drawing>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spacing w:before="0" w:lineRule="auto"/>
        <w:ind w:left="4789" w:right="0" w:firstLine="1625"/>
        <w:jc w:val="left"/>
        <w:rPr>
          <w:b w:val="1"/>
          <w:sz w:val="20"/>
          <w:szCs w:val="20"/>
        </w:rPr>
      </w:pPr>
      <w:r w:rsidDel="00000000" w:rsidR="00000000" w:rsidRPr="00000000">
        <w:rPr>
          <w:b w:val="1"/>
          <w:sz w:val="20"/>
          <w:szCs w:val="20"/>
          <w:rtl w:val="0"/>
        </w:rPr>
        <w:t xml:space="preserve">VOTO DISIDENTE CONCURRENTE RECURSOS DE REVISIÓN: 07815/INFOEM/IP/RR/2023</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5" w:right="126"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En su respuesta, el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remitió en formato PDF, EL Atlas de Riesgos de Zinacantepec del año dos mil veintitrés.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965" w:right="122"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Una vez conocida la respuesta del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la parte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interpuso el medio de impugnación citado al rubro, manifestado como motivo de inconformidad, lo siguiente: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spacing w:before="0" w:lineRule="auto"/>
        <w:ind w:left="1817" w:right="0" w:firstLine="0"/>
        <w:jc w:val="left"/>
        <w:rPr>
          <w:i w:val="1"/>
          <w:sz w:val="22"/>
          <w:szCs w:val="22"/>
        </w:rPr>
      </w:pPr>
      <w:r w:rsidDel="00000000" w:rsidR="00000000" w:rsidRPr="00000000">
        <w:rPr>
          <w:i w:val="1"/>
          <w:sz w:val="22"/>
          <w:szCs w:val="22"/>
          <w:rtl w:val="0"/>
        </w:rPr>
        <w:t xml:space="preserve">“Pedí 2022 y 2023, solo entregan uno que al parecer es de 2023.”</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5"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Las partes fueron omisas en rendir manifestaciones.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5" w:right="117"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Así las cosas, se determinó que los motivos de inconformidad aducidos por la parte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resultaban parcialmente fundados y, se determinó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Modificar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la respuesta del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ordenando lo siguiente: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pStyle w:val="Heading2"/>
        <w:spacing w:line="360" w:lineRule="auto"/>
        <w:ind w:left="1392" w:right="37" w:firstLine="0"/>
        <w:rPr/>
      </w:pPr>
      <w:r w:rsidDel="00000000" w:rsidR="00000000" w:rsidRPr="00000000">
        <w:rPr>
          <w:rtl w:val="0"/>
        </w:rPr>
        <w:t xml:space="preserve">1. Acuerdo que emita el Comité de Transparencia por el cual se declare formalmente la inexistencia del Atlas de Riesgo de 2022.</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1530" w:right="0" w:hanging="282"/>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Razones del Voto Disidente.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5" w:right="262"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sectPr>
          <w:type w:val="nextPage"/>
          <w:pgSz w:h="15840" w:w="12240" w:orient="portrait"/>
          <w:pgMar w:bottom="280" w:top="200" w:left="1020" w:right="1200" w:header="360" w:footer="360"/>
        </w:sect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En términos generales es de señalar que no compartimos el sentido de la resolución, derivado de que, el particular solicitó obtener los atlas de riesgos tanto del año dos mil veintidós como del año dos mil veintitrés, sin embargo, en respuesta el Sujeto Obligado, únicamente remitió el Atlas de Riesgo del año dos mil veintitrés, tal como se observa a continuación: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1220360</wp:posOffset>
                </wp:positionH>
                <wp:positionV relativeFrom="page">
                  <wp:posOffset>121788</wp:posOffset>
                </wp:positionV>
                <wp:extent cx="6156325" cy="9598660"/>
                <wp:effectExtent b="0" l="0" r="0" t="0"/>
                <wp:wrapNone/>
                <wp:docPr id="36" name=""/>
                <a:graphic>
                  <a:graphicData uri="http://schemas.microsoft.com/office/word/2010/wordprocessingGroup">
                    <wpg:wgp>
                      <wpg:cNvGrpSpPr/>
                      <wpg:grpSpPr>
                        <a:xfrm>
                          <a:off x="2267825" y="0"/>
                          <a:ext cx="6156325" cy="9598660"/>
                          <a:chOff x="2267825" y="0"/>
                          <a:chExt cx="6156350" cy="7560000"/>
                        </a:xfrm>
                      </wpg:grpSpPr>
                      <wpg:grpSp>
                        <wpg:cNvGrpSpPr/>
                        <wpg:grpSpPr>
                          <a:xfrm>
                            <a:off x="2267838" y="0"/>
                            <a:ext cx="6156325" cy="7559992"/>
                            <a:chOff x="0" y="0"/>
                            <a:chExt cx="6156325" cy="9598650"/>
                          </a:xfrm>
                        </wpg:grpSpPr>
                        <wps:wsp>
                          <wps:cNvSpPr/>
                          <wps:cNvPr id="6" name="Shape 6"/>
                          <wps:spPr>
                            <a:xfrm>
                              <a:off x="0" y="0"/>
                              <a:ext cx="6156325" cy="959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8">
                              <a:alphaModFix/>
                            </a:blip>
                            <a:srcRect b="0" l="0" r="0" t="0"/>
                            <a:stretch/>
                          </pic:blipFill>
                          <pic:spPr>
                            <a:xfrm>
                              <a:off x="0" y="0"/>
                              <a:ext cx="6155816" cy="9598155"/>
                            </a:xfrm>
                            <a:prstGeom prst="rect">
                              <a:avLst/>
                            </a:prstGeom>
                            <a:noFill/>
                            <a:ln>
                              <a:noFill/>
                            </a:ln>
                          </pic:spPr>
                        </pic:pic>
                        <pic:pic>
                          <pic:nvPicPr>
                            <pic:cNvPr id="12" name="Shape 12"/>
                            <pic:cNvPicPr preferRelativeResize="0"/>
                          </pic:nvPicPr>
                          <pic:blipFill rotWithShape="1">
                            <a:blip r:embed="rId9">
                              <a:alphaModFix/>
                            </a:blip>
                            <a:srcRect b="0" l="0" r="0" t="0"/>
                            <a:stretch/>
                          </pic:blipFill>
                          <pic:spPr>
                            <a:xfrm>
                              <a:off x="339834" y="1066930"/>
                              <a:ext cx="4981575" cy="3433699"/>
                            </a:xfrm>
                            <a:prstGeom prst="rect">
                              <a:avLst/>
                            </a:prstGeom>
                            <a:noFill/>
                            <a:ln>
                              <a:noFill/>
                            </a:ln>
                          </pic:spPr>
                        </pic:pic>
                        <pic:pic>
                          <pic:nvPicPr>
                            <pic:cNvPr id="13" name="Shape 13"/>
                            <pic:cNvPicPr preferRelativeResize="0"/>
                          </pic:nvPicPr>
                          <pic:blipFill rotWithShape="1">
                            <a:blip r:embed="rId10">
                              <a:alphaModFix/>
                            </a:blip>
                            <a:srcRect b="0" l="0" r="0" t="0"/>
                            <a:stretch/>
                          </pic:blipFill>
                          <pic:spPr>
                            <a:xfrm>
                              <a:off x="372219" y="4595244"/>
                              <a:ext cx="4915662" cy="1859914"/>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1220360</wp:posOffset>
                </wp:positionH>
                <wp:positionV relativeFrom="page">
                  <wp:posOffset>121788</wp:posOffset>
                </wp:positionV>
                <wp:extent cx="6156325" cy="9598660"/>
                <wp:effectExtent b="0" l="0" r="0" t="0"/>
                <wp:wrapNone/>
                <wp:docPr id="36"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6156325" cy="95986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spacing w:before="0" w:lineRule="auto"/>
        <w:ind w:left="4789" w:right="0" w:firstLine="1625"/>
        <w:jc w:val="left"/>
        <w:rPr>
          <w:b w:val="1"/>
          <w:sz w:val="20"/>
          <w:szCs w:val="20"/>
        </w:rPr>
      </w:pPr>
      <w:r w:rsidDel="00000000" w:rsidR="00000000" w:rsidRPr="00000000">
        <w:rPr>
          <w:b w:val="1"/>
          <w:sz w:val="20"/>
          <w:szCs w:val="20"/>
          <w:rtl w:val="0"/>
        </w:rPr>
        <w:t xml:space="preserve">VOTO DISIDENTE CONCURRENTE RECURSOS DE REVISIÓN: 07815/INFOEM/IP/RR/2023</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5" w:right="267"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sectPr>
          <w:type w:val="nextPage"/>
          <w:pgSz w:h="15840" w:w="12240" w:orient="portrait"/>
          <w:pgMar w:bottom="280" w:top="200" w:left="1020" w:right="1200" w:header="360" w:footer="360"/>
        </w:sect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De lo anterior, se logra advertir que el Sujeto Obligado no se pronunció respecto de la existencia del Atlas de Riesgo del año dos mil veintidós y, por ende, fue omiso en proporcionarlo.</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1220360</wp:posOffset>
                </wp:positionH>
                <wp:positionV relativeFrom="page">
                  <wp:posOffset>121788</wp:posOffset>
                </wp:positionV>
                <wp:extent cx="6156325" cy="9598660"/>
                <wp:effectExtent b="0" l="0" r="0" t="0"/>
                <wp:wrapNone/>
                <wp:docPr id="35" name=""/>
                <a:graphic>
                  <a:graphicData uri="http://schemas.microsoft.com/office/word/2010/wordprocessingGroup">
                    <wpg:wgp>
                      <wpg:cNvGrpSpPr/>
                      <wpg:grpSpPr>
                        <a:xfrm>
                          <a:off x="2267825" y="0"/>
                          <a:ext cx="6156325" cy="9598660"/>
                          <a:chOff x="2267825" y="0"/>
                          <a:chExt cx="6156350" cy="7560000"/>
                        </a:xfrm>
                      </wpg:grpSpPr>
                      <wpg:grpSp>
                        <wpg:cNvGrpSpPr/>
                        <wpg:grpSpPr>
                          <a:xfrm>
                            <a:off x="2267838" y="0"/>
                            <a:ext cx="6156325" cy="7559992"/>
                            <a:chOff x="0" y="0"/>
                            <a:chExt cx="6156325" cy="9598650"/>
                          </a:xfrm>
                        </wpg:grpSpPr>
                        <wps:wsp>
                          <wps:cNvSpPr/>
                          <wps:cNvPr id="6" name="Shape 6"/>
                          <wps:spPr>
                            <a:xfrm>
                              <a:off x="0" y="0"/>
                              <a:ext cx="6156325" cy="959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8">
                              <a:alphaModFix/>
                            </a:blip>
                            <a:srcRect b="0" l="0" r="0" t="0"/>
                            <a:stretch/>
                          </pic:blipFill>
                          <pic:spPr>
                            <a:xfrm>
                              <a:off x="0" y="0"/>
                              <a:ext cx="6155816" cy="9598155"/>
                            </a:xfrm>
                            <a:prstGeom prst="rect">
                              <a:avLst/>
                            </a:prstGeom>
                            <a:noFill/>
                            <a:ln>
                              <a:noFill/>
                            </a:ln>
                          </pic:spPr>
                        </pic:pic>
                        <pic:pic>
                          <pic:nvPicPr>
                            <pic:cNvPr id="8" name="Shape 8"/>
                            <pic:cNvPicPr preferRelativeResize="0"/>
                          </pic:nvPicPr>
                          <pic:blipFill rotWithShape="1">
                            <a:blip r:embed="rId12">
                              <a:alphaModFix/>
                            </a:blip>
                            <a:srcRect b="0" l="0" r="0" t="0"/>
                            <a:stretch/>
                          </pic:blipFill>
                          <pic:spPr>
                            <a:xfrm>
                              <a:off x="40114" y="3019555"/>
                              <a:ext cx="5450713" cy="934084"/>
                            </a:xfrm>
                            <a:prstGeom prst="rect">
                              <a:avLst/>
                            </a:prstGeom>
                            <a:noFill/>
                            <a:ln>
                              <a:noFill/>
                            </a:ln>
                          </pic:spPr>
                        </pic:pic>
                        <wps:wsp>
                          <wps:cNvSpPr/>
                          <wps:cNvPr id="9" name="Shape 9"/>
                          <wps:spPr>
                            <a:xfrm>
                              <a:off x="65514" y="3375155"/>
                              <a:ext cx="5486400" cy="533400"/>
                            </a:xfrm>
                            <a:custGeom>
                              <a:rect b="b" l="l" r="r" t="t"/>
                              <a:pathLst>
                                <a:path extrusionOk="0" h="533400" w="5486400">
                                  <a:moveTo>
                                    <a:pt x="0" y="533400"/>
                                  </a:moveTo>
                                  <a:lnTo>
                                    <a:pt x="5486400" y="533400"/>
                                  </a:lnTo>
                                  <a:lnTo>
                                    <a:pt x="5486400" y="0"/>
                                  </a:lnTo>
                                  <a:lnTo>
                                    <a:pt x="0" y="0"/>
                                  </a:lnTo>
                                  <a:lnTo>
                                    <a:pt x="0" y="533400"/>
                                  </a:lnTo>
                                  <a:close/>
                                </a:path>
                              </a:pathLst>
                            </a:custGeom>
                            <a:noFill/>
                            <a:ln cap="flat" cmpd="sng" w="38100">
                              <a:solidFill>
                                <a:srgbClr val="FF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1220360</wp:posOffset>
                </wp:positionH>
                <wp:positionV relativeFrom="page">
                  <wp:posOffset>121788</wp:posOffset>
                </wp:positionV>
                <wp:extent cx="6156325" cy="9598660"/>
                <wp:effectExtent b="0" l="0" r="0" t="0"/>
                <wp:wrapNone/>
                <wp:docPr id="35"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6156325" cy="95986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spacing w:before="0" w:lineRule="auto"/>
        <w:ind w:left="4789" w:right="0" w:firstLine="1625"/>
        <w:jc w:val="left"/>
        <w:rPr>
          <w:b w:val="1"/>
          <w:sz w:val="20"/>
          <w:szCs w:val="20"/>
        </w:rPr>
      </w:pPr>
      <w:r w:rsidDel="00000000" w:rsidR="00000000" w:rsidRPr="00000000">
        <w:rPr>
          <w:b w:val="1"/>
          <w:sz w:val="20"/>
          <w:szCs w:val="20"/>
          <w:rtl w:val="0"/>
        </w:rPr>
        <w:t xml:space="preserve">VOTO DISIDENTE CONCURRENTE RECURSOS DE REVISIÓN: 07815/INFOEM/IP/RR/2023</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5" w:right="265"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Debido a ello la Ponencia Resolutora argumentó en la Resolución que es obligación de los ayuntamientos el actualizar el Atlas de Riesgos Municipal durante el primer año de la gestión y, también precisó que el Coordinador de Protección Civil y Bomberos señaló que este se encontraba en proceso de integración, como se logra observar en su página 16, situación en la que se basaron para ordenar la inexistencia de la información.</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spacing w:before="1" w:lineRule="auto"/>
        <w:ind w:left="965" w:right="0" w:firstLine="0"/>
        <w:jc w:val="both"/>
        <w:rPr>
          <w:sz w:val="20"/>
          <w:szCs w:val="20"/>
        </w:rPr>
      </w:pPr>
      <w:r w:rsidDel="00000000" w:rsidR="00000000" w:rsidRPr="00000000">
        <w:rPr>
          <w:sz w:val="20"/>
          <w:szCs w:val="20"/>
          <w:rtl w:val="0"/>
        </w:rPr>
        <w:t xml:space="preserve">*Se adjunta imagen de referencia*</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965" w:right="262"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Sin embargo, de las actuaciones que integran el expediente electrónico, no se advierte el pronunciamiento del Coordinador de Protección Civil y Bomberos y, esta situación, tampoco es señalada en antecedentes por la Ponencia Resolutora; por el contrario, de las actuaciones que integran el expediente electrónico se tiene que el Sujeto Obligado únicamente remitió el Atlas de Riesgo del año dos mil veintitrés y fue omiso en pronunciarse respecto de la existencia del documento del año dos mil veintidós.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5" w:right="262"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En ese sentido, se coincide en el punto relativo a que el Sujeto Obligado, no observó cabalmente el Criterio emitido por el Instituto Nacional de Transparencia, Acceso a la Información y Protección de Datos Personales, con clave de control SO/002/2017 que señala:</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965200</wp:posOffset>
                </wp:positionH>
                <wp:positionV relativeFrom="paragraph">
                  <wp:posOffset>266700</wp:posOffset>
                </wp:positionV>
                <wp:extent cx="4872355" cy="197485"/>
                <wp:effectExtent b="0" l="0" r="0" t="0"/>
                <wp:wrapTopAndBottom distB="0" distT="0"/>
                <wp:docPr id="33" name=""/>
                <a:graphic>
                  <a:graphicData uri="http://schemas.microsoft.com/office/word/2010/wordprocessingShape">
                    <wps:wsp>
                      <wps:cNvSpPr/>
                      <wps:cNvPr id="3" name="Shape 3"/>
                      <wps:spPr>
                        <a:xfrm>
                          <a:off x="2914585" y="3686020"/>
                          <a:ext cx="4862830" cy="187960"/>
                        </a:xfrm>
                        <a:prstGeom prst="rect">
                          <a:avLst/>
                        </a:prstGeom>
                        <a:solidFill>
                          <a:srgbClr val="FFFFFF"/>
                        </a:solidFill>
                        <a:ln>
                          <a:noFill/>
                        </a:ln>
                      </wps:spPr>
                      <wps:txbx>
                        <w:txbxContent>
                          <w:p w:rsidR="00000000" w:rsidDel="00000000" w:rsidP="00000000" w:rsidRDefault="00000000" w:rsidRPr="00000000">
                            <w:pPr>
                              <w:spacing w:after="0" w:before="2.0000000298023224" w:line="292.99999237060547"/>
                              <w:ind w:left="0" w:right="0" w:firstLine="0"/>
                              <w:jc w:val="left"/>
                              <w:textDirection w:val="btLr"/>
                            </w:pPr>
                            <w:r w:rsidDel="00000000" w:rsidR="00000000" w:rsidRPr="00000000">
                              <w:rPr>
                                <w:rFonts w:ascii="Palatino Linotype" w:cs="Palatino Linotype" w:eastAsia="Palatino Linotype" w:hAnsi="Palatino Linotype"/>
                                <w:b w:val="1"/>
                                <w:i w:val="1"/>
                                <w:smallCaps w:val="0"/>
                                <w:strike w:val="0"/>
                                <w:color w:val="000000"/>
                                <w:sz w:val="22"/>
                                <w:vertAlign w:val="baseline"/>
                              </w:rPr>
                              <w:t xml:space="preserve">Congruencia y exhaustividad. Sus alcances para garantizar el derecho de acceso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965200</wp:posOffset>
                </wp:positionH>
                <wp:positionV relativeFrom="paragraph">
                  <wp:posOffset>266700</wp:posOffset>
                </wp:positionV>
                <wp:extent cx="4872355" cy="197485"/>
                <wp:effectExtent b="0" l="0" r="0" t="0"/>
                <wp:wrapTopAndBottom distB="0" distT="0"/>
                <wp:docPr id="33"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4872355" cy="197485"/>
                        </a:xfrm>
                        <a:prstGeom prst="rect"/>
                        <a:ln/>
                      </pic:spPr>
                    </pic:pic>
                  </a:graphicData>
                </a:graphic>
              </wp:anchor>
            </w:drawing>
          </mc:Fallback>
        </mc:AlternateConten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1"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Pr>
        <mc:AlternateContent>
          <mc:Choice Requires="wpg">
            <w:drawing>
              <wp:inline distB="0" distT="0" distL="0" distR="0">
                <wp:extent cx="4872355" cy="197485"/>
                <wp:effectExtent b="0" l="0" r="0" t="0"/>
                <wp:docPr id="32" name=""/>
                <a:graphic>
                  <a:graphicData uri="http://schemas.microsoft.com/office/word/2010/wordprocessingShape">
                    <wps:wsp>
                      <wps:cNvSpPr/>
                      <wps:cNvPr id="2" name="Shape 2"/>
                      <wps:spPr>
                        <a:xfrm>
                          <a:off x="2914585" y="3686020"/>
                          <a:ext cx="4862830" cy="187960"/>
                        </a:xfrm>
                        <a:prstGeom prst="rect">
                          <a:avLst/>
                        </a:prstGeom>
                        <a:solidFill>
                          <a:srgbClr val="FFFFFF"/>
                        </a:solidFill>
                        <a:ln>
                          <a:noFill/>
                        </a:ln>
                      </wps:spPr>
                      <wps:txbx>
                        <w:txbxContent>
                          <w:p w:rsidR="00000000" w:rsidDel="00000000" w:rsidP="00000000" w:rsidRDefault="00000000" w:rsidRPr="00000000">
                            <w:pPr>
                              <w:spacing w:after="0" w:before="0" w:line="294.99999046325684"/>
                              <w:ind w:left="0" w:right="0" w:firstLine="0"/>
                              <w:jc w:val="left"/>
                              <w:textDirection w:val="btLr"/>
                            </w:pPr>
                            <w:r w:rsidDel="00000000" w:rsidR="00000000" w:rsidRPr="00000000">
                              <w:rPr>
                                <w:rFonts w:ascii="Palatino Linotype" w:cs="Palatino Linotype" w:eastAsia="Palatino Linotype" w:hAnsi="Palatino Linotype"/>
                                <w:b w:val="1"/>
                                <w:i w:val="1"/>
                                <w:smallCaps w:val="0"/>
                                <w:strike w:val="0"/>
                                <w:color w:val="000000"/>
                                <w:sz w:val="22"/>
                                <w:vertAlign w:val="baseline"/>
                              </w:rPr>
                              <w:t xml:space="preserve">a la información. </w:t>
                            </w:r>
                            <w:r w:rsidDel="00000000" w:rsidR="00000000" w:rsidRPr="00000000">
                              <w:rPr>
                                <w:rFonts w:ascii="Palatino Linotype" w:cs="Palatino Linotype" w:eastAsia="Palatino Linotype" w:hAnsi="Palatino Linotype"/>
                                <w:b w:val="0"/>
                                <w:i w:val="1"/>
                                <w:smallCaps w:val="0"/>
                                <w:strike w:val="0"/>
                                <w:color w:val="000000"/>
                                <w:sz w:val="22"/>
                                <w:vertAlign w:val="baseline"/>
                              </w:rPr>
                              <w:t xml:space="preserve">De conformidad con el artículo 3 de la Ley Federal de Procedimiento</w:t>
                            </w:r>
                          </w:p>
                        </w:txbxContent>
                      </wps:txbx>
                      <wps:bodyPr anchorCtr="0" anchor="t" bIns="0" lIns="0" spcFirstLastPara="1" rIns="0" wrap="square" tIns="0">
                        <a:noAutofit/>
                      </wps:bodyPr>
                    </wps:wsp>
                  </a:graphicData>
                </a:graphic>
              </wp:inline>
            </w:drawing>
          </mc:Choice>
          <mc:Fallback>
            <w:drawing>
              <wp:inline distB="0" distT="0" distL="0" distR="0">
                <wp:extent cx="4872355" cy="197485"/>
                <wp:effectExtent b="0" l="0" r="0" t="0"/>
                <wp:docPr id="3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4872355" cy="1974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1"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sectPr>
          <w:type w:val="nextPage"/>
          <w:pgSz w:h="15840" w:w="12240" w:orient="portrait"/>
          <w:pgMar w:bottom="280" w:top="200" w:left="1020" w:right="1200" w:header="360" w:footer="360"/>
        </w:sect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Pr>
        <mc:AlternateContent>
          <mc:Choice Requires="wpg">
            <w:drawing>
              <wp:inline distB="0" distT="0" distL="0" distR="0">
                <wp:extent cx="4872355" cy="198755"/>
                <wp:effectExtent b="0" l="0" r="0" t="0"/>
                <wp:docPr id="34" name=""/>
                <a:graphic>
                  <a:graphicData uri="http://schemas.microsoft.com/office/word/2010/wordprocessingShape">
                    <wps:wsp>
                      <wps:cNvSpPr/>
                      <wps:cNvPr id="4" name="Shape 4"/>
                      <wps:spPr>
                        <a:xfrm>
                          <a:off x="2914585" y="3685385"/>
                          <a:ext cx="4862830" cy="189230"/>
                        </a:xfrm>
                        <a:prstGeom prst="rect">
                          <a:avLst/>
                        </a:prstGeom>
                        <a:solidFill>
                          <a:srgbClr val="FFFFFF"/>
                        </a:solidFill>
                        <a:ln>
                          <a:noFill/>
                        </a:ln>
                      </wps:spPr>
                      <wps:txbx>
                        <w:txbxContent>
                          <w:p w:rsidR="00000000" w:rsidDel="00000000" w:rsidP="00000000" w:rsidRDefault="00000000" w:rsidRPr="00000000">
                            <w:pPr>
                              <w:spacing w:after="0" w:before="0" w:line="296.00000381469727"/>
                              <w:ind w:left="0" w:right="0" w:firstLine="0"/>
                              <w:jc w:val="left"/>
                              <w:textDirection w:val="btLr"/>
                            </w:pPr>
                            <w:r w:rsidDel="00000000" w:rsidR="00000000" w:rsidRPr="00000000">
                              <w:rPr>
                                <w:rFonts w:ascii="Palatino Linotype" w:cs="Palatino Linotype" w:eastAsia="Palatino Linotype" w:hAnsi="Palatino Linotype"/>
                                <w:b w:val="0"/>
                                <w:i w:val="1"/>
                                <w:smallCaps w:val="0"/>
                                <w:strike w:val="0"/>
                                <w:color w:val="000000"/>
                                <w:sz w:val="22"/>
                                <w:vertAlign w:val="baseline"/>
                              </w:rPr>
                              <w:t xml:space="preserve">Administrativo, de aplicación supletoria a la Ley Federal de Transparencia y Acceso a</w:t>
                            </w:r>
                          </w:p>
                        </w:txbxContent>
                      </wps:txbx>
                      <wps:bodyPr anchorCtr="0" anchor="t" bIns="0" lIns="0" spcFirstLastPara="1" rIns="0" wrap="square" tIns="0">
                        <a:noAutofit/>
                      </wps:bodyPr>
                    </wps:wsp>
                  </a:graphicData>
                </a:graphic>
              </wp:inline>
            </w:drawing>
          </mc:Choice>
          <mc:Fallback>
            <w:drawing>
              <wp:inline distB="0" distT="0" distL="0" distR="0">
                <wp:extent cx="4872355" cy="198755"/>
                <wp:effectExtent b="0" l="0" r="0" t="0"/>
                <wp:docPr id="34"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4872355" cy="19875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1220360</wp:posOffset>
            </wp:positionH>
            <wp:positionV relativeFrom="page">
              <wp:posOffset>121788</wp:posOffset>
            </wp:positionV>
            <wp:extent cx="6155816" cy="9598155"/>
            <wp:effectExtent b="0" l="0" r="0" t="0"/>
            <wp:wrapNone/>
            <wp:docPr id="4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5816" cy="9598155"/>
                    </a:xfrm>
                    <a:prstGeom prst="rect"/>
                    <a:ln/>
                  </pic:spPr>
                </pic:pic>
              </a:graphicData>
            </a:graphic>
          </wp:anchor>
        </w:drawing>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spacing w:before="0" w:lineRule="auto"/>
        <w:ind w:left="4789" w:right="0" w:firstLine="1625"/>
        <w:jc w:val="left"/>
        <w:rPr>
          <w:b w:val="1"/>
          <w:sz w:val="20"/>
          <w:szCs w:val="20"/>
        </w:rPr>
      </w:pPr>
      <w:r w:rsidDel="00000000" w:rsidR="00000000" w:rsidRPr="00000000">
        <w:rPr>
          <w:b w:val="1"/>
          <w:sz w:val="20"/>
          <w:szCs w:val="20"/>
          <w:rtl w:val="0"/>
        </w:rPr>
        <w:t xml:space="preserve">VOTO DISIDENTE CONCURRENTE RECURSOS DE REVISIÓN: 07815/INFOEM/IP/RR/2023</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spacing w:before="0" w:line="276" w:lineRule="auto"/>
        <w:ind w:left="1531" w:right="826" w:firstLine="0"/>
        <w:jc w:val="both"/>
        <w:rPr>
          <w:i w:val="1"/>
          <w:sz w:val="22"/>
          <w:szCs w:val="22"/>
        </w:rPr>
      </w:pPr>
      <w:r w:rsidDel="00000000" w:rsidR="00000000" w:rsidRPr="00000000">
        <w:rPr>
          <w:i w:val="1"/>
          <w:sz w:val="22"/>
          <w:szCs w:val="22"/>
          <w:rtl w:val="0"/>
        </w:rPr>
        <w:t xml:space="preserve">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5" w:right="261"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Lo anterior, debido a que, la congruencia implica que, exista concordancia entre el requerimiento formulado por el particular y la respuesta proporcionada por el sujeto obligado, mientras que la exhaustividad significa que la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respuesta se refiera expresamente a cada uno de los puntos solicitados</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situación que en el presente caso no aconteció, pues el Ayuntamiento de Atizapán fue omiso en pronunciarse sobre la existencia del documento requerido del año dos mil veintidós y, por ende, tampoco fue enviado.</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spacing w:before="0" w:line="360" w:lineRule="auto"/>
        <w:ind w:left="965" w:right="260" w:firstLine="0"/>
        <w:jc w:val="both"/>
        <w:rPr>
          <w:sz w:val="22"/>
          <w:szCs w:val="22"/>
        </w:rPr>
      </w:pPr>
      <w:r w:rsidDel="00000000" w:rsidR="00000000" w:rsidRPr="00000000">
        <w:rPr>
          <w:sz w:val="22"/>
          <w:szCs w:val="22"/>
          <w:rtl w:val="0"/>
        </w:rPr>
        <w:t xml:space="preserve">En ese sentido, consideramos que, lo procedente en el presente asunto era </w:t>
      </w:r>
      <w:r w:rsidDel="00000000" w:rsidR="00000000" w:rsidRPr="00000000">
        <w:rPr>
          <w:b w:val="1"/>
          <w:sz w:val="22"/>
          <w:szCs w:val="22"/>
          <w:u w:val="single"/>
          <w:rtl w:val="0"/>
        </w:rPr>
        <w:t xml:space="preserve">ordenar una</w:t>
      </w:r>
      <w:r w:rsidDel="00000000" w:rsidR="00000000" w:rsidRPr="00000000">
        <w:rPr>
          <w:b w:val="1"/>
          <w:sz w:val="22"/>
          <w:szCs w:val="22"/>
          <w:rtl w:val="0"/>
        </w:rPr>
        <w:t xml:space="preserve"> </w:t>
      </w:r>
      <w:r w:rsidDel="00000000" w:rsidR="00000000" w:rsidRPr="00000000">
        <w:rPr>
          <w:b w:val="1"/>
          <w:sz w:val="22"/>
          <w:szCs w:val="22"/>
          <w:u w:val="single"/>
          <w:rtl w:val="0"/>
        </w:rPr>
        <w:t xml:space="preserve">búsqueda exhaustiva y razonable de la información que no fue entregada y es motivo de</w:t>
      </w:r>
      <w:r w:rsidDel="00000000" w:rsidR="00000000" w:rsidRPr="00000000">
        <w:rPr>
          <w:b w:val="1"/>
          <w:sz w:val="22"/>
          <w:szCs w:val="22"/>
          <w:rtl w:val="0"/>
        </w:rPr>
        <w:t xml:space="preserve"> </w:t>
      </w:r>
      <w:r w:rsidDel="00000000" w:rsidR="00000000" w:rsidRPr="00000000">
        <w:rPr>
          <w:b w:val="1"/>
          <w:sz w:val="22"/>
          <w:szCs w:val="22"/>
          <w:u w:val="single"/>
          <w:rtl w:val="0"/>
        </w:rPr>
        <w:t xml:space="preserve">inconformidad</w:t>
      </w:r>
      <w:r w:rsidDel="00000000" w:rsidR="00000000" w:rsidRPr="00000000">
        <w:rPr>
          <w:b w:val="1"/>
          <w:sz w:val="22"/>
          <w:szCs w:val="22"/>
          <w:rtl w:val="0"/>
        </w:rPr>
        <w:t xml:space="preserve"> </w:t>
      </w:r>
      <w:r w:rsidDel="00000000" w:rsidR="00000000" w:rsidRPr="00000000">
        <w:rPr>
          <w:sz w:val="22"/>
          <w:szCs w:val="22"/>
          <w:rtl w:val="0"/>
        </w:rPr>
        <w:t xml:space="preserve">y, no así ordenar un acuerdo de inexistencia, pues no se cuentan con elementos para ordenar este último, ya que, no existe un pronunciamiento del servidor público habilitado competente respecto de la inexistencia del mismo debido a que no se llevó a cabo la búsqueda exhaustiva de la información solicitada.</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965" w:right="265"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sectPr>
          <w:type w:val="nextPage"/>
          <w:pgSz w:h="15840" w:w="12240" w:orient="portrait"/>
          <w:pgMar w:bottom="280" w:top="200" w:left="1020" w:right="1200" w:header="360" w:footer="360"/>
        </w:sect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Por lo anterior, respecto a la inexistencia, es importante traer a colación lo que establece el Criterio  con  clave  de  control  SO/004/2019 emitido  por  el  Instituto  Nacional  de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1220360</wp:posOffset>
            </wp:positionH>
            <wp:positionV relativeFrom="page">
              <wp:posOffset>121788</wp:posOffset>
            </wp:positionV>
            <wp:extent cx="6155816" cy="9598155"/>
            <wp:effectExtent b="0" l="0" r="0" t="0"/>
            <wp:wrapNone/>
            <wp:docPr id="3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5816" cy="9598155"/>
                    </a:xfrm>
                    <a:prstGeom prst="rect"/>
                    <a:ln/>
                  </pic:spPr>
                </pic:pic>
              </a:graphicData>
            </a:graphic>
          </wp:anchor>
        </w:drawing>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spacing w:before="0" w:lineRule="auto"/>
        <w:ind w:left="4789" w:right="0" w:firstLine="1625"/>
        <w:jc w:val="left"/>
        <w:rPr>
          <w:b w:val="1"/>
          <w:sz w:val="20"/>
          <w:szCs w:val="20"/>
        </w:rPr>
      </w:pPr>
      <w:r w:rsidDel="00000000" w:rsidR="00000000" w:rsidRPr="00000000">
        <w:rPr>
          <w:b w:val="1"/>
          <w:sz w:val="20"/>
          <w:szCs w:val="20"/>
          <w:rtl w:val="0"/>
        </w:rPr>
        <w:t xml:space="preserve">VOTO DISIDENTE CONCURRENTE RECURSOS DE REVISIÓN: 07815/INFOEM/IP/RR/2023</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5"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Transparencia, Acceso a la Información y Protección de Datos Personales, que a la letra precisa lo siguiente: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spacing w:before="1" w:line="276" w:lineRule="auto"/>
        <w:ind w:left="1531" w:right="682" w:firstLine="0"/>
        <w:jc w:val="both"/>
        <w:rPr>
          <w:b w:val="1"/>
          <w:i w:val="1"/>
          <w:sz w:val="22"/>
          <w:szCs w:val="22"/>
        </w:rPr>
      </w:pPr>
      <w:r w:rsidDel="00000000" w:rsidR="00000000" w:rsidRPr="00000000">
        <w:rPr>
          <w:b w:val="1"/>
          <w:i w:val="1"/>
          <w:sz w:val="22"/>
          <w:szCs w:val="22"/>
          <w:rtl w:val="0"/>
        </w:rPr>
        <w:t xml:space="preserve">“Propósito de la declaración formal de inexistencia. </w:t>
      </w:r>
      <w:r w:rsidDel="00000000" w:rsidR="00000000" w:rsidRPr="00000000">
        <w:rPr>
          <w:i w:val="1"/>
          <w:sz w:val="22"/>
          <w:szCs w:val="22"/>
          <w:rtl w:val="0"/>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Del="00000000" w:rsidR="00000000" w:rsidRPr="00000000">
        <w:rPr>
          <w:b w:val="1"/>
          <w:i w:val="1"/>
          <w:sz w:val="22"/>
          <w:szCs w:val="22"/>
          <w:rtl w:val="0"/>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0" w:right="0" w:firstLine="0"/>
        <w:jc w:val="left"/>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spacing w:before="0" w:line="360" w:lineRule="auto"/>
        <w:ind w:left="965" w:right="124" w:firstLine="0"/>
        <w:jc w:val="both"/>
        <w:rPr>
          <w:b w:val="1"/>
          <w:sz w:val="22"/>
          <w:szCs w:val="22"/>
        </w:rPr>
        <w:sectPr>
          <w:type w:val="nextPage"/>
          <w:pgSz w:h="15840" w:w="12240" w:orient="portrait"/>
          <w:pgMar w:bottom="280" w:top="200" w:left="1020" w:right="1200" w:header="360" w:footer="360"/>
        </w:sectPr>
      </w:pPr>
      <w:r w:rsidDel="00000000" w:rsidR="00000000" w:rsidRPr="00000000">
        <w:rPr>
          <w:sz w:val="22"/>
          <w:szCs w:val="22"/>
          <w:rtl w:val="0"/>
        </w:rPr>
        <w:t xml:space="preserve">De ello, se tiene que las declaraciones de inexistencia que emitan los Comités de Transparencia, deben contener los elementos suficientes que permitan que los solicitantes tengan certeza de la </w:t>
      </w:r>
      <w:r w:rsidDel="00000000" w:rsidR="00000000" w:rsidRPr="00000000">
        <w:rPr>
          <w:b w:val="1"/>
          <w:sz w:val="22"/>
          <w:szCs w:val="22"/>
          <w:u w:val="single"/>
          <w:rtl w:val="0"/>
        </w:rPr>
        <w:t xml:space="preserve">búsqueda de la información</w:t>
      </w:r>
      <w:r w:rsidDel="00000000" w:rsidR="00000000" w:rsidRPr="00000000">
        <w:rPr>
          <w:sz w:val="22"/>
          <w:szCs w:val="22"/>
          <w:rtl w:val="0"/>
        </w:rPr>
        <w:t xml:space="preserve">, esto es, que la declaratoria debe estar debidamente fundada y motivada, es decir; además de señalar los preceptos normativos aplicables, </w:t>
      </w:r>
      <w:r w:rsidDel="00000000" w:rsidR="00000000" w:rsidRPr="00000000">
        <w:rPr>
          <w:b w:val="1"/>
          <w:sz w:val="22"/>
          <w:szCs w:val="22"/>
          <w:u w:val="single"/>
          <w:rtl w:val="0"/>
        </w:rPr>
        <w:t xml:space="preserve">se deben especificar los criterios de búsqueda, las unidades en las que se buscó</w:t>
      </w:r>
      <w:r w:rsidDel="00000000" w:rsidR="00000000" w:rsidRPr="00000000">
        <w:rPr>
          <w:b w:val="1"/>
          <w:sz w:val="22"/>
          <w:szCs w:val="22"/>
          <w:rtl w:val="0"/>
        </w:rPr>
        <w:t xml:space="preserve"> </w:t>
      </w:r>
      <w:r w:rsidDel="00000000" w:rsidR="00000000" w:rsidRPr="00000000">
        <w:rPr>
          <w:b w:val="1"/>
          <w:sz w:val="22"/>
          <w:szCs w:val="22"/>
          <w:u w:val="single"/>
          <w:rtl w:val="0"/>
        </w:rPr>
        <w:t xml:space="preserve">la información, y demás circunstancias tomadas en cuenta, con el fin de garantizar al</w:t>
      </w:r>
      <w:r w:rsidDel="00000000" w:rsidR="00000000" w:rsidRPr="00000000">
        <w:rPr>
          <w:b w:val="1"/>
          <w:sz w:val="22"/>
          <w:szCs w:val="22"/>
          <w:rtl w:val="0"/>
        </w:rPr>
        <w:t xml:space="preserve"> </w:t>
      </w:r>
      <w:r w:rsidDel="00000000" w:rsidR="00000000" w:rsidRPr="00000000">
        <w:rPr>
          <w:b w:val="1"/>
          <w:sz w:val="22"/>
          <w:szCs w:val="22"/>
          <w:u w:val="single"/>
          <w:rtl w:val="0"/>
        </w:rPr>
        <w:t xml:space="preserve">solicitante que efectivamente se hicieron las gestiones necesarias para localizar la</w:t>
      </w:r>
      <w:r w:rsidDel="00000000" w:rsidR="00000000" w:rsidRPr="00000000">
        <w:rPr>
          <w:b w:val="1"/>
          <w:sz w:val="22"/>
          <w:szCs w:val="22"/>
          <w:rtl w:val="0"/>
        </w:rPr>
        <w:t xml:space="preserve"> </w:t>
      </w:r>
      <w:r w:rsidDel="00000000" w:rsidR="00000000" w:rsidRPr="00000000">
        <w:rPr>
          <w:b w:val="1"/>
          <w:sz w:val="22"/>
          <w:szCs w:val="22"/>
          <w:u w:val="single"/>
          <w:rtl w:val="0"/>
        </w:rPr>
        <w:t xml:space="preserve">documentación de su interés.</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1220360</wp:posOffset>
            </wp:positionH>
            <wp:positionV relativeFrom="page">
              <wp:posOffset>121788</wp:posOffset>
            </wp:positionV>
            <wp:extent cx="6155816" cy="9598155"/>
            <wp:effectExtent b="0" l="0" r="0" t="0"/>
            <wp:wrapNone/>
            <wp:docPr id="3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5816" cy="9598155"/>
                    </a:xfrm>
                    <a:prstGeom prst="rect"/>
                    <a:ln/>
                  </pic:spPr>
                </pic:pic>
              </a:graphicData>
            </a:graphic>
          </wp:anchor>
        </w:drawing>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spacing w:before="0" w:lineRule="auto"/>
        <w:ind w:left="4789" w:right="0" w:firstLine="1625"/>
        <w:jc w:val="left"/>
        <w:rPr>
          <w:b w:val="1"/>
          <w:sz w:val="20"/>
          <w:szCs w:val="20"/>
        </w:rPr>
      </w:pPr>
      <w:r w:rsidDel="00000000" w:rsidR="00000000" w:rsidRPr="00000000">
        <w:rPr>
          <w:b w:val="1"/>
          <w:sz w:val="20"/>
          <w:szCs w:val="20"/>
          <w:rtl w:val="0"/>
        </w:rPr>
        <w:t xml:space="preserve">VOTO DISIDENTE CONCURRENTE RECURSOS DE REVISIÓN: 07815/INFOEM/IP/RR/2023</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5" w:right="121"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De lo anterior, se colige que, el propósito de la declaración formal de inexistencia, es garantizar a los particulares que se realizaron las gestiones necesarias para ubicar los documentos de su interés, explicando con ello, los criterios de búsqueda de la información, las unidades administrativas en las que se llevó a cabo, así como, la descripción de las circunstancias de modo, tiempo y lugar.</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5" w:right="123"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En lo que respecta, al presente asunto, no se comparte que se haya ordenado la declaratoria de inexistencia, debido a que, en principio se debe realizar la búsqueda de la información en las unidades administrativas competentes, para determinar que la información no obra en los archivos del Sujeto Obligado, por lo que, en este caso, derivado de que, el Sujeto Obligado no realizó la búsqueda exhaustiva y razonable de la información, se considera que no se contaban con elementos suficientes para determinar la inexistencia de la misma.</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5"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sectPr>
          <w:type w:val="nextPage"/>
          <w:pgSz w:h="15840" w:w="12240" w:orient="portrait"/>
          <w:pgMar w:bottom="280" w:top="200" w:left="1020" w:right="1200" w:header="360" w:footer="360"/>
        </w:sect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Es por todo lo vertido en líneas anteriores que los suscritos no comparten el sentido de la resolución, por lo que, formulamos el presente Voto Disidente Concurrente.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Pr>
        <w:drawing>
          <wp:inline distB="0" distT="0" distL="0" distR="0">
            <wp:extent cx="1486757" cy="700944"/>
            <wp:effectExtent b="0" l="0" r="0" t="0"/>
            <wp:docPr id="39"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1486757" cy="700944"/>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pStyle w:val="Heading1"/>
        <w:spacing w:before="1" w:line="223" w:lineRule="auto"/>
        <w:ind w:left="2780" w:right="443" w:hanging="1080"/>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2">
      <w:pPr>
        <w:spacing w:before="0" w:lineRule="auto"/>
        <w:ind w:left="1900" w:right="0" w:firstLine="0"/>
        <w:jc w:val="left"/>
        <w:rPr>
          <w:sz w:val="18"/>
          <w:szCs w:val="18"/>
        </w:rPr>
      </w:pPr>
      <w:r w:rsidDel="00000000" w:rsidR="00000000" w:rsidRPr="00000000">
        <w:rPr>
          <w:rtl w:val="0"/>
        </w:rPr>
      </w:r>
    </w:p>
    <w:sectPr>
      <w:type w:val="nextPage"/>
      <w:pgSz w:h="15840" w:w="12240" w:orient="portrait"/>
      <w:pgMar w:bottom="0" w:top="620" w:left="1020" w:right="120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535" w:hanging="143"/>
      </w:pPr>
      <w:rPr>
        <w:rFonts w:ascii="Palatino Linotype" w:cs="Palatino Linotype" w:eastAsia="Palatino Linotype" w:hAnsi="Palatino Linotype"/>
        <w:b w:val="1"/>
        <w:i w:val="0"/>
        <w:sz w:val="20"/>
        <w:szCs w:val="20"/>
      </w:rPr>
    </w:lvl>
    <w:lvl w:ilvl="1">
      <w:start w:val="0"/>
      <w:numFmt w:val="bullet"/>
      <w:lvlText w:val="•"/>
      <w:lvlJc w:val="left"/>
      <w:pPr>
        <w:ind w:left="2388" w:hanging="143"/>
      </w:pPr>
      <w:rPr/>
    </w:lvl>
    <w:lvl w:ilvl="2">
      <w:start w:val="0"/>
      <w:numFmt w:val="bullet"/>
      <w:lvlText w:val="•"/>
      <w:lvlJc w:val="left"/>
      <w:pPr>
        <w:ind w:left="3236" w:hanging="143"/>
      </w:pPr>
      <w:rPr/>
    </w:lvl>
    <w:lvl w:ilvl="3">
      <w:start w:val="0"/>
      <w:numFmt w:val="bullet"/>
      <w:lvlText w:val="•"/>
      <w:lvlJc w:val="left"/>
      <w:pPr>
        <w:ind w:left="4084" w:hanging="143.00000000000045"/>
      </w:pPr>
      <w:rPr/>
    </w:lvl>
    <w:lvl w:ilvl="4">
      <w:start w:val="0"/>
      <w:numFmt w:val="bullet"/>
      <w:lvlText w:val="•"/>
      <w:lvlJc w:val="left"/>
      <w:pPr>
        <w:ind w:left="4932" w:hanging="143"/>
      </w:pPr>
      <w:rPr/>
    </w:lvl>
    <w:lvl w:ilvl="5">
      <w:start w:val="0"/>
      <w:numFmt w:val="bullet"/>
      <w:lvlText w:val="•"/>
      <w:lvlJc w:val="left"/>
      <w:pPr>
        <w:ind w:left="5780" w:hanging="143"/>
      </w:pPr>
      <w:rPr/>
    </w:lvl>
    <w:lvl w:ilvl="6">
      <w:start w:val="0"/>
      <w:numFmt w:val="bullet"/>
      <w:lvlText w:val="•"/>
      <w:lvlJc w:val="left"/>
      <w:pPr>
        <w:ind w:left="6628" w:hanging="143"/>
      </w:pPr>
      <w:rPr/>
    </w:lvl>
    <w:lvl w:ilvl="7">
      <w:start w:val="0"/>
      <w:numFmt w:val="bullet"/>
      <w:lvlText w:val="•"/>
      <w:lvlJc w:val="left"/>
      <w:pPr>
        <w:ind w:left="7476" w:hanging="142.9999999999991"/>
      </w:pPr>
      <w:rPr/>
    </w:lvl>
    <w:lvl w:ilvl="8">
      <w:start w:val="0"/>
      <w:numFmt w:val="bullet"/>
      <w:lvlText w:val="•"/>
      <w:lvlJc w:val="left"/>
      <w:pPr>
        <w:ind w:left="8324" w:hanging="143"/>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2" w:lineRule="auto"/>
      <w:ind w:left="20"/>
    </w:pPr>
    <w:rPr>
      <w:rFonts w:ascii="Arial" w:cs="Arial" w:eastAsia="Arial" w:hAnsi="Arial"/>
      <w:sz w:val="24"/>
      <w:szCs w:val="24"/>
    </w:rPr>
  </w:style>
  <w:style w:type="paragraph" w:styleId="Heading2">
    <w:name w:val="heading 2"/>
    <w:basedOn w:val="Normal"/>
    <w:next w:val="Normal"/>
    <w:pPr>
      <w:ind w:left="965"/>
    </w:pPr>
    <w:rPr>
      <w:rFonts w:ascii="Palatino Linotype" w:cs="Palatino Linotype" w:eastAsia="Palatino Linotype" w:hAnsi="Palatino Linotype"/>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Palatino Linotype" w:cs="Palatino Linotype" w:eastAsia="Palatino Linotype" w:hAnsi="Palatino Linotype"/>
      <w:lang w:bidi="ar-SA" w:eastAsia="en-US" w:val="es-ES"/>
    </w:rPr>
  </w:style>
  <w:style w:type="paragraph" w:styleId="BodyText">
    <w:name w:val="Body Text"/>
    <w:basedOn w:val="Normal"/>
    <w:uiPriority w:val="1"/>
    <w:qFormat w:val="1"/>
    <w:pPr/>
    <w:rPr>
      <w:rFonts w:ascii="Palatino Linotype" w:cs="Palatino Linotype" w:eastAsia="Palatino Linotype" w:hAnsi="Palatino Linotype"/>
      <w:sz w:val="22"/>
      <w:szCs w:val="22"/>
      <w:lang w:bidi="ar-SA" w:eastAsia="en-US" w:val="es-ES"/>
    </w:rPr>
  </w:style>
  <w:style w:type="paragraph" w:styleId="Heading1">
    <w:name w:val="Heading 1"/>
    <w:basedOn w:val="Normal"/>
    <w:uiPriority w:val="1"/>
    <w:qFormat w:val="1"/>
    <w:pPr>
      <w:spacing w:before="12"/>
      <w:ind w:left="20"/>
      <w:outlineLvl w:val="1"/>
    </w:pPr>
    <w:rPr>
      <w:rFonts w:ascii="Arial MT" w:cs="Arial MT" w:eastAsia="Arial MT" w:hAnsi="Arial MT"/>
      <w:sz w:val="24"/>
      <w:szCs w:val="24"/>
      <w:lang w:bidi="ar-SA" w:eastAsia="en-US" w:val="es-ES"/>
    </w:rPr>
  </w:style>
  <w:style w:type="paragraph" w:styleId="Heading2">
    <w:name w:val="Heading 2"/>
    <w:basedOn w:val="Normal"/>
    <w:uiPriority w:val="1"/>
    <w:qFormat w:val="1"/>
    <w:pPr>
      <w:ind w:left="965"/>
      <w:outlineLvl w:val="2"/>
    </w:pPr>
    <w:rPr>
      <w:rFonts w:ascii="Palatino Linotype" w:cs="Palatino Linotype" w:eastAsia="Palatino Linotype" w:hAnsi="Palatino Linotype"/>
      <w:b w:val="1"/>
      <w:bCs w:val="1"/>
      <w:sz w:val="22"/>
      <w:szCs w:val="22"/>
      <w:lang w:bidi="ar-SA" w:eastAsia="en-US" w:val="es-ES"/>
    </w:rPr>
  </w:style>
  <w:style w:type="paragraph" w:styleId="ListParagraph">
    <w:name w:val="List Paragraph"/>
    <w:basedOn w:val="Normal"/>
    <w:uiPriority w:val="1"/>
    <w:qFormat w:val="1"/>
    <w:pPr>
      <w:ind w:left="1530" w:hanging="282"/>
    </w:pPr>
    <w:rPr>
      <w:rFonts w:ascii="Palatino Linotype" w:cs="Palatino Linotype" w:eastAsia="Palatino Linotype" w:hAnsi="Palatino Linotype"/>
      <w:lang w:bidi="ar-SA" w:eastAsia="en-US" w:val="es-ES"/>
    </w:rPr>
  </w:style>
  <w:style w:type="paragraph" w:styleId="TableParagraph">
    <w:name w:val="Table Paragraph"/>
    <w:basedOn w:val="Normal"/>
    <w:uiPriority w:val="1"/>
    <w:qFormat w:val="1"/>
    <w:pPr/>
    <w:rPr>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9.jpg"/><Relationship Id="rId13" Type="http://schemas.openxmlformats.org/officeDocument/2006/relationships/image" Target="media/image6.png"/><Relationship Id="rId12"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g"/><Relationship Id="rId15" Type="http://schemas.openxmlformats.org/officeDocument/2006/relationships/image" Target="media/image3.png"/><Relationship Id="rId14" Type="http://schemas.openxmlformats.org/officeDocument/2006/relationships/image" Target="media/image4.png"/><Relationship Id="rId17" Type="http://schemas.openxmlformats.org/officeDocument/2006/relationships/image" Target="media/image1.png"/><Relationship Id="rId16"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2.jp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A/NskzqSI/tfSNgH7XNhtnkyUA==">CgMxLjA4AHIhMVVUVDhJWDFYQnFfa2lIX2JQSkFQUHQ2RC1JdUo2S2NP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2024-08-30T00:18:30Z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2013</vt:lpwstr>
  </property>
  <property fmtid="{D5CDD505-2E9C-101B-9397-08002B2CF9AE}" pid="4" name="LastSaved">
    <vt:filetime>2024-08-30T00:00:00Z</vt:filetime>
  </property>
  <property fmtid="{D5CDD505-2E9C-101B-9397-08002B2CF9AE}" pid="5" name="Producer">
    <vt:lpwstr>Microsoft® Word 2013; modified using iText® 5.5.13 ©2000-2018 iText Group NV (AGPL-version)</vt:lpwstr>
  </property>
</Properties>
</file>