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301DC" w14:textId="77777777" w:rsidR="00146AC1" w:rsidRPr="00146AC1" w:rsidRDefault="00146AC1" w:rsidP="00BE4EEC">
      <w:pPr>
        <w:pBdr>
          <w:top w:val="nil"/>
          <w:left w:val="nil"/>
          <w:bottom w:val="nil"/>
          <w:right w:val="nil"/>
          <w:between w:val="nil"/>
        </w:pBdr>
        <w:tabs>
          <w:tab w:val="center" w:pos="4252"/>
          <w:tab w:val="right" w:pos="8504"/>
        </w:tabs>
        <w:spacing w:after="0" w:line="360" w:lineRule="auto"/>
        <w:ind w:right="57"/>
        <w:jc w:val="both"/>
        <w:rPr>
          <w:rFonts w:ascii="Palatino Linotype" w:eastAsia="Palatino Linotype" w:hAnsi="Palatino Linotype" w:cs="Palatino Linotype"/>
          <w:b/>
          <w:color w:val="000000"/>
          <w:sz w:val="10"/>
          <w:szCs w:val="10"/>
        </w:rPr>
      </w:pPr>
      <w:bookmarkStart w:id="0" w:name="_GoBack"/>
      <w:bookmarkEnd w:id="0"/>
    </w:p>
    <w:p w14:paraId="3F47EEBF" w14:textId="21A2C735" w:rsidR="00090DE9" w:rsidRPr="00FE39D0" w:rsidRDefault="00090DE9" w:rsidP="00BE4EEC">
      <w:pPr>
        <w:pBdr>
          <w:top w:val="nil"/>
          <w:left w:val="nil"/>
          <w:bottom w:val="nil"/>
          <w:right w:val="nil"/>
          <w:between w:val="nil"/>
        </w:pBdr>
        <w:tabs>
          <w:tab w:val="center" w:pos="4252"/>
          <w:tab w:val="right" w:pos="8504"/>
        </w:tabs>
        <w:spacing w:after="0" w:line="360" w:lineRule="auto"/>
        <w:ind w:right="57"/>
        <w:jc w:val="both"/>
        <w:rPr>
          <w:rFonts w:ascii="Palatino Linotype" w:eastAsia="Palatino Linotype" w:hAnsi="Palatino Linotype" w:cs="Palatino Linotype"/>
          <w:b/>
          <w:color w:val="000000"/>
        </w:rPr>
      </w:pPr>
      <w:r w:rsidRPr="00FE39D0">
        <w:rPr>
          <w:rFonts w:ascii="Palatino Linotype" w:eastAsia="Palatino Linotype" w:hAnsi="Palatino Linotype" w:cs="Palatino Linotype"/>
          <w:b/>
          <w:color w:val="000000"/>
        </w:rPr>
        <w:t xml:space="preserve">VOTO DISIDENTE QUE FORMULA EL COMISIONADO LUIS GUSTAVO PARRA NORIEGA, A LA RESOLUCIÓN DEL RECURSO DE REVISIÓN 01780/INFOEM/IP/RR/2023, PROMOVIDO EN CONTRA DEL PODER LEGISLATIVO. </w:t>
      </w:r>
    </w:p>
    <w:p w14:paraId="459EF452" w14:textId="77777777" w:rsidR="00090DE9" w:rsidRPr="00FE39D0" w:rsidRDefault="00090DE9" w:rsidP="00BE4EEC">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color w:val="000000"/>
        </w:rPr>
      </w:pPr>
    </w:p>
    <w:p w14:paraId="7E0FCCF2" w14:textId="4A505869" w:rsidR="00090DE9" w:rsidRPr="00FE39D0" w:rsidRDefault="00090DE9" w:rsidP="00BE4EEC">
      <w:pPr>
        <w:tabs>
          <w:tab w:val="left" w:pos="1843"/>
        </w:tabs>
        <w:spacing w:after="0" w:line="360" w:lineRule="auto"/>
        <w:jc w:val="both"/>
        <w:rPr>
          <w:rFonts w:ascii="Palatino Linotype" w:eastAsia="Palatino Linotype" w:hAnsi="Palatino Linotype" w:cs="Palatino Linotype"/>
          <w:b/>
        </w:rPr>
      </w:pPr>
      <w:r w:rsidRPr="00FE39D0">
        <w:rPr>
          <w:rFonts w:ascii="Palatino Linotype" w:eastAsia="Palatino Linotype" w:hAnsi="Palatino Linotype" w:cs="Palatino Linotype"/>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FE39D0">
        <w:rPr>
          <w:rFonts w:ascii="Palatino Linotype" w:eastAsia="Palatino Linotype" w:hAnsi="Palatino Linotype" w:cs="Palatino Linotype"/>
          <w:b/>
        </w:rPr>
        <w:t>Voto Disidente</w:t>
      </w:r>
      <w:r w:rsidRPr="00FE39D0">
        <w:rPr>
          <w:rFonts w:ascii="Palatino Linotype" w:eastAsia="Palatino Linotype" w:hAnsi="Palatino Linotype" w:cs="Palatino Linotype"/>
        </w:rPr>
        <w:t xml:space="preserve"> por no compartir las consideraciones que sustentan la Resolución del Recurso de Revisión </w:t>
      </w:r>
      <w:r w:rsidRPr="00FE39D0">
        <w:rPr>
          <w:rFonts w:ascii="Palatino Linotype" w:eastAsia="Palatino Linotype" w:hAnsi="Palatino Linotype" w:cs="Palatino Linotype"/>
          <w:b/>
        </w:rPr>
        <w:t>01780/INFOEM/IP/RR/2023.</w:t>
      </w:r>
    </w:p>
    <w:p w14:paraId="3F3653FA" w14:textId="77777777" w:rsidR="00090DE9" w:rsidRPr="00FE39D0" w:rsidRDefault="00090DE9" w:rsidP="00BE4EEC">
      <w:pPr>
        <w:tabs>
          <w:tab w:val="left" w:pos="1843"/>
        </w:tabs>
        <w:spacing w:after="0" w:line="360" w:lineRule="auto"/>
        <w:jc w:val="both"/>
        <w:rPr>
          <w:rFonts w:ascii="Palatino Linotype" w:eastAsia="Palatino Linotype" w:hAnsi="Palatino Linotype" w:cs="Palatino Linotype"/>
        </w:rPr>
      </w:pPr>
    </w:p>
    <w:p w14:paraId="22408599" w14:textId="04069092" w:rsidR="00090DE9" w:rsidRPr="00FE39D0" w:rsidRDefault="00090DE9" w:rsidP="00BE4EEC">
      <w:pPr>
        <w:spacing w:after="0" w:line="360" w:lineRule="auto"/>
        <w:jc w:val="both"/>
        <w:rPr>
          <w:rFonts w:ascii="Palatino Linotype" w:eastAsia="Palatino Linotype" w:hAnsi="Palatino Linotype" w:cs="Palatino Linotype"/>
        </w:rPr>
      </w:pPr>
      <w:r w:rsidRPr="00FE39D0">
        <w:rPr>
          <w:rFonts w:ascii="Palatino Linotype" w:eastAsia="Palatino Linotype" w:hAnsi="Palatino Linotype" w:cs="Palatino Linotype"/>
        </w:rPr>
        <w:t>Como se desprende de la Resolución en comento, el Particular solicitó la nómina del Ayuntamiento de Ixtlahuaca, en respuesta</w:t>
      </w:r>
      <w:r w:rsidR="00112AF4" w:rsidRPr="00FE39D0">
        <w:rPr>
          <w:rFonts w:ascii="Palatino Linotype" w:eastAsia="Palatino Linotype" w:hAnsi="Palatino Linotype" w:cs="Palatino Linotype"/>
        </w:rPr>
        <w:t>,</w:t>
      </w:r>
      <w:r w:rsidRPr="00FE39D0">
        <w:rPr>
          <w:rFonts w:ascii="Palatino Linotype" w:eastAsia="Palatino Linotype" w:hAnsi="Palatino Linotype" w:cs="Palatino Linotype"/>
        </w:rPr>
        <w:t xml:space="preserve"> el Sujeto Obligado proporcionó un enlace del portal de Información Pública de Oficio Mexiquense, que conducía al apartado de remuneraciones del municipio </w:t>
      </w:r>
      <w:r w:rsidR="00112AF4" w:rsidRPr="00FE39D0">
        <w:rPr>
          <w:rFonts w:ascii="Palatino Linotype" w:eastAsia="Palatino Linotype" w:hAnsi="Palatino Linotype" w:cs="Palatino Linotype"/>
        </w:rPr>
        <w:t>señalado</w:t>
      </w:r>
      <w:r w:rsidRPr="00FE39D0">
        <w:rPr>
          <w:rFonts w:ascii="Palatino Linotype" w:eastAsia="Palatino Linotype" w:hAnsi="Palatino Linotype" w:cs="Palatino Linotype"/>
        </w:rPr>
        <w:t>; ante dicha circunstancia, e</w:t>
      </w:r>
      <w:r w:rsidR="00C171E7" w:rsidRPr="00FE39D0">
        <w:rPr>
          <w:rFonts w:ascii="Palatino Linotype" w:eastAsia="Palatino Linotype" w:hAnsi="Palatino Linotype" w:cs="Palatino Linotype"/>
        </w:rPr>
        <w:t>l P</w:t>
      </w:r>
      <w:r w:rsidRPr="00FE39D0">
        <w:rPr>
          <w:rFonts w:ascii="Palatino Linotype" w:eastAsia="Palatino Linotype" w:hAnsi="Palatino Linotype" w:cs="Palatino Linotype"/>
        </w:rPr>
        <w:t xml:space="preserve">articular </w:t>
      </w:r>
      <w:r w:rsidR="00112AF4" w:rsidRPr="00FE39D0">
        <w:rPr>
          <w:rFonts w:ascii="Palatino Linotype" w:eastAsia="Palatino Linotype" w:hAnsi="Palatino Linotype" w:cs="Palatino Linotype"/>
        </w:rPr>
        <w:t>se agravió porque dicho enlace no conducía a la información requerida</w:t>
      </w:r>
      <w:r w:rsidR="00227A3A" w:rsidRPr="00FE39D0">
        <w:rPr>
          <w:rFonts w:ascii="Palatino Linotype" w:eastAsia="Palatino Linotype" w:hAnsi="Palatino Linotype" w:cs="Palatino Linotype"/>
        </w:rPr>
        <w:t>.</w:t>
      </w:r>
      <w:r w:rsidR="00112AF4" w:rsidRPr="00FE39D0">
        <w:rPr>
          <w:rFonts w:ascii="Palatino Linotype" w:eastAsia="Palatino Linotype" w:hAnsi="Palatino Linotype" w:cs="Palatino Linotype"/>
        </w:rPr>
        <w:t xml:space="preserve"> Así, por mayoría de votos </w:t>
      </w:r>
      <w:r w:rsidRPr="00FE39D0">
        <w:rPr>
          <w:rFonts w:ascii="Palatino Linotype" w:eastAsia="Palatino Linotype" w:hAnsi="Palatino Linotype" w:cs="Palatino Linotype"/>
        </w:rPr>
        <w:t xml:space="preserve">el Pleno de este Instituto, </w:t>
      </w:r>
      <w:r w:rsidR="00227A3A" w:rsidRPr="00FE39D0">
        <w:rPr>
          <w:rFonts w:ascii="Palatino Linotype" w:eastAsia="Palatino Linotype" w:hAnsi="Palatino Linotype" w:cs="Palatino Linotype"/>
        </w:rPr>
        <w:t>determinó</w:t>
      </w:r>
      <w:r w:rsidRPr="00FE39D0">
        <w:rPr>
          <w:rFonts w:ascii="Palatino Linotype" w:eastAsia="Palatino Linotype" w:hAnsi="Palatino Linotype" w:cs="Palatino Linotype"/>
        </w:rPr>
        <w:t xml:space="preserve"> que </w:t>
      </w:r>
      <w:r w:rsidR="00112AF4" w:rsidRPr="00FE39D0">
        <w:rPr>
          <w:rFonts w:ascii="Palatino Linotype" w:eastAsia="Palatino Linotype" w:hAnsi="Palatino Linotype" w:cs="Palatino Linotype"/>
        </w:rPr>
        <w:t>se debía confirmar la respuesta</w:t>
      </w:r>
      <w:r w:rsidRPr="00FE39D0">
        <w:rPr>
          <w:rFonts w:ascii="Palatino Linotype" w:hAnsi="Palatino Linotype" w:cs="Tahoma"/>
          <w:iCs/>
          <w:lang w:val="es-MX" w:eastAsia="es-ES_tradnl"/>
        </w:rPr>
        <w:t xml:space="preserve">, </w:t>
      </w:r>
      <w:r w:rsidR="00227A3A" w:rsidRPr="00FE39D0">
        <w:rPr>
          <w:rFonts w:ascii="Palatino Linotype" w:hAnsi="Palatino Linotype" w:cs="Tahoma"/>
          <w:iCs/>
          <w:lang w:val="es-MX" w:eastAsia="es-ES_tradnl"/>
        </w:rPr>
        <w:t xml:space="preserve">situación que </w:t>
      </w:r>
      <w:r w:rsidRPr="00FE39D0">
        <w:rPr>
          <w:rFonts w:ascii="Palatino Linotype" w:hAnsi="Palatino Linotype" w:cs="Tahoma"/>
          <w:iCs/>
          <w:lang w:val="es-MX" w:eastAsia="es-ES_tradnl"/>
        </w:rPr>
        <w:t xml:space="preserve">no se comparte, porque </w:t>
      </w:r>
      <w:r w:rsidR="00112AF4" w:rsidRPr="00FE39D0">
        <w:rPr>
          <w:rFonts w:ascii="Palatino Linotype" w:hAnsi="Palatino Linotype" w:cs="Tahoma"/>
          <w:iCs/>
          <w:lang w:val="es-MX" w:eastAsia="es-ES_tradnl"/>
        </w:rPr>
        <w:t>desde mi punto de vista</w:t>
      </w:r>
      <w:r w:rsidR="003D12B5" w:rsidRPr="00FE39D0">
        <w:rPr>
          <w:rFonts w:ascii="Palatino Linotype" w:hAnsi="Palatino Linotype" w:cs="Tahoma"/>
          <w:iCs/>
          <w:lang w:val="es-MX" w:eastAsia="es-ES_tradnl"/>
        </w:rPr>
        <w:t xml:space="preserve"> considero</w:t>
      </w:r>
      <w:r w:rsidR="00112AF4" w:rsidRPr="00FE39D0">
        <w:rPr>
          <w:rFonts w:ascii="Palatino Linotype" w:hAnsi="Palatino Linotype" w:cs="Tahoma"/>
          <w:iCs/>
          <w:lang w:val="es-MX" w:eastAsia="es-ES_tradnl"/>
        </w:rPr>
        <w:t xml:space="preserve">, </w:t>
      </w:r>
      <w:r w:rsidRPr="00FE39D0">
        <w:rPr>
          <w:rFonts w:ascii="Palatino Linotype" w:hAnsi="Palatino Linotype" w:cs="Tahoma"/>
          <w:iCs/>
          <w:lang w:val="es-MX" w:eastAsia="es-ES_tradnl"/>
        </w:rPr>
        <w:t>que</w:t>
      </w:r>
      <w:r w:rsidR="00112AF4" w:rsidRPr="00FE39D0">
        <w:rPr>
          <w:rFonts w:ascii="Palatino Linotype" w:hAnsi="Palatino Linotype" w:cs="Tahoma"/>
          <w:iCs/>
          <w:lang w:val="es-MX" w:eastAsia="es-ES_tradnl"/>
        </w:rPr>
        <w:t xml:space="preserve"> se debía ordenar la conciliación de nómina del ayuntamiento solicitado, toda vez que el Ente Recurrido se encuentra facultado para poseer la conciliación de nómina, derivado de los informes que los Ayuntamientos remiten al Órgano Superior de Fiscalización</w:t>
      </w:r>
      <w:r w:rsidRPr="00FE39D0">
        <w:rPr>
          <w:rFonts w:ascii="Palatino Linotype" w:hAnsi="Palatino Linotype" w:cs="Tahoma"/>
          <w:iCs/>
          <w:lang w:val="es-MX" w:eastAsia="es-ES_tradnl"/>
        </w:rPr>
        <w:t xml:space="preserve">. </w:t>
      </w:r>
    </w:p>
    <w:p w14:paraId="20520804" w14:textId="77777777" w:rsidR="00090DE9" w:rsidRPr="00FE39D0" w:rsidRDefault="00090DE9" w:rsidP="00BE4EEC">
      <w:pPr>
        <w:tabs>
          <w:tab w:val="left" w:pos="1843"/>
        </w:tabs>
        <w:spacing w:after="0" w:line="360" w:lineRule="auto"/>
        <w:jc w:val="both"/>
        <w:rPr>
          <w:rFonts w:ascii="Palatino Linotype" w:eastAsia="Palatino Linotype" w:hAnsi="Palatino Linotype" w:cs="Palatino Linotype"/>
        </w:rPr>
      </w:pPr>
    </w:p>
    <w:p w14:paraId="3B226B9A" w14:textId="77777777" w:rsidR="004C58C5" w:rsidRPr="00FE39D0" w:rsidRDefault="004C58C5" w:rsidP="00BE4EEC">
      <w:pPr>
        <w:tabs>
          <w:tab w:val="left" w:pos="1843"/>
        </w:tabs>
        <w:spacing w:after="0" w:line="360" w:lineRule="auto"/>
        <w:jc w:val="both"/>
        <w:rPr>
          <w:rFonts w:ascii="Palatino Linotype" w:eastAsia="Palatino Linotype" w:hAnsi="Palatino Linotype" w:cs="Palatino Linotype"/>
          <w:sz w:val="10"/>
          <w:szCs w:val="10"/>
        </w:rPr>
      </w:pPr>
    </w:p>
    <w:p w14:paraId="6BD340E2" w14:textId="4239AF8C" w:rsidR="00112AF4" w:rsidRPr="00FE39D0" w:rsidRDefault="00090DE9" w:rsidP="00BE4EEC">
      <w:pPr>
        <w:tabs>
          <w:tab w:val="left" w:pos="1843"/>
        </w:tabs>
        <w:spacing w:after="0" w:line="360" w:lineRule="auto"/>
        <w:jc w:val="both"/>
        <w:rPr>
          <w:rFonts w:ascii="Palatino Linotype" w:eastAsia="Palatino Linotype" w:hAnsi="Palatino Linotype" w:cs="Palatino Linotype"/>
        </w:rPr>
      </w:pPr>
      <w:r w:rsidRPr="00FE39D0">
        <w:rPr>
          <w:rFonts w:ascii="Palatino Linotype" w:eastAsia="Palatino Linotype" w:hAnsi="Palatino Linotype" w:cs="Palatino Linotype"/>
        </w:rPr>
        <w:lastRenderedPageBreak/>
        <w:t xml:space="preserve">En este sentido, no coincido con los términos planteados por mayoría del Pleno de este Instituto en la Resolución presentada, porque considero que no procede </w:t>
      </w:r>
      <w:r w:rsidR="00FE39D0" w:rsidRPr="00FE39D0">
        <w:rPr>
          <w:rFonts w:ascii="Palatino Linotype" w:eastAsia="Palatino Linotype" w:hAnsi="Palatino Linotype" w:cs="Palatino Linotype"/>
        </w:rPr>
        <w:t>c</w:t>
      </w:r>
      <w:r w:rsidR="00112AF4" w:rsidRPr="00FE39D0">
        <w:rPr>
          <w:rFonts w:ascii="Palatino Linotype" w:eastAsia="Palatino Linotype" w:hAnsi="Palatino Linotype" w:cs="Palatino Linotype"/>
        </w:rPr>
        <w:t>onfirmar, la respuesta proporcionada por el Sujeto Obligado</w:t>
      </w:r>
      <w:r w:rsidRPr="00FE39D0">
        <w:rPr>
          <w:rFonts w:ascii="Palatino Linotype" w:eastAsia="Palatino Linotype" w:hAnsi="Palatino Linotype" w:cs="Palatino Linotype"/>
        </w:rPr>
        <w:t>, toda vez que</w:t>
      </w:r>
      <w:r w:rsidR="00FE39D0" w:rsidRPr="00FE39D0">
        <w:rPr>
          <w:rFonts w:ascii="Palatino Linotype" w:eastAsia="Palatino Linotype" w:hAnsi="Palatino Linotype" w:cs="Palatino Linotype"/>
        </w:rPr>
        <w:t xml:space="preserve">, el particular no requirió únicamente conocer los sueldos de servidores públicos, sino que requirió la nómina, por lo que, </w:t>
      </w:r>
      <w:r w:rsidRPr="00FE39D0">
        <w:rPr>
          <w:rFonts w:ascii="Palatino Linotype" w:eastAsia="Palatino Linotype" w:hAnsi="Palatino Linotype" w:cs="Palatino Linotype"/>
        </w:rPr>
        <w:t xml:space="preserve">existe fuente obligacional para que el ente Recurrido </w:t>
      </w:r>
      <w:r w:rsidR="00FE39D0" w:rsidRPr="00FE39D0">
        <w:rPr>
          <w:rFonts w:ascii="Palatino Linotype" w:eastAsia="Palatino Linotype" w:hAnsi="Palatino Linotype" w:cs="Palatino Linotype"/>
        </w:rPr>
        <w:t>posea en sus archivos</w:t>
      </w:r>
      <w:r w:rsidRPr="00FE39D0">
        <w:rPr>
          <w:rFonts w:ascii="Palatino Linotype" w:eastAsia="Palatino Linotype" w:hAnsi="Palatino Linotype" w:cs="Palatino Linotype"/>
        </w:rPr>
        <w:t xml:space="preserve"> </w:t>
      </w:r>
      <w:r w:rsidR="00FE39D0" w:rsidRPr="00FE39D0">
        <w:rPr>
          <w:rFonts w:ascii="Palatino Linotype" w:eastAsia="Palatino Linotype" w:hAnsi="Palatino Linotype" w:cs="Palatino Linotype"/>
        </w:rPr>
        <w:t>ese documento</w:t>
      </w:r>
      <w:r w:rsidRPr="00FE39D0">
        <w:rPr>
          <w:rFonts w:ascii="Palatino Linotype" w:eastAsia="Palatino Linotype" w:hAnsi="Palatino Linotype" w:cs="Palatino Linotype"/>
        </w:rPr>
        <w:t xml:space="preserve">, en </w:t>
      </w:r>
      <w:r w:rsidR="00963182" w:rsidRPr="00FE39D0">
        <w:rPr>
          <w:rFonts w:ascii="Palatino Linotype" w:eastAsia="Palatino Linotype" w:hAnsi="Palatino Linotype" w:cs="Palatino Linotype"/>
        </w:rPr>
        <w:t>ese sentido</w:t>
      </w:r>
      <w:r w:rsidR="00112AF4" w:rsidRPr="00FE39D0">
        <w:rPr>
          <w:rFonts w:ascii="Palatino Linotype" w:eastAsia="Palatino Linotype" w:hAnsi="Palatino Linotype" w:cs="Palatino Linotype"/>
        </w:rPr>
        <w:t>,</w:t>
      </w:r>
      <w:r w:rsidR="00963182" w:rsidRPr="00FE39D0">
        <w:rPr>
          <w:rFonts w:ascii="Palatino Linotype" w:eastAsia="Palatino Linotype" w:hAnsi="Palatino Linotype" w:cs="Palatino Linotype"/>
        </w:rPr>
        <w:t xml:space="preserve"> </w:t>
      </w:r>
      <w:r w:rsidRPr="00FE39D0">
        <w:rPr>
          <w:rFonts w:ascii="Palatino Linotype" w:eastAsia="Palatino Linotype" w:hAnsi="Palatino Linotype" w:cs="Palatino Linotype"/>
        </w:rPr>
        <w:t xml:space="preserve">considero que se debió </w:t>
      </w:r>
      <w:r w:rsidR="00963182" w:rsidRPr="00FE39D0">
        <w:rPr>
          <w:rFonts w:ascii="Palatino Linotype" w:eastAsia="Palatino Linotype" w:hAnsi="Palatino Linotype" w:cs="Palatino Linotype"/>
        </w:rPr>
        <w:t xml:space="preserve">revocar y </w:t>
      </w:r>
      <w:r w:rsidR="00112AF4" w:rsidRPr="00FE39D0">
        <w:rPr>
          <w:rFonts w:ascii="Palatino Linotype" w:eastAsia="Palatino Linotype" w:hAnsi="Palatino Linotype" w:cs="Palatino Linotype"/>
        </w:rPr>
        <w:t>ordenar la información requerida</w:t>
      </w:r>
      <w:r w:rsidR="00963182" w:rsidRPr="00FE39D0">
        <w:rPr>
          <w:rFonts w:ascii="Palatino Linotype" w:eastAsia="Palatino Linotype" w:hAnsi="Palatino Linotype" w:cs="Palatino Linotype"/>
        </w:rPr>
        <w:t>, con base en las siguientes consideraciones</w:t>
      </w:r>
      <w:r w:rsidR="00112AF4" w:rsidRPr="00FE39D0">
        <w:rPr>
          <w:rFonts w:ascii="Palatino Linotype" w:eastAsia="Palatino Linotype" w:hAnsi="Palatino Linotype" w:cs="Palatino Linotype"/>
        </w:rPr>
        <w:t>.</w:t>
      </w:r>
    </w:p>
    <w:p w14:paraId="6E4B8970" w14:textId="77777777" w:rsidR="00963182" w:rsidRPr="00FE39D0" w:rsidRDefault="00963182" w:rsidP="00BE4EEC">
      <w:pPr>
        <w:tabs>
          <w:tab w:val="left" w:pos="1843"/>
        </w:tabs>
        <w:spacing w:after="0" w:line="360" w:lineRule="auto"/>
        <w:jc w:val="both"/>
        <w:rPr>
          <w:rFonts w:ascii="Palatino Linotype" w:eastAsia="Palatino Linotype" w:hAnsi="Palatino Linotype" w:cs="Palatino Linotype"/>
        </w:rPr>
      </w:pPr>
    </w:p>
    <w:p w14:paraId="7183BF45" w14:textId="2B997FC2" w:rsidR="00963182" w:rsidRPr="00FE39D0" w:rsidRDefault="00963182" w:rsidP="00BE4EEC">
      <w:pPr>
        <w:tabs>
          <w:tab w:val="left" w:pos="1843"/>
        </w:tabs>
        <w:spacing w:after="0" w:line="360" w:lineRule="auto"/>
        <w:jc w:val="both"/>
        <w:rPr>
          <w:rFonts w:ascii="Palatino Linotype" w:eastAsia="Palatino Linotype" w:hAnsi="Palatino Linotype" w:cs="Palatino Linotype"/>
        </w:rPr>
      </w:pPr>
      <w:r w:rsidRPr="00FE39D0">
        <w:rPr>
          <w:rFonts w:ascii="Palatino Linotype" w:hAnsi="Palatino Linotype"/>
        </w:rPr>
        <w:t>En primer término, es necesario determinar la competencia del Sujeto Obligado para proporcionar la información requerida por el Particular, en ese sentido, el artículo 61, fracción XXXII de la Constitución Política del Estado Libre y Soberano de México, precisa que la Legislatura podrá revisar, fiscalizar y calificar las cuentas públicas del Estado y los Municipios, del año anterior y para tal efecto contará con un Órgano Superior de Fiscalización.</w:t>
      </w:r>
    </w:p>
    <w:p w14:paraId="0514BFA5" w14:textId="77777777" w:rsidR="00112AF4" w:rsidRPr="00FE39D0" w:rsidRDefault="00112AF4" w:rsidP="00BE4EEC">
      <w:pPr>
        <w:tabs>
          <w:tab w:val="left" w:pos="1843"/>
        </w:tabs>
        <w:spacing w:after="0" w:line="360" w:lineRule="auto"/>
        <w:jc w:val="both"/>
        <w:rPr>
          <w:rFonts w:ascii="Palatino Linotype" w:eastAsia="Palatino Linotype" w:hAnsi="Palatino Linotype" w:cs="Palatino Linotype"/>
        </w:rPr>
      </w:pPr>
    </w:p>
    <w:p w14:paraId="1AEDDC68" w14:textId="2B7A9A55" w:rsidR="00963182" w:rsidRPr="00FE39D0" w:rsidRDefault="001B651C" w:rsidP="00BE4EEC">
      <w:pPr>
        <w:tabs>
          <w:tab w:val="left" w:pos="1843"/>
        </w:tabs>
        <w:spacing w:after="0" w:line="360" w:lineRule="auto"/>
        <w:jc w:val="both"/>
        <w:rPr>
          <w:rFonts w:ascii="Palatino Linotype" w:hAnsi="Palatino Linotype"/>
        </w:rPr>
      </w:pPr>
      <w:r w:rsidRPr="00FE39D0">
        <w:rPr>
          <w:rFonts w:ascii="Palatino Linotype" w:hAnsi="Palatino Linotype"/>
        </w:rPr>
        <w:t>Así mismo, los artículos 94, fracción I y 95 de la Ley Orgánica del Poder Legislativo del Estado Libre y Soberano de México, establecen que para el control, fiscalización y revisión del ingreso y del gasto público de los entes públicos que manejen recursos del Estado y Municipios la Legislatura dispondrá del Órgano Superior de Fiscalización, cuya organización y funcionamiento se regirá por la Ley de Fiscalización Superior del Estado de México y su Reglamento Interior.</w:t>
      </w:r>
    </w:p>
    <w:p w14:paraId="1D9905E3" w14:textId="77777777" w:rsidR="001B651C" w:rsidRPr="00FE39D0" w:rsidRDefault="001B651C" w:rsidP="00BE4EEC">
      <w:pPr>
        <w:tabs>
          <w:tab w:val="left" w:pos="1843"/>
        </w:tabs>
        <w:spacing w:after="0" w:line="360" w:lineRule="auto"/>
        <w:jc w:val="both"/>
        <w:rPr>
          <w:rFonts w:ascii="Palatino Linotype" w:eastAsia="Palatino Linotype" w:hAnsi="Palatino Linotype" w:cs="Palatino Linotype"/>
        </w:rPr>
      </w:pPr>
    </w:p>
    <w:p w14:paraId="5DB5D9DD" w14:textId="2D6F6253" w:rsidR="001B651C" w:rsidRPr="00FE39D0" w:rsidRDefault="001B651C" w:rsidP="00BE4EEC">
      <w:pPr>
        <w:spacing w:after="0" w:line="360" w:lineRule="auto"/>
        <w:jc w:val="both"/>
        <w:rPr>
          <w:rFonts w:ascii="Palatino Linotype" w:hAnsi="Palatino Linotype"/>
        </w:rPr>
      </w:pPr>
      <w:r w:rsidRPr="00FE39D0">
        <w:rPr>
          <w:rFonts w:ascii="Palatino Linotype" w:hAnsi="Palatino Linotype"/>
        </w:rPr>
        <w:t xml:space="preserve">En ese orden de ideas, los artículos 2º, fracción XI y 32, párrafo primero de la Ley de Fiscalización Superior del Estado de México, se desprende que los Informes Trimestrales son el documento físico y/o electrónico que trimestralmente presentan las entidades fiscalizables sobre la situación económica y en su caso deuda pública y se deberá presentar </w:t>
      </w:r>
      <w:r w:rsidRPr="00FE39D0">
        <w:rPr>
          <w:rFonts w:ascii="Palatino Linotype" w:hAnsi="Palatino Linotype"/>
        </w:rPr>
        <w:lastRenderedPageBreak/>
        <w:t>dentro de los veinte días hábiles posteriores al término del trimestre correspondiente al Órgano Superior para su análisis. De lo anteriormente expuesto, se logra vislumbrar que el Sujeto Obligado cuenta con atribuciones para conocer de la información solicitada por el Particular, toda vez que los informes trimestrales son entregados al Órgano Superior de Fiscalización, para efectos de sus auditorías, investigaciones y los efectos correspondientes.</w:t>
      </w:r>
    </w:p>
    <w:p w14:paraId="1D5F9808" w14:textId="77777777" w:rsidR="001B651C" w:rsidRPr="00FE39D0" w:rsidRDefault="001B651C" w:rsidP="00BE4EEC">
      <w:pPr>
        <w:spacing w:after="0" w:line="360" w:lineRule="auto"/>
        <w:jc w:val="both"/>
        <w:rPr>
          <w:rFonts w:ascii="Palatino Linotype" w:hAnsi="Palatino Linotype" w:cs="Times New Roman"/>
          <w:bCs/>
        </w:rPr>
      </w:pPr>
    </w:p>
    <w:p w14:paraId="38264E8B" w14:textId="3F4D22FD" w:rsidR="001B651C" w:rsidRPr="00FE39D0" w:rsidRDefault="001B651C" w:rsidP="00BE4EEC">
      <w:pPr>
        <w:spacing w:after="0" w:line="360" w:lineRule="auto"/>
        <w:jc w:val="both"/>
        <w:rPr>
          <w:rFonts w:ascii="Palatino Linotype" w:hAnsi="Palatino Linotype" w:cs="Times New Roman"/>
          <w:bCs/>
        </w:rPr>
      </w:pPr>
      <w:r w:rsidRPr="00FE39D0">
        <w:rPr>
          <w:rFonts w:ascii="Palatino Linotype" w:hAnsi="Palatino Linotype"/>
        </w:rPr>
        <w:t>En ese sentido,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 internacionales de los que el Estado mexicano sea parte, en la Ley General de Transparencia, Acceso a la Información 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68CDB4" w14:textId="77777777" w:rsidR="001B651C" w:rsidRPr="00FE39D0" w:rsidRDefault="001B651C" w:rsidP="00BE4EEC">
      <w:pPr>
        <w:spacing w:after="0" w:line="360" w:lineRule="auto"/>
        <w:jc w:val="both"/>
        <w:rPr>
          <w:rFonts w:ascii="Palatino Linotype" w:hAnsi="Palatino Linotype" w:cs="Times New Roman"/>
          <w:bCs/>
        </w:rPr>
      </w:pPr>
    </w:p>
    <w:p w14:paraId="365B753C" w14:textId="5975C0E3" w:rsidR="001B651C" w:rsidRPr="00FE39D0" w:rsidRDefault="001B651C" w:rsidP="00BE4EEC">
      <w:pPr>
        <w:spacing w:after="0" w:line="360" w:lineRule="auto"/>
        <w:jc w:val="both"/>
        <w:rPr>
          <w:rFonts w:ascii="Palatino Linotype" w:hAnsi="Palatino Linotype"/>
        </w:rPr>
      </w:pPr>
      <w:r w:rsidRPr="00FE39D0">
        <w:rPr>
          <w:rFonts w:ascii="Palatino Linotype" w:hAnsi="Palatino Linotype"/>
        </w:rPr>
        <w:t>Conforme a lo anterior, consideramos que se debió haber ordenado la entrega de la conciliación de nómina, toda vez que los informes trimestrales obran dentro de los archivos del Sujeto Obligado, además son los documentos que dan cuenta del cumplimiento de las obligaciones de transparencia y rendición de cuentas, por lo que resulta importante tener acceso a los documentos que el Ayuntamiento de Ixtlahuaca entrega al Órgano Superior de Fiscalización.</w:t>
      </w:r>
    </w:p>
    <w:p w14:paraId="60ADB54F" w14:textId="77777777" w:rsidR="001B651C" w:rsidRPr="00FE39D0" w:rsidRDefault="001B651C" w:rsidP="00BE4EEC">
      <w:pPr>
        <w:spacing w:after="0" w:line="360" w:lineRule="auto"/>
        <w:jc w:val="both"/>
        <w:rPr>
          <w:rFonts w:ascii="Palatino Linotype" w:hAnsi="Palatino Linotype"/>
        </w:rPr>
      </w:pPr>
    </w:p>
    <w:p w14:paraId="544B129B" w14:textId="3A10562A" w:rsidR="001B651C" w:rsidRPr="00FE39D0" w:rsidRDefault="001B651C" w:rsidP="00BE4EEC">
      <w:pPr>
        <w:spacing w:after="0" w:line="360" w:lineRule="auto"/>
        <w:jc w:val="both"/>
        <w:rPr>
          <w:rFonts w:ascii="Palatino Linotype" w:hAnsi="Palatino Linotype" w:cs="Times New Roman"/>
          <w:bCs/>
        </w:rPr>
      </w:pPr>
      <w:r w:rsidRPr="00FE39D0">
        <w:rPr>
          <w:rFonts w:ascii="Palatino Linotype" w:hAnsi="Palatino Linotype"/>
        </w:rPr>
        <w:t xml:space="preserve">Robustece lo anterior, la nota periodística denominada “El Infoem firmó convenio interinstitucional con el OSFEM” del cinco de julio de dos mil veintidós, consultable en </w:t>
      </w:r>
      <w:hyperlink r:id="rId6" w:history="1">
        <w:r w:rsidRPr="00FE39D0">
          <w:rPr>
            <w:rStyle w:val="Hipervnculo"/>
            <w:rFonts w:ascii="Palatino Linotype" w:hAnsi="Palatino Linotype"/>
          </w:rPr>
          <w:t>https://www.infoem.org.mx/es/contenido/noticias/el-infoem-firm%C3%B3-conveniointerinstitucional-con-el-osfem</w:t>
        </w:r>
      </w:hyperlink>
      <w:r w:rsidRPr="00FE39D0">
        <w:rPr>
          <w:rFonts w:ascii="Palatino Linotype" w:hAnsi="Palatino Linotype"/>
        </w:rPr>
        <w:t>, por medio de la cual se señala la revisión y análisis entre la posible disparidad o incongruencia de la información que las instituciones publican en sus portales de transparencia, a través del Sistema de Información Pública de Oficio Mexiquense (Ipomex) y aquella que reportan al Órgano Superior de Fiscalización, con el fin de iniciar de manera más eficiente, los procedimientos de responsabilidad administrativa que puedan existir y disminuir los índices de corrupción en servicio estatal y municipal.</w:t>
      </w:r>
    </w:p>
    <w:p w14:paraId="15466344" w14:textId="77777777" w:rsidR="006768BC" w:rsidRPr="00FE39D0" w:rsidRDefault="006768BC" w:rsidP="00BE4EEC">
      <w:pPr>
        <w:tabs>
          <w:tab w:val="left" w:pos="1843"/>
        </w:tabs>
        <w:spacing w:after="0" w:line="360" w:lineRule="auto"/>
        <w:jc w:val="both"/>
        <w:rPr>
          <w:rFonts w:ascii="Palatino Linotype" w:eastAsia="Palatino Linotype" w:hAnsi="Palatino Linotype" w:cs="Palatino Linotype"/>
        </w:rPr>
      </w:pPr>
    </w:p>
    <w:p w14:paraId="4E5AD650" w14:textId="4EA53287" w:rsidR="003D12B5" w:rsidRPr="00FE39D0" w:rsidRDefault="001B651C" w:rsidP="00BE4EEC">
      <w:pPr>
        <w:spacing w:after="0" w:line="360" w:lineRule="auto"/>
        <w:jc w:val="both"/>
        <w:rPr>
          <w:rFonts w:ascii="Palatino Linotype" w:hAnsi="Palatino Linotype"/>
        </w:rPr>
      </w:pPr>
      <w:r w:rsidRPr="00FE39D0">
        <w:rPr>
          <w:rFonts w:ascii="Palatino Linotype" w:hAnsi="Palatino Linotype"/>
        </w:rPr>
        <w:t xml:space="preserve">De lo anterior, se logra vislumbrar el interés legítimo del Particular en acceder a la información tanto en posesión del Ayuntamiento de Ixtlahuaca como la del Órgano Superior de Fiscalización, a fin de verificar el cumplimiento de las obligaciones de transparencia y que permiten a la ciudadanía involucrarse de manera activa en la rendición de cuentas y combate a la corrupción, de tal manera que en el presente caso debió prevalecer el principio de máxima publicidad y ordenar al Órgano Superior de Fiscalización, en versión pública la entrega del Informe Trimestral con la documentación de interés del particular y que satisfacen el derecho de acceso a la información del Recurrente, y no confirmar la </w:t>
      </w:r>
      <w:r w:rsidR="003D12B5" w:rsidRPr="00FE39D0">
        <w:rPr>
          <w:rFonts w:ascii="Palatino Linotype" w:hAnsi="Palatino Linotype"/>
        </w:rPr>
        <w:t>respuesta</w:t>
      </w:r>
      <w:r w:rsidRPr="00FE39D0">
        <w:rPr>
          <w:rFonts w:ascii="Palatino Linotype" w:hAnsi="Palatino Linotype"/>
        </w:rPr>
        <w:t xml:space="preserve"> del Sujeto Obligado.</w:t>
      </w:r>
    </w:p>
    <w:p w14:paraId="625BFAB0" w14:textId="77777777" w:rsidR="003D12B5" w:rsidRPr="00FE39D0" w:rsidRDefault="003D12B5" w:rsidP="00BE4EEC">
      <w:pPr>
        <w:spacing w:after="0" w:line="360" w:lineRule="auto"/>
        <w:jc w:val="both"/>
        <w:rPr>
          <w:rFonts w:ascii="Palatino Linotype" w:hAnsi="Palatino Linotype"/>
        </w:rPr>
      </w:pPr>
    </w:p>
    <w:p w14:paraId="3426DE99" w14:textId="224D7FD8" w:rsidR="00090DE9" w:rsidRPr="00FE39D0" w:rsidRDefault="00090DE9" w:rsidP="00BE4EEC">
      <w:pPr>
        <w:spacing w:after="0" w:line="360" w:lineRule="auto"/>
        <w:jc w:val="both"/>
        <w:rPr>
          <w:rFonts w:ascii="Palatino Linotype" w:eastAsia="Palatino Linotype" w:hAnsi="Palatino Linotype" w:cs="Palatino Linotype"/>
        </w:rPr>
      </w:pPr>
      <w:r w:rsidRPr="00FE39D0">
        <w:rPr>
          <w:rFonts w:ascii="Palatino Linotype" w:eastAsia="Palatino Linotype" w:hAnsi="Palatino Linotype" w:cs="Palatino Linotype"/>
        </w:rPr>
        <w:t xml:space="preserve">Así, con base en los razonamientos expuestos, se emite el Presente </w:t>
      </w:r>
      <w:r w:rsidRPr="00FE39D0">
        <w:rPr>
          <w:rFonts w:ascii="Palatino Linotype" w:eastAsia="Palatino Linotype" w:hAnsi="Palatino Linotype" w:cs="Palatino Linotype"/>
          <w:b/>
        </w:rPr>
        <w:t>Voto Disidente.</w:t>
      </w:r>
      <w:r w:rsidRPr="00FE39D0">
        <w:rPr>
          <w:rFonts w:ascii="Palatino Linotype" w:eastAsia="Palatino Linotype" w:hAnsi="Palatino Linotype" w:cs="Palatino Linotype"/>
        </w:rPr>
        <w:t xml:space="preserve"> ----------------------------------------------------------------------------------------------------------------------------------</w:t>
      </w:r>
    </w:p>
    <w:p w14:paraId="52365D76" w14:textId="77777777" w:rsidR="00090DE9" w:rsidRPr="00FE39D0" w:rsidRDefault="00090DE9" w:rsidP="00BE4EEC">
      <w:pPr>
        <w:spacing w:after="0" w:line="360" w:lineRule="auto"/>
        <w:jc w:val="both"/>
        <w:rPr>
          <w:rFonts w:ascii="Palatino Linotype" w:eastAsia="Palatino Linotype" w:hAnsi="Palatino Linotype" w:cs="Palatino Linotype"/>
        </w:rPr>
      </w:pPr>
    </w:p>
    <w:p w14:paraId="0AAC5575" w14:textId="77777777" w:rsidR="00090DE9" w:rsidRPr="00FE39D0" w:rsidRDefault="00090DE9" w:rsidP="00BE4EEC">
      <w:pPr>
        <w:jc w:val="both"/>
        <w:rPr>
          <w:rFonts w:ascii="Palatino Linotype" w:eastAsia="Palatino Linotype" w:hAnsi="Palatino Linotype" w:cs="Palatino Linotype"/>
        </w:rPr>
      </w:pPr>
    </w:p>
    <w:p w14:paraId="105717F6" w14:textId="77777777" w:rsidR="00090DE9" w:rsidRPr="00FE39D0" w:rsidRDefault="00090DE9" w:rsidP="00BE4EEC">
      <w:pPr>
        <w:jc w:val="both"/>
        <w:rPr>
          <w:rFonts w:ascii="Palatino Linotype" w:hAnsi="Palatino Linotype"/>
        </w:rPr>
      </w:pPr>
    </w:p>
    <w:p w14:paraId="783F0384" w14:textId="77777777" w:rsidR="00090DE9" w:rsidRPr="00FE39D0" w:rsidRDefault="00090DE9" w:rsidP="00BE4EEC">
      <w:pPr>
        <w:jc w:val="both"/>
        <w:rPr>
          <w:rFonts w:ascii="Palatino Linotype" w:hAnsi="Palatino Linotype"/>
        </w:rPr>
      </w:pPr>
    </w:p>
    <w:p w14:paraId="2476E647" w14:textId="77777777" w:rsidR="00090DE9" w:rsidRPr="00FE39D0" w:rsidRDefault="00090DE9" w:rsidP="00BE4EEC">
      <w:pPr>
        <w:jc w:val="both"/>
        <w:rPr>
          <w:rFonts w:ascii="Palatino Linotype" w:hAnsi="Palatino Linotype"/>
        </w:rPr>
      </w:pPr>
    </w:p>
    <w:p w14:paraId="7AA92268" w14:textId="77777777" w:rsidR="00CE7148" w:rsidRPr="00FE39D0" w:rsidRDefault="00CE7148" w:rsidP="00BE4EEC">
      <w:pPr>
        <w:jc w:val="both"/>
        <w:rPr>
          <w:rFonts w:ascii="Palatino Linotype" w:hAnsi="Palatino Linotype"/>
        </w:rPr>
      </w:pPr>
    </w:p>
    <w:p w14:paraId="465735B6" w14:textId="77777777" w:rsidR="003D12B5" w:rsidRPr="00FE39D0" w:rsidRDefault="003D12B5" w:rsidP="003D12B5">
      <w:pPr>
        <w:rPr>
          <w:rFonts w:ascii="Palatino Linotype" w:hAnsi="Palatino Linotype"/>
        </w:rPr>
      </w:pPr>
    </w:p>
    <w:p w14:paraId="12A28394" w14:textId="77777777" w:rsidR="003D12B5" w:rsidRPr="00FE39D0" w:rsidRDefault="003D12B5" w:rsidP="003D12B5">
      <w:pPr>
        <w:rPr>
          <w:rFonts w:ascii="Palatino Linotype" w:hAnsi="Palatino Linotype"/>
        </w:rPr>
      </w:pPr>
    </w:p>
    <w:p w14:paraId="7F605E35" w14:textId="77777777" w:rsidR="003D12B5" w:rsidRPr="00FE39D0" w:rsidRDefault="003D12B5" w:rsidP="003D12B5">
      <w:pPr>
        <w:rPr>
          <w:rFonts w:ascii="Palatino Linotype" w:hAnsi="Palatino Linotype"/>
        </w:rPr>
      </w:pPr>
    </w:p>
    <w:p w14:paraId="55FD475B" w14:textId="77777777" w:rsidR="003D12B5" w:rsidRPr="00FE39D0" w:rsidRDefault="003D12B5" w:rsidP="003D12B5">
      <w:pPr>
        <w:rPr>
          <w:rFonts w:ascii="Palatino Linotype" w:hAnsi="Palatino Linotype"/>
        </w:rPr>
      </w:pPr>
    </w:p>
    <w:p w14:paraId="5DB1A663" w14:textId="77777777" w:rsidR="003D12B5" w:rsidRPr="00FE39D0" w:rsidRDefault="003D12B5" w:rsidP="003D12B5">
      <w:pPr>
        <w:rPr>
          <w:rFonts w:ascii="Palatino Linotype" w:hAnsi="Palatino Linotype"/>
        </w:rPr>
      </w:pPr>
    </w:p>
    <w:p w14:paraId="2517B8A9" w14:textId="77777777" w:rsidR="003D12B5" w:rsidRPr="00FE39D0" w:rsidRDefault="003D12B5" w:rsidP="003D12B5">
      <w:pPr>
        <w:rPr>
          <w:rFonts w:ascii="Palatino Linotype" w:hAnsi="Palatino Linotype"/>
        </w:rPr>
      </w:pPr>
    </w:p>
    <w:p w14:paraId="0B64CB22" w14:textId="77777777" w:rsidR="003D12B5" w:rsidRPr="00FE39D0" w:rsidRDefault="003D12B5" w:rsidP="003D12B5">
      <w:pPr>
        <w:rPr>
          <w:rFonts w:ascii="Palatino Linotype" w:hAnsi="Palatino Linotype"/>
        </w:rPr>
      </w:pPr>
    </w:p>
    <w:p w14:paraId="663D9362" w14:textId="77777777" w:rsidR="003D12B5" w:rsidRPr="00FE39D0" w:rsidRDefault="003D12B5" w:rsidP="003D12B5">
      <w:pPr>
        <w:rPr>
          <w:rFonts w:ascii="Palatino Linotype" w:hAnsi="Palatino Linotype"/>
        </w:rPr>
      </w:pPr>
    </w:p>
    <w:p w14:paraId="76AF6A0D" w14:textId="77777777" w:rsidR="003D12B5" w:rsidRPr="00FE39D0" w:rsidRDefault="003D12B5" w:rsidP="003D12B5">
      <w:pPr>
        <w:rPr>
          <w:rFonts w:ascii="Palatino Linotype" w:hAnsi="Palatino Linotype"/>
        </w:rPr>
      </w:pPr>
    </w:p>
    <w:p w14:paraId="6DC5E26F" w14:textId="77777777" w:rsidR="003D12B5" w:rsidRPr="00FE39D0" w:rsidRDefault="003D12B5" w:rsidP="003D12B5">
      <w:pPr>
        <w:rPr>
          <w:rFonts w:ascii="Palatino Linotype" w:hAnsi="Palatino Linotype"/>
        </w:rPr>
      </w:pPr>
    </w:p>
    <w:p w14:paraId="3C7AAECB" w14:textId="77777777" w:rsidR="003D12B5" w:rsidRPr="00FE39D0" w:rsidRDefault="003D12B5" w:rsidP="003D12B5">
      <w:pPr>
        <w:rPr>
          <w:rFonts w:ascii="Palatino Linotype" w:hAnsi="Palatino Linotype"/>
        </w:rPr>
      </w:pPr>
    </w:p>
    <w:sectPr w:rsidR="003D12B5" w:rsidRPr="00FE39D0" w:rsidSect="00FF7452">
      <w:headerReference w:type="even" r:id="rId7"/>
      <w:headerReference w:type="default" r:id="rId8"/>
      <w:footerReference w:type="default" r:id="rId9"/>
      <w:headerReference w:type="first" r:id="rId10"/>
      <w:pgSz w:w="12240" w:h="15840"/>
      <w:pgMar w:top="284" w:right="1701" w:bottom="1417" w:left="1701" w:header="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7001E" w14:textId="77777777" w:rsidR="00102C76" w:rsidRDefault="00102C76" w:rsidP="00090DE9">
      <w:pPr>
        <w:spacing w:after="0" w:line="240" w:lineRule="auto"/>
      </w:pPr>
      <w:r>
        <w:separator/>
      </w:r>
    </w:p>
  </w:endnote>
  <w:endnote w:type="continuationSeparator" w:id="0">
    <w:p w14:paraId="4F2FC244" w14:textId="77777777" w:rsidR="00102C76" w:rsidRDefault="00102C76" w:rsidP="0009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5D214" w14:textId="77777777" w:rsidR="006768BC" w:rsidRDefault="006768BC">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6196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61964">
      <w:rPr>
        <w:b/>
        <w:noProof/>
        <w:color w:val="000000"/>
        <w:sz w:val="24"/>
        <w:szCs w:val="24"/>
      </w:rPr>
      <w:t>5</w:t>
    </w:r>
    <w:r>
      <w:rPr>
        <w:b/>
        <w:color w:val="000000"/>
        <w:sz w:val="24"/>
        <w:szCs w:val="24"/>
      </w:rPr>
      <w:fldChar w:fldCharType="end"/>
    </w:r>
  </w:p>
  <w:p w14:paraId="66C94AF7" w14:textId="77777777" w:rsidR="006768BC" w:rsidRDefault="006768B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EFB15" w14:textId="77777777" w:rsidR="00102C76" w:rsidRDefault="00102C76" w:rsidP="00090DE9">
      <w:pPr>
        <w:spacing w:after="0" w:line="240" w:lineRule="auto"/>
      </w:pPr>
      <w:r>
        <w:separator/>
      </w:r>
    </w:p>
  </w:footnote>
  <w:footnote w:type="continuationSeparator" w:id="0">
    <w:p w14:paraId="41636345" w14:textId="77777777" w:rsidR="00102C76" w:rsidRDefault="00102C76" w:rsidP="0009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22E6D" w14:textId="77777777" w:rsidR="006768BC" w:rsidRDefault="00102C76">
    <w:pPr>
      <w:pBdr>
        <w:top w:val="nil"/>
        <w:left w:val="nil"/>
        <w:bottom w:val="nil"/>
        <w:right w:val="nil"/>
        <w:between w:val="nil"/>
      </w:pBdr>
      <w:tabs>
        <w:tab w:val="center" w:pos="4252"/>
        <w:tab w:val="right" w:pos="8504"/>
      </w:tabs>
      <w:spacing w:after="0" w:line="240" w:lineRule="auto"/>
      <w:rPr>
        <w:color w:val="000000"/>
      </w:rPr>
    </w:pPr>
    <w:r>
      <w:rPr>
        <w:color w:val="000000"/>
      </w:rPr>
      <w:pict w14:anchorId="006CE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1.8pt;height:81.25pt;rotation:315;z-index:-251659776;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944D8" w14:textId="77777777" w:rsidR="006768BC" w:rsidRDefault="006768BC">
    <w:pPr>
      <w:widowControl w:val="0"/>
      <w:pBdr>
        <w:top w:val="nil"/>
        <w:left w:val="nil"/>
        <w:bottom w:val="nil"/>
        <w:right w:val="nil"/>
        <w:between w:val="nil"/>
      </w:pBdr>
      <w:spacing w:after="0" w:line="276" w:lineRule="auto"/>
      <w:rPr>
        <w:rFonts w:ascii="Palatino Linotype" w:eastAsia="Palatino Linotype" w:hAnsi="Palatino Linotype" w:cs="Palatino Linotype"/>
      </w:rPr>
    </w:pPr>
  </w:p>
  <w:tbl>
    <w:tblPr>
      <w:tblW w:w="8789" w:type="dxa"/>
      <w:tblBorders>
        <w:top w:val="nil"/>
        <w:left w:val="nil"/>
        <w:bottom w:val="nil"/>
        <w:right w:val="nil"/>
        <w:insideH w:val="nil"/>
        <w:insideV w:val="nil"/>
      </w:tblBorders>
      <w:tblLayout w:type="fixed"/>
      <w:tblLook w:val="0400" w:firstRow="0" w:lastRow="0" w:firstColumn="0" w:lastColumn="0" w:noHBand="0" w:noVBand="1"/>
    </w:tblPr>
    <w:tblGrid>
      <w:gridCol w:w="3402"/>
      <w:gridCol w:w="5387"/>
    </w:tblGrid>
    <w:tr w:rsidR="009D5A54" w14:paraId="43DE4390" w14:textId="77777777" w:rsidTr="00A91609">
      <w:trPr>
        <w:trHeight w:val="2219"/>
      </w:trPr>
      <w:tc>
        <w:tcPr>
          <w:tcW w:w="3402" w:type="dxa"/>
          <w:vAlign w:val="bottom"/>
        </w:tcPr>
        <w:p w14:paraId="52C2CEDC" w14:textId="77777777" w:rsidR="006768BC" w:rsidRDefault="006768BC">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lang w:val="es-MX"/>
            </w:rPr>
            <w:drawing>
              <wp:inline distT="0" distB="0" distL="0" distR="0" wp14:anchorId="3A15B553" wp14:editId="6DDA0A8A">
                <wp:extent cx="1873633" cy="112654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p w14:paraId="1686B733" w14:textId="77777777" w:rsidR="006768BC" w:rsidRDefault="006768BC">
          <w:pPr>
            <w:pBdr>
              <w:top w:val="nil"/>
              <w:left w:val="nil"/>
              <w:bottom w:val="nil"/>
              <w:right w:val="nil"/>
              <w:between w:val="nil"/>
            </w:pBdr>
            <w:tabs>
              <w:tab w:val="center" w:pos="4252"/>
              <w:tab w:val="right" w:pos="8504"/>
              <w:tab w:val="center" w:pos="2614"/>
            </w:tabs>
            <w:ind w:left="-255"/>
            <w:rPr>
              <w:color w:val="000000"/>
            </w:rPr>
          </w:pPr>
        </w:p>
      </w:tc>
      <w:tc>
        <w:tcPr>
          <w:tcW w:w="5387" w:type="dxa"/>
          <w:vAlign w:val="center"/>
        </w:tcPr>
        <w:p w14:paraId="492EDADF" w14:textId="77777777" w:rsidR="006768BC" w:rsidRDefault="006768BC" w:rsidP="003C3545">
          <w:pPr>
            <w:pBdr>
              <w:top w:val="nil"/>
              <w:left w:val="nil"/>
              <w:bottom w:val="nil"/>
              <w:right w:val="nil"/>
              <w:between w:val="nil"/>
            </w:pBdr>
            <w:tabs>
              <w:tab w:val="center" w:pos="4252"/>
              <w:tab w:val="right" w:pos="8504"/>
            </w:tabs>
            <w:spacing w:line="240" w:lineRule="auto"/>
            <w:ind w:right="-250"/>
            <w:jc w:val="both"/>
            <w:rPr>
              <w:rFonts w:ascii="Palatino Linotype" w:eastAsia="Palatino Linotype" w:hAnsi="Palatino Linotype" w:cs="Palatino Linotype"/>
              <w:color w:val="000000"/>
            </w:rPr>
          </w:pPr>
        </w:p>
        <w:p w14:paraId="258F7175" w14:textId="77777777" w:rsidR="006768BC" w:rsidRDefault="006768BC" w:rsidP="003C3545">
          <w:pPr>
            <w:pBdr>
              <w:top w:val="nil"/>
              <w:left w:val="nil"/>
              <w:bottom w:val="nil"/>
              <w:right w:val="nil"/>
              <w:between w:val="nil"/>
            </w:pBdr>
            <w:tabs>
              <w:tab w:val="center" w:pos="4252"/>
              <w:tab w:val="right" w:pos="8504"/>
            </w:tabs>
            <w:spacing w:line="240" w:lineRule="auto"/>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Disidente</w:t>
          </w:r>
        </w:p>
        <w:p w14:paraId="0B00642F" w14:textId="73696F5E" w:rsidR="006768BC" w:rsidRDefault="006768BC" w:rsidP="003C3545">
          <w:pPr>
            <w:pBdr>
              <w:top w:val="nil"/>
              <w:left w:val="nil"/>
              <w:bottom w:val="nil"/>
              <w:right w:val="nil"/>
              <w:between w:val="nil"/>
            </w:pBdr>
            <w:tabs>
              <w:tab w:val="center" w:pos="4252"/>
              <w:tab w:val="right" w:pos="8504"/>
            </w:tabs>
            <w:spacing w:line="240" w:lineRule="auto"/>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Recurso de Revisión: </w:t>
          </w:r>
          <w:r w:rsidR="00090DE9">
            <w:rPr>
              <w:rFonts w:ascii="Palatino Linotype" w:eastAsia="Palatino Linotype" w:hAnsi="Palatino Linotype" w:cs="Palatino Linotype"/>
              <w:bCs/>
              <w:color w:val="000000"/>
            </w:rPr>
            <w:t>01780</w:t>
          </w:r>
          <w:r w:rsidRPr="005D1780">
            <w:rPr>
              <w:rFonts w:ascii="Palatino Linotype" w:eastAsia="Palatino Linotype" w:hAnsi="Palatino Linotype" w:cs="Palatino Linotype"/>
              <w:bCs/>
              <w:color w:val="000000"/>
            </w:rPr>
            <w:t>/INFOEM</w:t>
          </w:r>
          <w:r>
            <w:rPr>
              <w:rFonts w:ascii="Palatino Linotype" w:eastAsia="Palatino Linotype" w:hAnsi="Palatino Linotype" w:cs="Palatino Linotype"/>
              <w:color w:val="000000"/>
            </w:rPr>
            <w:t>/IP/RR/202</w:t>
          </w:r>
          <w:r w:rsidR="00090DE9">
            <w:rPr>
              <w:rFonts w:ascii="Palatino Linotype" w:eastAsia="Palatino Linotype" w:hAnsi="Palatino Linotype" w:cs="Palatino Linotype"/>
              <w:color w:val="000000"/>
            </w:rPr>
            <w:t>3</w:t>
          </w:r>
        </w:p>
        <w:p w14:paraId="291007E9" w14:textId="528B787C" w:rsidR="006768BC" w:rsidRDefault="006768BC" w:rsidP="003C3545">
          <w:pPr>
            <w:pBdr>
              <w:top w:val="nil"/>
              <w:left w:val="nil"/>
              <w:bottom w:val="nil"/>
              <w:right w:val="nil"/>
              <w:between w:val="nil"/>
            </w:pBdr>
            <w:tabs>
              <w:tab w:val="center" w:pos="4252"/>
              <w:tab w:val="right" w:pos="8504"/>
            </w:tabs>
            <w:spacing w:line="240" w:lineRule="auto"/>
            <w:ind w:left="-108" w:right="-102"/>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sidR="00090DE9">
            <w:rPr>
              <w:rFonts w:ascii="Palatino Linotype" w:eastAsia="Palatino Linotype" w:hAnsi="Palatino Linotype" w:cs="Palatino Linotype"/>
              <w:color w:val="000000"/>
            </w:rPr>
            <w:t>Poder Legislativo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 </w:t>
          </w:r>
        </w:p>
        <w:p w14:paraId="5E497A1B" w14:textId="78D27470" w:rsidR="006768BC" w:rsidRDefault="006768BC" w:rsidP="003D12B5">
          <w:pPr>
            <w:pBdr>
              <w:top w:val="nil"/>
              <w:left w:val="nil"/>
              <w:bottom w:val="nil"/>
              <w:right w:val="nil"/>
              <w:between w:val="nil"/>
            </w:pBdr>
            <w:tabs>
              <w:tab w:val="center" w:pos="4252"/>
              <w:tab w:val="right" w:pos="8504"/>
            </w:tabs>
            <w:spacing w:line="240" w:lineRule="auto"/>
            <w:ind w:left="-108" w:right="-102"/>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Comisionado Ponente: </w:t>
          </w:r>
          <w:r w:rsidR="00090DE9">
            <w:rPr>
              <w:rFonts w:ascii="Palatino Linotype" w:eastAsia="Palatino Linotype" w:hAnsi="Palatino Linotype" w:cs="Palatino Linotype"/>
              <w:color w:val="000000"/>
            </w:rPr>
            <w:t>José Martínez Vilchis</w:t>
          </w:r>
          <w:r>
            <w:rPr>
              <w:rFonts w:ascii="Palatino Linotype" w:eastAsia="Palatino Linotype" w:hAnsi="Palatino Linotype" w:cs="Palatino Linotype"/>
              <w:color w:val="000000"/>
            </w:rPr>
            <w:t xml:space="preserve"> </w:t>
          </w:r>
        </w:p>
      </w:tc>
    </w:tr>
  </w:tbl>
  <w:p w14:paraId="40D2B86A" w14:textId="77777777" w:rsidR="006768BC" w:rsidRDefault="00102C76">
    <w:pPr>
      <w:pBdr>
        <w:top w:val="nil"/>
        <w:left w:val="nil"/>
        <w:bottom w:val="nil"/>
        <w:right w:val="nil"/>
        <w:between w:val="nil"/>
      </w:pBdr>
      <w:tabs>
        <w:tab w:val="center" w:pos="4252"/>
        <w:tab w:val="right" w:pos="8504"/>
      </w:tabs>
      <w:spacing w:after="0" w:line="240" w:lineRule="auto"/>
      <w:rPr>
        <w:color w:val="000000"/>
        <w:sz w:val="2"/>
        <w:szCs w:val="2"/>
      </w:rPr>
    </w:pPr>
    <w:r>
      <w:rPr>
        <w:color w:val="000000"/>
      </w:rPr>
      <w:pict w14:anchorId="6CE95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41.8pt;height:81.25pt;rotation:315;z-index:-251658752;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7F9C6" w14:textId="77777777" w:rsidR="006768BC" w:rsidRDefault="00102C76">
    <w:pPr>
      <w:pBdr>
        <w:top w:val="nil"/>
        <w:left w:val="nil"/>
        <w:bottom w:val="nil"/>
        <w:right w:val="nil"/>
        <w:between w:val="nil"/>
      </w:pBdr>
      <w:tabs>
        <w:tab w:val="center" w:pos="4252"/>
        <w:tab w:val="right" w:pos="8504"/>
      </w:tabs>
      <w:spacing w:after="0" w:line="240" w:lineRule="auto"/>
      <w:rPr>
        <w:color w:val="000000"/>
      </w:rPr>
    </w:pPr>
    <w:r>
      <w:rPr>
        <w:color w:val="000000"/>
      </w:rPr>
      <w:pict w14:anchorId="4EAD6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541.8pt;height:81.25pt;rotation:315;z-index:-251657728;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E9"/>
    <w:rsid w:val="00090DE9"/>
    <w:rsid w:val="00102C76"/>
    <w:rsid w:val="00112AF4"/>
    <w:rsid w:val="00146AC1"/>
    <w:rsid w:val="00161964"/>
    <w:rsid w:val="001B651C"/>
    <w:rsid w:val="00227A3A"/>
    <w:rsid w:val="00264675"/>
    <w:rsid w:val="003D12B5"/>
    <w:rsid w:val="004C58C5"/>
    <w:rsid w:val="006768BC"/>
    <w:rsid w:val="00963182"/>
    <w:rsid w:val="00BE4EEC"/>
    <w:rsid w:val="00C171E7"/>
    <w:rsid w:val="00CE7148"/>
    <w:rsid w:val="00FE39D0"/>
    <w:rsid w:val="00FF74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91042"/>
  <w15:chartTrackingRefBased/>
  <w15:docId w15:val="{E2768908-B203-4192-89A1-C2FEDB16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DE9"/>
    <w:rPr>
      <w:rFonts w:ascii="Calibri" w:eastAsia="Calibri" w:hAnsi="Calibri" w:cs="Calibri"/>
      <w:kern w:val="0"/>
      <w:lang w:val="es-ES"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90D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0DE9"/>
    <w:rPr>
      <w:rFonts w:ascii="Calibri" w:eastAsia="Calibri" w:hAnsi="Calibri" w:cs="Calibri"/>
      <w:kern w:val="0"/>
      <w:lang w:val="es-ES" w:eastAsia="es-MX"/>
      <w14:ligatures w14:val="none"/>
    </w:rPr>
  </w:style>
  <w:style w:type="character" w:styleId="Hipervnculo">
    <w:name w:val="Hyperlink"/>
    <w:basedOn w:val="Fuentedeprrafopredeter"/>
    <w:uiPriority w:val="99"/>
    <w:unhideWhenUsed/>
    <w:rsid w:val="001B651C"/>
    <w:rPr>
      <w:color w:val="0563C1" w:themeColor="hyperlink"/>
      <w:u w:val="single"/>
    </w:rPr>
  </w:style>
  <w:style w:type="character" w:customStyle="1" w:styleId="UnresolvedMention">
    <w:name w:val="Unresolved Mention"/>
    <w:basedOn w:val="Fuentedeprrafopredeter"/>
    <w:uiPriority w:val="99"/>
    <w:semiHidden/>
    <w:unhideWhenUsed/>
    <w:rsid w:val="001B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foem.org.mx/es/contenido/noticias/el-infoem-firm%C3%B3-conveniointerinstitucional-con-el-osfe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6105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2</cp:revision>
  <dcterms:created xsi:type="dcterms:W3CDTF">2023-09-04T15:59:00Z</dcterms:created>
  <dcterms:modified xsi:type="dcterms:W3CDTF">2023-09-04T15:59:00Z</dcterms:modified>
</cp:coreProperties>
</file>