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47" w:rsidRDefault="006E2533">
      <w:pPr>
        <w:spacing w:before="240" w:after="240" w:line="360" w:lineRule="auto"/>
        <w:ind w:right="139"/>
        <w:jc w:val="both"/>
        <w:rPr>
          <w:rFonts w:ascii="Palatino Linotype" w:eastAsia="Palatino Linotype" w:hAnsi="Palatino Linotype" w:cs="Palatino Linotype"/>
          <w:b/>
        </w:rPr>
      </w:pPr>
      <w:bookmarkStart w:id="0" w:name="_heading=h.30j0zll" w:colFirst="0" w:colLast="0"/>
      <w:bookmarkEnd w:id="0"/>
      <w:r>
        <w:rPr>
          <w:rFonts w:ascii="Palatino Linotype" w:eastAsia="Palatino Linotype" w:hAnsi="Palatino Linotype" w:cs="Palatino Linotype"/>
          <w:b/>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w:t>
      </w:r>
      <w:r w:rsidR="004E1E0D">
        <w:rPr>
          <w:rFonts w:ascii="Palatino Linotype" w:eastAsia="Palatino Linotype" w:hAnsi="Palatino Linotype" w:cs="Palatino Linotype"/>
          <w:b/>
        </w:rPr>
        <w:t xml:space="preserve">TRIGÉSIMA TERCERA </w:t>
      </w:r>
      <w:r>
        <w:rPr>
          <w:rFonts w:ascii="Palatino Linotype" w:eastAsia="Palatino Linotype" w:hAnsi="Palatino Linotype" w:cs="Palatino Linotype"/>
          <w:b/>
        </w:rPr>
        <w:t>SESIÓN</w:t>
      </w:r>
      <w:r>
        <w:rPr>
          <w:rFonts w:ascii="Palatino Linotype" w:eastAsia="Palatino Linotype" w:hAnsi="Palatino Linotype" w:cs="Palatino Linotype"/>
          <w:b/>
          <w:color w:val="FF0000"/>
        </w:rPr>
        <w:t xml:space="preserve"> </w:t>
      </w:r>
      <w:r w:rsidR="004E1E0D">
        <w:rPr>
          <w:rFonts w:ascii="Palatino Linotype" w:eastAsia="Palatino Linotype" w:hAnsi="Palatino Linotype" w:cs="Palatino Linotype"/>
          <w:b/>
        </w:rPr>
        <w:t>ORDINARIA CELEBRADA EL TRECE DE SEPTIEMBRE</w:t>
      </w:r>
      <w:r>
        <w:rPr>
          <w:rFonts w:ascii="Palatino Linotype" w:eastAsia="Palatino Linotype" w:hAnsi="Palatino Linotype" w:cs="Palatino Linotype"/>
          <w:b/>
        </w:rPr>
        <w:t xml:space="preserve"> DE DOS MIL VEINTITRÉS,</w:t>
      </w:r>
      <w:r w:rsidR="004E1E0D">
        <w:rPr>
          <w:rFonts w:ascii="Palatino Linotype" w:eastAsia="Palatino Linotype" w:hAnsi="Palatino Linotype" w:cs="Palatino Linotype"/>
          <w:b/>
        </w:rPr>
        <w:t xml:space="preserve"> EN EL RECURSO DE REVISIÓN 00375</w:t>
      </w:r>
      <w:r>
        <w:rPr>
          <w:rFonts w:ascii="Palatino Linotype" w:eastAsia="Palatino Linotype" w:hAnsi="Palatino Linotype" w:cs="Palatino Linotype"/>
          <w:b/>
        </w:rPr>
        <w:t>/INFOEM/IP/RR/2023.</w:t>
      </w:r>
    </w:p>
    <w:p w:rsidR="00163947" w:rsidRDefault="006E2533">
      <w:pPr>
        <w:spacing w:before="240" w:after="240" w:line="360" w:lineRule="auto"/>
        <w:ind w:right="139"/>
        <w:jc w:val="both"/>
        <w:rPr>
          <w:rFonts w:ascii="Palatino Linotype" w:eastAsia="Palatino Linotype" w:hAnsi="Palatino Linotype" w:cs="Palatino Linotype"/>
          <w:b/>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y Municipios, la que suscribe, Guadalupe Ramírez Peña, emite </w:t>
      </w:r>
      <w:r>
        <w:rPr>
          <w:rFonts w:ascii="Palatino Linotype" w:eastAsia="Palatino Linotype" w:hAnsi="Palatino Linotype" w:cs="Palatino Linotype"/>
          <w:b/>
        </w:rPr>
        <w:t>VOTO DISIDENTE</w:t>
      </w:r>
      <w:r>
        <w:rPr>
          <w:rFonts w:ascii="Palatino Linotype" w:eastAsia="Palatino Linotype" w:hAnsi="Palatino Linotype" w:cs="Palatino Linotype"/>
        </w:rPr>
        <w:t xml:space="preserve"> respecto a la resolución dictada en el recurso de revisión número </w:t>
      </w:r>
      <w:r w:rsidR="004E1E0D">
        <w:rPr>
          <w:rFonts w:ascii="Palatino Linotype" w:eastAsia="Palatino Linotype" w:hAnsi="Palatino Linotype" w:cs="Palatino Linotype"/>
          <w:b/>
        </w:rPr>
        <w:t>00375</w:t>
      </w:r>
      <w:r>
        <w:rPr>
          <w:rFonts w:ascii="Palatino Linotype" w:eastAsia="Palatino Linotype" w:hAnsi="Palatino Linotype" w:cs="Palatino Linotype"/>
          <w:b/>
        </w:rPr>
        <w:t>/INFOEM/IP/RR/2023</w:t>
      </w:r>
      <w:r>
        <w:rPr>
          <w:rFonts w:ascii="Palatino Linotype" w:eastAsia="Palatino Linotype" w:hAnsi="Palatino Linotype" w:cs="Palatino Linotype"/>
        </w:rPr>
        <w:t xml:space="preserve">, pronunciada por el Pleno de este Instituto, ante el proyecto presentado por el Comisionado José Martínez Vilchis, al tenor siguiente: </w:t>
      </w:r>
    </w:p>
    <w:p w:rsidR="00163947" w:rsidRDefault="006E2533">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b/>
        </w:rPr>
        <w:t>I. Antecedentes.</w:t>
      </w:r>
    </w:p>
    <w:p w:rsidR="00163947" w:rsidRDefault="006E2533">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Como quedó debidamente asentado en la resolución, materia del presente voto disidente, la persona solicitante requirió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conocer la siguiente información:</w:t>
      </w:r>
    </w:p>
    <w:p w:rsidR="00163947" w:rsidRDefault="006E2533">
      <w:pPr>
        <w:spacing w:after="0" w:line="240" w:lineRule="auto"/>
        <w:ind w:left="570" w:right="48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sidR="004E1E0D" w:rsidRPr="004E1E0D">
        <w:rPr>
          <w:rFonts w:ascii="Palatino Linotype" w:eastAsia="Palatino Linotype" w:hAnsi="Palatino Linotype" w:cs="Palatino Linotype"/>
          <w:i/>
          <w:sz w:val="20"/>
          <w:szCs w:val="20"/>
        </w:rPr>
        <w:t>DIRECTORIO DE LAS INSITUTICIONES DE LAS DEPENDENCIAS DESENTRALIZADAS Y CENTRALIZADAS DE LA ADMINISTRACIÓN PUBLICA MUNIPAL DE TECÁMAC, CON DOMICILIOS Y NOMBRES DE ENCARGADOS DE AREA UBICADOS EN TODO EL TERRITORIO MUNICIPAL</w:t>
      </w:r>
      <w:r>
        <w:rPr>
          <w:rFonts w:ascii="Palatino Linotype" w:eastAsia="Palatino Linotype" w:hAnsi="Palatino Linotype" w:cs="Palatino Linotype"/>
          <w:i/>
          <w:sz w:val="20"/>
          <w:szCs w:val="20"/>
        </w:rPr>
        <w:t>” (Sic).</w:t>
      </w:r>
    </w:p>
    <w:p w:rsidR="00163947" w:rsidRDefault="00163947">
      <w:pPr>
        <w:spacing w:after="0" w:line="240" w:lineRule="auto"/>
        <w:ind w:left="567" w:right="476"/>
        <w:jc w:val="both"/>
        <w:rPr>
          <w:rFonts w:ascii="Palatino Linotype" w:eastAsia="Palatino Linotype" w:hAnsi="Palatino Linotype" w:cs="Palatino Linotype"/>
          <w:i/>
          <w:sz w:val="20"/>
          <w:szCs w:val="20"/>
        </w:rPr>
      </w:pPr>
    </w:p>
    <w:p w:rsidR="00D72770" w:rsidRDefault="006E2533" w:rsidP="00D72770">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sidR="00D72770">
        <w:rPr>
          <w:rFonts w:ascii="Palatino Linotype" w:eastAsia="Palatino Linotype" w:hAnsi="Palatino Linotype" w:cs="Palatino Linotype"/>
          <w:color w:val="000000"/>
        </w:rPr>
        <w:t xml:space="preserve"> en respuesta señaló </w:t>
      </w:r>
      <w:r w:rsidR="00D72770" w:rsidRPr="00D72770">
        <w:rPr>
          <w:rFonts w:ascii="Palatino Linotype" w:eastAsia="Palatino Linotype" w:hAnsi="Palatino Linotype" w:cs="Palatino Linotype"/>
          <w:color w:val="000000"/>
        </w:rPr>
        <w:t xml:space="preserve">sobre el “Directorio de las instituciones de las dependencias Descentralizadas y Centralizadas en la Administración Pública Municipal de </w:t>
      </w:r>
      <w:r w:rsidR="00D72770" w:rsidRPr="00D72770">
        <w:rPr>
          <w:rFonts w:ascii="Palatino Linotype" w:eastAsia="Palatino Linotype" w:hAnsi="Palatino Linotype" w:cs="Palatino Linotype"/>
          <w:color w:val="000000"/>
        </w:rPr>
        <w:lastRenderedPageBreak/>
        <w:t>Tecámac”. (sic), le informo que dicha información la puede consultar en la página del Sistema de Información Pública de Oficio Mexiquense (IPOMEX) a través del siguiente enlace:</w:t>
      </w:r>
    </w:p>
    <w:p w:rsidR="00D72770" w:rsidRPr="00D72770" w:rsidRDefault="00D72770" w:rsidP="00D72770">
      <w:pPr>
        <w:spacing w:line="360" w:lineRule="auto"/>
        <w:contextualSpacing/>
        <w:jc w:val="both"/>
        <w:rPr>
          <w:rFonts w:ascii="Palatino Linotype" w:eastAsia="Palatino Linotype" w:hAnsi="Palatino Linotype" w:cs="Palatino Linotype"/>
          <w:color w:val="000000"/>
        </w:rPr>
      </w:pPr>
    </w:p>
    <w:bookmarkStart w:id="1" w:name="_Hlk132835479"/>
    <w:p w:rsidR="00D72770" w:rsidRDefault="00D72770" w:rsidP="00D72770">
      <w:pPr>
        <w:spacing w:after="0" w:line="360" w:lineRule="auto"/>
        <w:jc w:val="both"/>
        <w:rPr>
          <w:rFonts w:ascii="Palatino Linotype" w:eastAsia="Palatino Linotype" w:hAnsi="Palatino Linotype" w:cs="Palatino Linotype"/>
          <w:color w:val="000000"/>
        </w:rPr>
      </w:pPr>
      <w:r w:rsidRPr="00D72770">
        <w:rPr>
          <w:rFonts w:ascii="Palatino Linotype" w:eastAsia="Palatino Linotype" w:hAnsi="Palatino Linotype" w:cs="Palatino Linotype"/>
          <w:color w:val="000000"/>
        </w:rPr>
        <w:fldChar w:fldCharType="begin"/>
      </w:r>
      <w:r w:rsidRPr="00D72770">
        <w:rPr>
          <w:rFonts w:ascii="Palatino Linotype" w:eastAsia="Palatino Linotype" w:hAnsi="Palatino Linotype" w:cs="Palatino Linotype"/>
          <w:color w:val="000000"/>
        </w:rPr>
        <w:instrText xml:space="preserve"> HYPERLINK "https://www.ipomex.org.mx/ipo3/lgt/indice/TECAMAC/art_92_vii.web?token=03AEkXODBocGw_y_wlZB_D4ptj0dhzxyeRv_xsFEPjcSUbnTAfl2zoVsTuPlxDz3OFy9ldvA7DoPW2uGpO5R54JybYdvhKOpWpOCFm8l3Ea-QObqC8Ygnl33hCEvKstY9dk5ycVfJOgFlvEYLFpJF91vUJSa4kmVlC6r8CMr9lVJv93d5_2T4HBdDx0fGPJN566pWvEN8k4QQ_RfQlJuFClpa64wT4BuCelKk4RE83oETzVzlt9aFMF6mTEcqW8gRPEUal7yfp3PKDXy5er0PiTyUp8noHkZT8mdDR-EzLfEfU_Eqzdi4lF8Glsq3nHyBSfGk8xt1a_dmCs6AoeftFTJx5bHjMq2ZgkUML7CJPeknkODose3w20flkdFLfvq8CeighwOwQGz_yGtA7l9PW7EVruPkWKN_BnDP4S4xvnvN2G-h3RrPVInWR3ErrQAKkxYMljn3s2twvjCXs6B-OW6xRX-ue6eHLqcJyoRSuaDzEcNiiNyecFdbZN1ka7u-UsoEAiLKWeygM#" </w:instrText>
      </w:r>
      <w:r w:rsidRPr="00D72770">
        <w:rPr>
          <w:rFonts w:ascii="Palatino Linotype" w:eastAsia="Palatino Linotype" w:hAnsi="Palatino Linotype" w:cs="Palatino Linotype"/>
          <w:color w:val="000000"/>
        </w:rPr>
        <w:fldChar w:fldCharType="separate"/>
      </w:r>
      <w:r w:rsidRPr="00D72770">
        <w:rPr>
          <w:rFonts w:ascii="Palatino Linotype" w:eastAsia="Palatino Linotype" w:hAnsi="Palatino Linotype" w:cs="Palatino Linotype"/>
          <w:color w:val="000000"/>
        </w:rPr>
        <w:t>https://www.ipomex.org.mx/ipo3/lgt/indice/TECAMAC/art_92_vii.web?token=03AEkXODBocGw_y_wlZB_D4ptj0dhzxyeRv_xsFEPjcSUbnTAfl2zoVsTuPlxDz3OFy9ldvA7DoPW2uGpO5R54JybYdvhKOpWpOCFm8l3Ea-QObqC8Ygnl33hCEvKstY9dk5ycVfJOgFlvEYLFpJF91vUJSa4kmVlC6r8CMr9lVJv93d5_2T4HBdDx0fGPJN566pWvEN8k4QQ_RfQlJuFClpa64wT4BuCelKk4RE83oETzVzlt9aFMF6mTEcqW8gRPEUal7yfp3PKDXy5er0PiTyUp8noHkZT8mdDR-EzLfEfU_Eqzdi4lF8Glsq3nHyBSfGk8xt1a_dmCs6AoeftFTJx5bHjMq2ZgkUML7CJPeknkODose3w20flkdFLfvq8CeighwOwQGz_yGtA7l9PW7EVruPkWKN_BnDP4S4xvnvN2G-</w:t>
      </w:r>
      <w:bookmarkEnd w:id="1"/>
      <w:r w:rsidRPr="00D72770">
        <w:rPr>
          <w:rFonts w:ascii="Palatino Linotype" w:eastAsia="Palatino Linotype" w:hAnsi="Palatino Linotype" w:cs="Palatino Linotype"/>
          <w:color w:val="000000"/>
        </w:rPr>
        <w:t>h3RrPVInWR3ErrQAKkxYMljn3s2twvjCXs6B-OW6xRX-ue6eHLqcJyoRSuaDzEcNiiNyecFdbZN1ka7u-UsoEAiLKWeygM#</w:t>
      </w:r>
      <w:r w:rsidRPr="00D72770">
        <w:rPr>
          <w:rFonts w:ascii="Palatino Linotype" w:eastAsia="Palatino Linotype" w:hAnsi="Palatino Linotype" w:cs="Palatino Linotype"/>
          <w:color w:val="000000"/>
        </w:rPr>
        <w:fldChar w:fldCharType="end"/>
      </w:r>
    </w:p>
    <w:p w:rsidR="00163947" w:rsidRDefault="00163947">
      <w:pPr>
        <w:spacing w:after="0" w:line="360" w:lineRule="auto"/>
        <w:jc w:val="both"/>
        <w:rPr>
          <w:rFonts w:ascii="Palatino Linotype" w:eastAsia="Palatino Linotype" w:hAnsi="Palatino Linotype" w:cs="Palatino Linotype"/>
        </w:rPr>
      </w:pPr>
    </w:p>
    <w:p w:rsidR="00163947" w:rsidRDefault="006E2533">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sidR="00D72770">
        <w:rPr>
          <w:rFonts w:ascii="Palatino Linotype" w:eastAsia="Palatino Linotype" w:hAnsi="Palatino Linotype" w:cs="Palatino Linotype"/>
          <w:b/>
        </w:rPr>
        <w:t>Recurrente</w:t>
      </w:r>
      <w:r w:rsidR="00D72770">
        <w:rPr>
          <w:rFonts w:ascii="Palatino Linotype" w:eastAsia="Palatino Linotype" w:hAnsi="Palatino Linotype" w:cs="Palatino Linotype"/>
        </w:rPr>
        <w:t xml:space="preserve"> se inconformó porque no se le entregó la información completa. </w:t>
      </w:r>
    </w:p>
    <w:p w:rsidR="00163947" w:rsidRDefault="00163947">
      <w:pPr>
        <w:spacing w:after="0" w:line="360" w:lineRule="auto"/>
        <w:ind w:right="49"/>
        <w:jc w:val="both"/>
        <w:rPr>
          <w:rFonts w:ascii="Palatino Linotype" w:eastAsia="Palatino Linotype" w:hAnsi="Palatino Linotype" w:cs="Palatino Linotype"/>
        </w:rPr>
      </w:pPr>
    </w:p>
    <w:p w:rsidR="00163947" w:rsidRDefault="006E2533">
      <w:pPr>
        <w:pBdr>
          <w:top w:val="nil"/>
          <w:left w:val="nil"/>
          <w:bottom w:val="nil"/>
          <w:right w:val="nil"/>
          <w:between w:val="nil"/>
        </w:pBdr>
        <w:spacing w:before="8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Admitido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w:t>
      </w:r>
      <w:r>
        <w:rPr>
          <w:rFonts w:ascii="Palatino Linotype" w:eastAsia="Palatino Linotype" w:hAnsi="Palatino Linotype" w:cs="Palatino Linotype"/>
        </w:rPr>
        <w:lastRenderedPageBreak/>
        <w:t xml:space="preserve">de siete días hábiles, manifestaran lo que a su derecho resultara conveniente, por lo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rendir su informe justificado.</w:t>
      </w:r>
    </w:p>
    <w:p w:rsidR="00163947" w:rsidRDefault="006E2533">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En tal sentido, derivado del análisis efectuado, la ponencia consideró que los motivos de inconformidad aducidos por la p</w:t>
      </w:r>
      <w:r w:rsidR="00D72770">
        <w:rPr>
          <w:rFonts w:ascii="Palatino Linotype" w:eastAsia="Palatino Linotype" w:hAnsi="Palatino Linotype" w:cs="Palatino Linotype"/>
        </w:rPr>
        <w:t xml:space="preserve">ersona solicitante resultaban </w:t>
      </w:r>
      <w:r>
        <w:rPr>
          <w:rFonts w:ascii="Palatino Linotype" w:eastAsia="Palatino Linotype" w:hAnsi="Palatino Linotype" w:cs="Palatino Linotype"/>
        </w:rPr>
        <w:t>fundados</w:t>
      </w:r>
      <w:r w:rsidR="00D72770">
        <w:rPr>
          <w:rFonts w:ascii="Palatino Linotype" w:eastAsia="Palatino Linotype" w:hAnsi="Palatino Linotype" w:cs="Palatino Linotype"/>
        </w:rPr>
        <w:t>, en razón de que el Sujeto Obligado no se pronunció sobre sus Organismos Descentralizados</w:t>
      </w:r>
      <w:r>
        <w:rPr>
          <w:rFonts w:ascii="Palatino Linotype" w:eastAsia="Palatino Linotype" w:hAnsi="Palatino Linotype" w:cs="Palatino Linotype"/>
        </w:rPr>
        <w:t xml:space="preserve">, y determinó </w:t>
      </w:r>
      <w:r w:rsidR="00D72770">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w:t>
      </w:r>
    </w:p>
    <w:p w:rsidR="00163947" w:rsidRPr="00D72770" w:rsidRDefault="006E2533" w:rsidP="00D72770">
      <w:pPr>
        <w:pStyle w:val="Prrafodelista"/>
        <w:ind w:left="1080" w:right="425"/>
        <w:jc w:val="both"/>
        <w:rPr>
          <w:rFonts w:ascii="Palatino Linotype" w:hAnsi="Palatino Linotype" w:cs="Arial"/>
          <w:iCs/>
          <w:sz w:val="22"/>
          <w:szCs w:val="22"/>
        </w:rPr>
      </w:pPr>
      <w:r w:rsidRPr="00D72770">
        <w:rPr>
          <w:rFonts w:ascii="Palatino Linotype" w:eastAsia="Palatino Linotype" w:hAnsi="Palatino Linotype" w:cs="Palatino Linotype"/>
          <w:i/>
          <w:sz w:val="22"/>
          <w:szCs w:val="22"/>
        </w:rPr>
        <w:t>“</w:t>
      </w:r>
      <w:r w:rsidR="00D72770" w:rsidRPr="00D72770">
        <w:rPr>
          <w:rFonts w:ascii="Palatino Linotype" w:eastAsia="MS Mincho" w:hAnsi="Palatino Linotype"/>
          <w:sz w:val="22"/>
          <w:szCs w:val="22"/>
        </w:rPr>
        <w:t xml:space="preserve">El Acuerdo emitido por el Comité de Transparencia mediante el cual se declara la incompetencia del Sujeto Obligado, respecto del directorio del </w:t>
      </w:r>
      <w:r w:rsidR="00D72770" w:rsidRPr="00D72770">
        <w:rPr>
          <w:rFonts w:ascii="Palatino Linotype" w:hAnsi="Palatino Linotype" w:cs="Arial"/>
          <w:iCs/>
          <w:sz w:val="22"/>
          <w:szCs w:val="22"/>
        </w:rPr>
        <w:t>Organismo Público Descentralizado para la Prestación de los Servicios de Agua Potable, Alcantarillado y Saneamiento (ODAPAS) y del Sistema Municipal para el Desarrollo Integral de la Familia (DIF Tecámac).</w:t>
      </w:r>
      <w:r w:rsidRPr="00D72770">
        <w:rPr>
          <w:rFonts w:ascii="Palatino Linotype" w:eastAsia="Palatino Linotype" w:hAnsi="Palatino Linotype" w:cs="Palatino Linotype"/>
          <w:i/>
          <w:sz w:val="22"/>
          <w:szCs w:val="22"/>
        </w:rPr>
        <w:t>” (Sic)</w:t>
      </w:r>
    </w:p>
    <w:p w:rsidR="00163947" w:rsidRDefault="006E2533">
      <w:pPr>
        <w:spacing w:before="240" w:after="240" w:line="360" w:lineRule="auto"/>
        <w:ind w:right="139"/>
        <w:jc w:val="both"/>
        <w:rPr>
          <w:rFonts w:ascii="Palatino Linotype" w:eastAsia="Palatino Linotype" w:hAnsi="Palatino Linotype" w:cs="Palatino Linotype"/>
          <w:b/>
          <w:highlight w:val="red"/>
        </w:rPr>
      </w:pPr>
      <w:r>
        <w:rPr>
          <w:rFonts w:ascii="Palatino Linotype" w:eastAsia="Palatino Linotype" w:hAnsi="Palatino Linotype" w:cs="Palatino Linotype"/>
          <w:b/>
        </w:rPr>
        <w:t>II. Razones del Voto Disidente.</w:t>
      </w:r>
      <w:r>
        <w:rPr>
          <w:rFonts w:ascii="Palatino Linotype" w:eastAsia="Palatino Linotype" w:hAnsi="Palatino Linotype" w:cs="Palatino Linotype"/>
          <w:b/>
          <w:highlight w:val="red"/>
        </w:rPr>
        <w:t xml:space="preserve"> </w:t>
      </w:r>
    </w:p>
    <w:p w:rsidR="00163947" w:rsidRDefault="006E2533">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No se comparte el sentido de la resolución al ordenar el acuerdo de incompetencia, por los argumentos que se exponen a continuación:</w:t>
      </w:r>
    </w:p>
    <w:p w:rsidR="00791976" w:rsidRDefault="00791976">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el presente asunto, se destaca que de la solicitud de información se requirió </w:t>
      </w:r>
      <w:r w:rsidR="00D72770" w:rsidRPr="00D72770">
        <w:rPr>
          <w:rFonts w:ascii="Palatino Linotype" w:eastAsia="Palatino Linotype" w:hAnsi="Palatino Linotype" w:cs="Palatino Linotype"/>
          <w:color w:val="000000"/>
        </w:rPr>
        <w:t>Director</w:t>
      </w:r>
      <w:r w:rsidR="00D72770">
        <w:rPr>
          <w:rFonts w:ascii="Palatino Linotype" w:eastAsia="Palatino Linotype" w:hAnsi="Palatino Linotype" w:cs="Palatino Linotype"/>
          <w:color w:val="000000"/>
        </w:rPr>
        <w:t>io de las Instituciones de las D</w:t>
      </w:r>
      <w:r w:rsidR="00D72770" w:rsidRPr="00D72770">
        <w:rPr>
          <w:rFonts w:ascii="Palatino Linotype" w:eastAsia="Palatino Linotype" w:hAnsi="Palatino Linotype" w:cs="Palatino Linotype"/>
          <w:color w:val="000000"/>
        </w:rPr>
        <w:t>ependencias Descentralizadas y Centralizadas en la Administración Pública Municipal de Tecámac</w:t>
      </w:r>
      <w:r>
        <w:rPr>
          <w:rFonts w:ascii="Palatino Linotype" w:eastAsia="Palatino Linotype" w:hAnsi="Palatino Linotype" w:cs="Palatino Linotype"/>
        </w:rPr>
        <w:t>.</w:t>
      </w:r>
    </w:p>
    <w:p w:rsidR="00791976" w:rsidRDefault="00791976" w:rsidP="00791976">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sidRPr="00791976">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D72770">
        <w:rPr>
          <w:rFonts w:ascii="Palatino Linotype" w:eastAsia="Palatino Linotype" w:hAnsi="Palatino Linotype" w:cs="Palatino Linotype"/>
        </w:rPr>
        <w:t xml:space="preserve">sólo se </w:t>
      </w:r>
      <w:r w:rsidR="00836FF5">
        <w:rPr>
          <w:rFonts w:ascii="Palatino Linotype" w:eastAsia="Palatino Linotype" w:hAnsi="Palatino Linotype" w:cs="Palatino Linotype"/>
        </w:rPr>
        <w:t>concretó entregar</w:t>
      </w:r>
      <w:r w:rsidR="00D72770">
        <w:rPr>
          <w:rFonts w:ascii="Palatino Linotype" w:eastAsia="Palatino Linotype" w:hAnsi="Palatino Linotype" w:cs="Palatino Linotype"/>
        </w:rPr>
        <w:t xml:space="preserve"> el directorio de sus dependencias centralizadas, omitiendo pronunciarse sobre el directorio de sus Organismos Descentralizados.</w:t>
      </w:r>
    </w:p>
    <w:p w:rsidR="00836FF5" w:rsidRDefault="00836FF5" w:rsidP="00791976">
      <w:pPr>
        <w:spacing w:after="0" w:line="360" w:lineRule="auto"/>
        <w:jc w:val="both"/>
        <w:rPr>
          <w:rFonts w:ascii="Palatino Linotype" w:eastAsia="Palatino Linotype" w:hAnsi="Palatino Linotype" w:cs="Palatino Linotype"/>
        </w:rPr>
      </w:pPr>
    </w:p>
    <w:p w:rsidR="00836FF5" w:rsidRPr="00836FF5" w:rsidRDefault="00836FF5" w:rsidP="00836FF5">
      <w:pPr>
        <w:spacing w:line="360" w:lineRule="auto"/>
        <w:ind w:right="425"/>
        <w:jc w:val="both"/>
        <w:rPr>
          <w:rFonts w:ascii="Palatino Linotype" w:eastAsia="Palatino Linotype" w:hAnsi="Palatino Linotype" w:cs="Palatino Linotype"/>
        </w:rPr>
      </w:pPr>
      <w:r>
        <w:rPr>
          <w:rFonts w:ascii="Palatino Linotype" w:eastAsia="Palatino Linotype" w:hAnsi="Palatino Linotype" w:cs="Palatino Linotype"/>
        </w:rPr>
        <w:lastRenderedPageBreak/>
        <w:t>Sin embargo, en términos del</w:t>
      </w:r>
      <w:r w:rsidRPr="00836FF5">
        <w:rPr>
          <w:rFonts w:ascii="Palatino Linotype" w:eastAsia="Palatino Linotype" w:hAnsi="Palatino Linotype" w:cs="Palatino Linotype"/>
        </w:rPr>
        <w:t xml:space="preserve"> “PADRÓN DE SUJETOS OBLIGADOS EN MATERIA DE TRANSPARENCIA Y ACCESO A LA INFORMACIÓN PÚBLICA DEL ESTADO DE MÉXICO Y MUNICIPIOS”</w:t>
      </w:r>
      <w:r>
        <w:rPr>
          <w:rFonts w:ascii="Palatino Linotype" w:eastAsia="Palatino Linotype" w:hAnsi="Palatino Linotype" w:cs="Palatino Linotype"/>
        </w:rPr>
        <w:t xml:space="preserve">, el </w:t>
      </w:r>
      <w:r w:rsidRPr="00836FF5">
        <w:rPr>
          <w:rFonts w:ascii="Palatino Linotype" w:eastAsia="Palatino Linotype" w:hAnsi="Palatino Linotype" w:cs="Palatino Linotype"/>
        </w:rPr>
        <w:t>Organismo Descentralizado para la Prestación de los Servicios del Agua Potable, Alcantarillado y Saneamiento de Tecámac</w:t>
      </w:r>
      <w:r>
        <w:rPr>
          <w:rFonts w:ascii="Palatino Linotype" w:eastAsia="Palatino Linotype" w:hAnsi="Palatino Linotype" w:cs="Palatino Linotype"/>
        </w:rPr>
        <w:t xml:space="preserve"> y </w:t>
      </w:r>
      <w:r w:rsidRPr="00836FF5">
        <w:rPr>
          <w:rFonts w:ascii="Palatino Linotype" w:eastAsia="Palatino Linotype" w:hAnsi="Palatino Linotype" w:cs="Palatino Linotype"/>
        </w:rPr>
        <w:t>Sistema Municipal para el Desarrollo Integral de la Familia de Tecámac</w:t>
      </w:r>
      <w:r>
        <w:rPr>
          <w:rFonts w:ascii="Palatino Linotype" w:eastAsia="Palatino Linotype" w:hAnsi="Palatino Linotype" w:cs="Palatino Linotype"/>
        </w:rPr>
        <w:t xml:space="preserve">, se advierte que son Sujetos Obligados diversos al Ayuntamiento de Tecámac. </w:t>
      </w:r>
    </w:p>
    <w:p w:rsidR="00836FF5" w:rsidRDefault="00836FF5" w:rsidP="00791976">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 ello, la ponencia resolutora determino lo siguiente:</w:t>
      </w:r>
    </w:p>
    <w:p w:rsidR="00836FF5" w:rsidRDefault="00836FF5" w:rsidP="00791976">
      <w:pPr>
        <w:spacing w:after="0" w:line="360" w:lineRule="auto"/>
        <w:jc w:val="both"/>
        <w:rPr>
          <w:rFonts w:ascii="Palatino Linotype" w:eastAsia="Palatino Linotype" w:hAnsi="Palatino Linotype" w:cs="Palatino Linotype"/>
        </w:rPr>
      </w:pPr>
    </w:p>
    <w:p w:rsidR="00836FF5" w:rsidRPr="00836FF5" w:rsidRDefault="00836FF5" w:rsidP="00836FF5">
      <w:pPr>
        <w:spacing w:line="360" w:lineRule="auto"/>
        <w:ind w:left="567" w:right="616"/>
        <w:jc w:val="both"/>
        <w:rPr>
          <w:rFonts w:ascii="Palatino Linotype" w:hAnsi="Palatino Linotype"/>
          <w:bCs/>
        </w:rPr>
      </w:pPr>
      <w:r>
        <w:rPr>
          <w:rFonts w:ascii="Palatino Linotype" w:hAnsi="Palatino Linotype"/>
          <w:bCs/>
        </w:rPr>
        <w:t>“</w:t>
      </w:r>
      <w:r w:rsidRPr="00836FF5">
        <w:rPr>
          <w:rFonts w:ascii="Palatino Linotype" w:hAnsi="Palatino Linotype"/>
          <w:bCs/>
        </w:rPr>
        <w:t xml:space="preserve">Por lo que el </w:t>
      </w:r>
      <w:r w:rsidRPr="00836FF5">
        <w:rPr>
          <w:rFonts w:ascii="Palatino Linotype" w:hAnsi="Palatino Linotype"/>
          <w:b/>
          <w:bCs/>
        </w:rPr>
        <w:t>Sujeto Obligado</w:t>
      </w:r>
      <w:r w:rsidRPr="00836FF5">
        <w:rPr>
          <w:rFonts w:ascii="Palatino Linotype" w:hAnsi="Palatino Linotype"/>
          <w:bCs/>
        </w:rPr>
        <w:t xml:space="preserve"> se encuentra imposibilitado para la entrega del Directorio de los Órganos Descentralizados: </w:t>
      </w:r>
      <w:r w:rsidRPr="00836FF5">
        <w:rPr>
          <w:rFonts w:ascii="Palatino Linotype" w:hAnsi="Palatino Linotype" w:cs="Arial"/>
          <w:iCs/>
        </w:rPr>
        <w:t>I. Organismo Público Descentralizado para la Prestación de los Servicios de Agua Potable, Alcantarillado y Saneamiento (ODAPAS); y  Sistema Municipal para el Desarrollo Integral de la Familia (DIF Tecámac);</w:t>
      </w:r>
      <w:r w:rsidRPr="00836FF5">
        <w:rPr>
          <w:rFonts w:ascii="Palatino Linotype" w:hAnsi="Palatino Linotype"/>
          <w:bCs/>
        </w:rPr>
        <w:t xml:space="preserve"> por lo que el </w:t>
      </w:r>
      <w:r w:rsidRPr="00836FF5">
        <w:rPr>
          <w:rFonts w:ascii="Palatino Linotype" w:hAnsi="Palatino Linotype"/>
          <w:b/>
          <w:bCs/>
        </w:rPr>
        <w:t>Sujeto Obligado</w:t>
      </w:r>
      <w:r w:rsidRPr="00836FF5">
        <w:rPr>
          <w:rFonts w:ascii="Palatino Linotype" w:hAnsi="Palatino Linotype"/>
          <w:bCs/>
        </w:rPr>
        <w:t xml:space="preserve"> debió hacerlo del conocimiento del Recurrente, en términos de los artículos 167, que establece lo siguiente:</w:t>
      </w:r>
    </w:p>
    <w:p w:rsidR="00836FF5" w:rsidRPr="00836FF5" w:rsidRDefault="00836FF5" w:rsidP="00836FF5">
      <w:pPr>
        <w:spacing w:line="360" w:lineRule="auto"/>
        <w:ind w:left="567" w:right="616"/>
        <w:jc w:val="both"/>
        <w:rPr>
          <w:rFonts w:ascii="Palatino Linotype" w:hAnsi="Palatino Linotype"/>
          <w:bCs/>
        </w:rPr>
      </w:pPr>
    </w:p>
    <w:p w:rsidR="00836FF5" w:rsidRPr="00836FF5" w:rsidRDefault="00836FF5" w:rsidP="00836FF5">
      <w:pPr>
        <w:ind w:left="567" w:right="616"/>
        <w:jc w:val="both"/>
        <w:rPr>
          <w:rFonts w:ascii="Palatino Linotype" w:hAnsi="Palatino Linotype"/>
          <w:bCs/>
          <w:i/>
        </w:rPr>
      </w:pPr>
      <w:r w:rsidRPr="00836FF5">
        <w:rPr>
          <w:rFonts w:ascii="Palatino Linotype" w:hAnsi="Palatino Linotype"/>
          <w:b/>
          <w:bCs/>
          <w:i/>
        </w:rPr>
        <w:t>Artículo 167.</w:t>
      </w:r>
      <w:r w:rsidRPr="00836FF5">
        <w:rPr>
          <w:rFonts w:ascii="Palatino Linotype" w:hAnsi="Palatino Linotype"/>
          <w:bCs/>
          <w:i/>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w:t>
      </w:r>
      <w:r w:rsidRPr="00836FF5">
        <w:rPr>
          <w:rFonts w:ascii="Palatino Linotype" w:hAnsi="Palatino Linotype"/>
          <w:bCs/>
          <w:i/>
        </w:rPr>
        <w:lastRenderedPageBreak/>
        <w:t>competencia en los términos establecidos, podrá canalizar la solicitud ante el sujeto obligado competente.</w:t>
      </w:r>
    </w:p>
    <w:p w:rsidR="00836FF5" w:rsidRPr="00836FF5" w:rsidRDefault="00836FF5" w:rsidP="00836FF5">
      <w:pPr>
        <w:spacing w:line="360" w:lineRule="auto"/>
        <w:ind w:left="567" w:right="616"/>
        <w:jc w:val="both"/>
        <w:rPr>
          <w:rFonts w:ascii="Palatino Linotype" w:hAnsi="Palatino Linotype"/>
          <w:bCs/>
        </w:rPr>
      </w:pPr>
      <w:r w:rsidRPr="00836FF5">
        <w:rPr>
          <w:rFonts w:ascii="Palatino Linotype" w:hAnsi="Palatino Linotype"/>
          <w:bCs/>
        </w:rPr>
        <w:t xml:space="preserve">En este sentido la incompetencia a que es atribuible el </w:t>
      </w:r>
      <w:r w:rsidRPr="00836FF5">
        <w:rPr>
          <w:rFonts w:ascii="Palatino Linotype" w:hAnsi="Palatino Linotype"/>
          <w:b/>
          <w:bCs/>
        </w:rPr>
        <w:t>Sujeto Obligado</w:t>
      </w:r>
      <w:r w:rsidRPr="00836FF5">
        <w:rPr>
          <w:rFonts w:ascii="Palatino Linotype" w:hAnsi="Palatino Linotype"/>
          <w:bCs/>
        </w:rPr>
        <w:t xml:space="preserve"> es clara, por lo que en este sentido se debió haber cumplido, con los términos que señala la Ley de Transparencia Local, es decir el </w:t>
      </w:r>
      <w:r w:rsidRPr="00836FF5">
        <w:rPr>
          <w:rFonts w:ascii="Palatino Linotype" w:hAnsi="Palatino Linotype"/>
          <w:b/>
          <w:bCs/>
        </w:rPr>
        <w:t>Sujeto Obligado</w:t>
      </w:r>
      <w:r w:rsidRPr="00836FF5">
        <w:rPr>
          <w:rFonts w:ascii="Palatino Linotype" w:hAnsi="Palatino Linotype"/>
          <w:bCs/>
        </w:rPr>
        <w:t xml:space="preserve"> debió haber hecho del conocimiento al particular tal información en los plazos que establece el artículo 167, sin embargo no sucedió así, por el contario remitió respuesta sin la declaratoria al respecto.</w:t>
      </w:r>
    </w:p>
    <w:p w:rsidR="00836FF5" w:rsidRPr="00836FF5" w:rsidRDefault="00836FF5" w:rsidP="00836FF5">
      <w:pPr>
        <w:spacing w:line="360" w:lineRule="auto"/>
        <w:ind w:left="567" w:right="616"/>
        <w:jc w:val="both"/>
        <w:rPr>
          <w:rFonts w:ascii="Palatino Linotype" w:hAnsi="Palatino Linotype"/>
          <w:bCs/>
        </w:rPr>
      </w:pPr>
      <w:r w:rsidRPr="00836FF5">
        <w:rPr>
          <w:rFonts w:ascii="Palatino Linotype" w:hAnsi="Palatino Linotype"/>
          <w:bCs/>
        </w:rPr>
        <w:t>En este orden de ideas, para brindar certeza sobre la declinación de competencia, misma que debe estar a lo dispuesto por el artículo 49 fracciones I y II de la Ley de Transparencia y Acceso a la Información Pública del Estado de México y Municipios que dispone los siguiente:</w:t>
      </w:r>
    </w:p>
    <w:p w:rsidR="00836FF5" w:rsidRPr="00836FF5" w:rsidRDefault="00836FF5" w:rsidP="00836FF5">
      <w:pPr>
        <w:ind w:left="567" w:right="616"/>
        <w:jc w:val="both"/>
        <w:rPr>
          <w:rFonts w:ascii="Palatino Linotype" w:hAnsi="Palatino Linotype"/>
          <w:bCs/>
          <w:i/>
        </w:rPr>
      </w:pPr>
      <w:r w:rsidRPr="00836FF5">
        <w:rPr>
          <w:rFonts w:ascii="Palatino Linotype" w:hAnsi="Palatino Linotype"/>
          <w:b/>
          <w:bCs/>
          <w:i/>
        </w:rPr>
        <w:t>Artículo 49.</w:t>
      </w:r>
      <w:r w:rsidRPr="00836FF5">
        <w:rPr>
          <w:rFonts w:ascii="Palatino Linotype" w:hAnsi="Palatino Linotype"/>
          <w:bCs/>
          <w:i/>
        </w:rPr>
        <w:t xml:space="preserve"> Los </w:t>
      </w:r>
      <w:r w:rsidRPr="00836FF5">
        <w:rPr>
          <w:rFonts w:ascii="Palatino Linotype" w:hAnsi="Palatino Linotype"/>
          <w:bCs/>
          <w:i/>
          <w:u w:val="single"/>
        </w:rPr>
        <w:t>Comités de Transparencia</w:t>
      </w:r>
      <w:r w:rsidRPr="00836FF5">
        <w:rPr>
          <w:rFonts w:ascii="Palatino Linotype" w:hAnsi="Palatino Linotype"/>
          <w:bCs/>
          <w:i/>
        </w:rPr>
        <w:t xml:space="preserve"> tendrán las siguientes atribuciones:</w:t>
      </w:r>
    </w:p>
    <w:p w:rsidR="00836FF5" w:rsidRPr="00836FF5" w:rsidRDefault="00836FF5" w:rsidP="00836FF5">
      <w:pPr>
        <w:ind w:left="567" w:right="616"/>
        <w:jc w:val="both"/>
        <w:rPr>
          <w:rFonts w:ascii="Palatino Linotype" w:hAnsi="Palatino Linotype"/>
          <w:bCs/>
          <w:i/>
        </w:rPr>
      </w:pPr>
      <w:r w:rsidRPr="00836FF5">
        <w:rPr>
          <w:rFonts w:ascii="Palatino Linotype" w:hAnsi="Palatino Linotype"/>
          <w:bCs/>
          <w:i/>
        </w:rPr>
        <w:t>I. Instituir, coordinar y supervisar en términos de las disposiciones aplicables, las acciones, medidas y procedimientos que coadyuven a asegurar una mayor eficacia en la gestión y atención de las solicitudes en materia de acceso a la información;</w:t>
      </w:r>
    </w:p>
    <w:p w:rsidR="00836FF5" w:rsidRPr="00836FF5" w:rsidRDefault="00836FF5" w:rsidP="00836FF5">
      <w:pPr>
        <w:ind w:left="567" w:right="616"/>
        <w:jc w:val="both"/>
        <w:rPr>
          <w:rFonts w:ascii="Palatino Linotype" w:hAnsi="Palatino Linotype"/>
          <w:bCs/>
          <w:i/>
        </w:rPr>
      </w:pPr>
      <w:r w:rsidRPr="00836FF5">
        <w:rPr>
          <w:rFonts w:ascii="Palatino Linotype" w:hAnsi="Palatino Linotype"/>
          <w:bCs/>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36FF5" w:rsidRPr="00836FF5" w:rsidRDefault="00836FF5" w:rsidP="00836FF5">
      <w:pPr>
        <w:spacing w:line="360" w:lineRule="auto"/>
        <w:ind w:left="567" w:right="616"/>
        <w:jc w:val="both"/>
        <w:rPr>
          <w:rFonts w:ascii="Palatino Linotype" w:hAnsi="Palatino Linotype"/>
          <w:bCs/>
        </w:rPr>
      </w:pPr>
      <w:r w:rsidRPr="00836FF5">
        <w:rPr>
          <w:rFonts w:ascii="Palatino Linotype" w:hAnsi="Palatino Linotype"/>
          <w:bCs/>
        </w:rPr>
        <w:t xml:space="preserve">En efecto, si bien el Sujeto Obligado no tiene competencia para administrar, generar o poseer la información solicitada en el presente asunto, en virtud de poseerla otro Sujeto Obligado, también lo es que, el Sujeto obligado debió haber dado a conocer al Recurrente su incompetencia, en términos de los párrafos que ´preceden. Por lo que en razón de las razones o motivos de inconformidad </w:t>
      </w:r>
      <w:r w:rsidRPr="00836FF5">
        <w:rPr>
          <w:rFonts w:ascii="Palatino Linotype" w:hAnsi="Palatino Linotype"/>
          <w:bCs/>
        </w:rPr>
        <w:lastRenderedPageBreak/>
        <w:t>hechos vale por en el presente recurso de revisión, dicha incompetencia debe ser confirmada, modificada o revocada por el Comité de Transparencia en términos del precepto legal referido.</w:t>
      </w:r>
    </w:p>
    <w:p w:rsidR="00836FF5" w:rsidRPr="00836FF5" w:rsidRDefault="00836FF5" w:rsidP="00836FF5">
      <w:pPr>
        <w:spacing w:line="360" w:lineRule="auto"/>
        <w:ind w:left="567" w:right="616"/>
        <w:jc w:val="both"/>
        <w:rPr>
          <w:rFonts w:ascii="Palatino Linotype" w:hAnsi="Palatino Linotype"/>
          <w:bCs/>
        </w:rPr>
      </w:pPr>
      <w:r w:rsidRPr="00836FF5">
        <w:rPr>
          <w:rFonts w:ascii="Palatino Linotype" w:hAnsi="Palatino Linotype"/>
          <w:bCs/>
        </w:rPr>
        <w:t>El hecho que el Comité de Transparencia emita un acuerdo en donde se plasmen los fundamentos y razones por las cuales no es competente para generar, poseer y/o administrar la información requerida, brinda certeza, ya que a través de un documento firmado por los integrantes del Comité de Transparencia que la información no se encuentra en sus archivos por el motivo que no se cuenta con normatividad que lo disponga.</w:t>
      </w:r>
    </w:p>
    <w:p w:rsidR="00836FF5" w:rsidRPr="00836FF5" w:rsidRDefault="00836FF5" w:rsidP="00836FF5">
      <w:pPr>
        <w:spacing w:line="360" w:lineRule="auto"/>
        <w:ind w:left="567" w:right="616"/>
        <w:jc w:val="both"/>
        <w:rPr>
          <w:rFonts w:ascii="Palatino Linotype" w:hAnsi="Palatino Linotype"/>
          <w:bCs/>
        </w:rPr>
      </w:pPr>
      <w:r w:rsidRPr="00836FF5">
        <w:rPr>
          <w:rFonts w:ascii="Palatino Linotype" w:hAnsi="Palatino Linotype"/>
          <w:bCs/>
        </w:rPr>
        <w:t xml:space="preserve">Con base en lo anterior, podemos concluir que el </w:t>
      </w:r>
      <w:r w:rsidRPr="00836FF5">
        <w:rPr>
          <w:rFonts w:ascii="Palatino Linotype" w:hAnsi="Palatino Linotype"/>
          <w:b/>
          <w:bCs/>
        </w:rPr>
        <w:t xml:space="preserve">Sujeto Obligado </w:t>
      </w:r>
      <w:r w:rsidRPr="00836FF5">
        <w:rPr>
          <w:rFonts w:ascii="Palatino Linotype" w:hAnsi="Palatino Linotype"/>
          <w:bCs/>
        </w:rPr>
        <w:t>debió hacer entrega del acuerdo que determina su incompetencia, consecuentemente, es dable ordenar su entrega de los documentos referidos, observando lo relativo a los datos de carácter sensible y confidencial, en térmi</w:t>
      </w:r>
      <w:r>
        <w:rPr>
          <w:rFonts w:ascii="Palatino Linotype" w:hAnsi="Palatino Linotype"/>
          <w:bCs/>
        </w:rPr>
        <w:t>nos de Ley.” (Sic)</w:t>
      </w:r>
    </w:p>
    <w:p w:rsidR="00163947" w:rsidRDefault="006E2533">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la Declaración de Incompetencia la Ley de Transparencia y Acceso a la Información Pública del Estado de México, establece, en los artículos 49, fracción II y 167, lo siguiente: </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49.</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Los Comités de Transparencia</w:t>
      </w:r>
      <w:r>
        <w:rPr>
          <w:rFonts w:ascii="Palatino Linotype" w:eastAsia="Palatino Linotype" w:hAnsi="Palatino Linotype" w:cs="Palatino Linotype"/>
          <w:i/>
          <w:sz w:val="20"/>
          <w:szCs w:val="20"/>
        </w:rPr>
        <w:t xml:space="preserve"> tendrán las siguientes atribuciones:</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b/>
          <w:i/>
          <w:sz w:val="20"/>
          <w:szCs w:val="20"/>
        </w:rPr>
        <w:t>II.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i/>
          <w:sz w:val="20"/>
          <w:szCs w:val="20"/>
        </w:rPr>
        <w:t>Confirmar, modificar o revocar</w:t>
      </w:r>
      <w:r>
        <w:rPr>
          <w:rFonts w:ascii="Palatino Linotype" w:eastAsia="Palatino Linotype" w:hAnsi="Palatino Linotype" w:cs="Palatino Linotype"/>
          <w:i/>
          <w:sz w:val="20"/>
          <w:szCs w:val="20"/>
        </w:rPr>
        <w:t xml:space="preserve"> las determinaciones que en materia de ampliación del plazo de respuesta, clasificación de la información </w:t>
      </w:r>
      <w:r>
        <w:rPr>
          <w:rFonts w:ascii="Palatino Linotype" w:eastAsia="Palatino Linotype" w:hAnsi="Palatino Linotype" w:cs="Palatino Linotype"/>
          <w:b/>
          <w:i/>
          <w:sz w:val="20"/>
          <w:szCs w:val="20"/>
        </w:rPr>
        <w:t>y declaración</w:t>
      </w:r>
      <w:r>
        <w:rPr>
          <w:rFonts w:ascii="Palatino Linotype" w:eastAsia="Palatino Linotype" w:hAnsi="Palatino Linotype" w:cs="Palatino Linotype"/>
          <w:i/>
          <w:sz w:val="20"/>
          <w:szCs w:val="20"/>
        </w:rPr>
        <w:t xml:space="preserve"> de inexistencia o </w:t>
      </w:r>
      <w:r>
        <w:rPr>
          <w:rFonts w:ascii="Palatino Linotype" w:eastAsia="Palatino Linotype" w:hAnsi="Palatino Linotype" w:cs="Palatino Linotype"/>
          <w:b/>
          <w:i/>
          <w:sz w:val="20"/>
          <w:szCs w:val="20"/>
        </w:rPr>
        <w:t>de incompetencia realicen los titulares de las áreas de los sujetos obligados;</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w:t>
      </w:r>
    </w:p>
    <w:p w:rsidR="00163947" w:rsidRDefault="006E2533">
      <w:pPr>
        <w:tabs>
          <w:tab w:val="left" w:pos="851"/>
        </w:tabs>
        <w:spacing w:before="120" w:after="120" w:line="240"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Artículo 167</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Cuando las unidades de transparencia determinen la notoria incompetencia</w:t>
      </w:r>
      <w:r>
        <w:rPr>
          <w:rFonts w:ascii="Palatino Linotype" w:eastAsia="Palatino Linotype" w:hAnsi="Palatino Linotype" w:cs="Palatino Linotype"/>
          <w:i/>
          <w:sz w:val="20"/>
          <w:szCs w:val="20"/>
        </w:rPr>
        <w:t xml:space="preserve"> por parte de los sujetos obligados, dentro del ámbito de aplicación, para </w:t>
      </w:r>
      <w:r>
        <w:rPr>
          <w:rFonts w:ascii="Palatino Linotype" w:eastAsia="Palatino Linotype" w:hAnsi="Palatino Linotype" w:cs="Palatino Linotype"/>
          <w:i/>
          <w:sz w:val="20"/>
          <w:szCs w:val="20"/>
        </w:rPr>
        <w:lastRenderedPageBreak/>
        <w:t xml:space="preserve">atender la solicitud de acceso a la información, </w:t>
      </w:r>
      <w:r>
        <w:rPr>
          <w:rFonts w:ascii="Palatino Linotype" w:eastAsia="Palatino Linotype" w:hAnsi="Palatino Linotype" w:cs="Palatino Linotype"/>
          <w:b/>
          <w:i/>
          <w:sz w:val="20"/>
          <w:szCs w:val="20"/>
        </w:rPr>
        <w:t>deberán comunicarlo al solicitante, dentro de los tres días hábiles posteriores a la recepción de la solicitud</w:t>
      </w:r>
      <w:r>
        <w:rPr>
          <w:rFonts w:ascii="Palatino Linotype" w:eastAsia="Palatino Linotype" w:hAnsi="Palatino Linotype" w:cs="Palatino Linotype"/>
          <w:i/>
          <w:sz w:val="20"/>
          <w:szCs w:val="20"/>
        </w:rPr>
        <w:t xml:space="preserve"> y, </w:t>
      </w:r>
      <w:r>
        <w:rPr>
          <w:rFonts w:ascii="Palatino Linotype" w:eastAsia="Palatino Linotype" w:hAnsi="Palatino Linotype" w:cs="Palatino Linotype"/>
          <w:b/>
          <w:i/>
          <w:sz w:val="20"/>
          <w:szCs w:val="20"/>
        </w:rPr>
        <w:t>en su caso orientar al solicitante, el o los sujetos obligados competentes.” (Sic)</w:t>
      </w:r>
    </w:p>
    <w:p w:rsidR="00163947" w:rsidRDefault="00163947">
      <w:pPr>
        <w:spacing w:before="120" w:after="120" w:line="240" w:lineRule="auto"/>
        <w:ind w:left="851" w:right="902"/>
        <w:jc w:val="both"/>
        <w:rPr>
          <w:rFonts w:ascii="Palatino Linotype" w:eastAsia="Palatino Linotype" w:hAnsi="Palatino Linotype" w:cs="Palatino Linotype"/>
        </w:rPr>
      </w:pPr>
    </w:p>
    <w:p w:rsidR="00163947" w:rsidRDefault="006E2533">
      <w:pPr>
        <w:tabs>
          <w:tab w:val="left" w:pos="142"/>
          <w:tab w:val="left" w:pos="28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De los preceptos citados se desprende que es atribución del Comité de Transparencia confirmar, modificar o revocar, en su caso, la declaración de incompetencia,</w:t>
      </w:r>
      <w:r>
        <w:rPr>
          <w:rFonts w:ascii="Palatino Linotype" w:eastAsia="Palatino Linotype" w:hAnsi="Palatino Linotype" w:cs="Palatino Linotype"/>
          <w:b/>
        </w:rPr>
        <w:t xml:space="preserve"> en aquellos casos en los que no se trate de una notoria incompetencia. </w:t>
      </w:r>
    </w:p>
    <w:p w:rsidR="00163947" w:rsidRDefault="006E2533">
      <w:pPr>
        <w:tabs>
          <w:tab w:val="left" w:pos="142"/>
          <w:tab w:val="left" w:pos="28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 sujeto obligado para dar atención a la solicitud de información siga siendo notoria. </w:t>
      </w:r>
    </w:p>
    <w:p w:rsidR="00163947" w:rsidRDefault="006E2533">
      <w:pPr>
        <w:tabs>
          <w:tab w:val="left" w:pos="142"/>
          <w:tab w:val="left" w:pos="284"/>
        </w:tabs>
        <w:spacing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u w:val="single"/>
        </w:rPr>
        <w:t xml:space="preserve">para su aprobación. </w:t>
      </w:r>
    </w:p>
    <w:p w:rsidR="00163947" w:rsidRDefault="006E2533">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rsidR="00163947" w:rsidRDefault="006E2533">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“Declaración de incompetencia por parte del Comité, cuando no sea notoria o manifiesta.</w:t>
      </w:r>
      <w:r>
        <w:rPr>
          <w:rFonts w:ascii="Palatino Linotype" w:eastAsia="Palatino Linotype" w:hAnsi="Palatino Linotype" w:cs="Palatino Linotype"/>
          <w:i/>
          <w:color w:val="000000"/>
          <w:sz w:val="20"/>
          <w:szCs w:val="2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Transparencia.”(Sic)</w:t>
      </w:r>
    </w:p>
    <w:p w:rsidR="00163947" w:rsidRDefault="006E2533">
      <w:pPr>
        <w:tabs>
          <w:tab w:val="left" w:pos="142"/>
          <w:tab w:val="left" w:pos="284"/>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duda razonable sobre la administración del documento materia de la solicitud de información</w:t>
      </w:r>
      <w:r>
        <w:rPr>
          <w:rFonts w:ascii="Palatino Linotype" w:eastAsia="Palatino Linotype" w:hAnsi="Palatino Linotype" w:cs="Palatino Linotype"/>
        </w:rPr>
        <w:t>, como se lee enseguida:</w:t>
      </w:r>
    </w:p>
    <w:p w:rsidR="00163947" w:rsidRDefault="006E2533">
      <w:pPr>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“DECLARATORIA DE INCOMPETENCIA DEL SUJETO OBLIGADO. SUPUESTO PARA CONFIRMARLA POR ACUERDO DEL COMITÉ DE TRANSPARENCIA. </w:t>
      </w:r>
      <w:r>
        <w:rPr>
          <w:rFonts w:ascii="Palatino Linotype" w:eastAsia="Palatino Linotype" w:hAnsi="Palatino Linotype" w:cs="Palatino Linotype"/>
          <w:i/>
          <w:sz w:val="20"/>
          <w:szCs w:val="20"/>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sz w:val="20"/>
          <w:szCs w:val="20"/>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sz w:val="20"/>
          <w:szCs w:val="20"/>
          <w:u w:val="single"/>
        </w:rPr>
        <w:t>impiden determinar dentro del término legal de tres días hábiles</w:t>
      </w:r>
      <w:r>
        <w:rPr>
          <w:rFonts w:ascii="Palatino Linotype" w:eastAsia="Palatino Linotype" w:hAnsi="Palatino Linotype" w:cs="Palatino Linotype"/>
          <w:b/>
          <w:i/>
          <w:sz w:val="20"/>
          <w:szCs w:val="20"/>
        </w:rPr>
        <w:t>, si se posee o no la información por el Sujeto Obligado requerid</w:t>
      </w:r>
      <w:r>
        <w:rPr>
          <w:rFonts w:ascii="Palatino Linotype" w:eastAsia="Palatino Linotype" w:hAnsi="Palatino Linotype" w:cs="Palatino Linotype"/>
          <w:i/>
          <w:sz w:val="20"/>
          <w:szCs w:val="20"/>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solicitud.”(Sic)</w:t>
      </w:r>
    </w:p>
    <w:p w:rsidR="00836FF5" w:rsidRDefault="00836FF5">
      <w:pPr>
        <w:tabs>
          <w:tab w:val="left" w:pos="142"/>
          <w:tab w:val="left" w:pos="284"/>
        </w:tabs>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lastRenderedPageBreak/>
        <w:t xml:space="preserve">En consecuencia, el </w:t>
      </w:r>
      <w:r w:rsidRPr="00836FF5">
        <w:rPr>
          <w:rFonts w:ascii="Palatino Linotype" w:eastAsia="Palatino Linotype" w:hAnsi="Palatino Linotype" w:cs="Palatino Linotype"/>
        </w:rPr>
        <w:t>Organismo Descentralizado para la Prestación de los Servicios del Agua Potable, Alcantarillado y Saneamiento de Tecámac</w:t>
      </w:r>
      <w:r>
        <w:rPr>
          <w:rFonts w:ascii="Palatino Linotype" w:eastAsia="Palatino Linotype" w:hAnsi="Palatino Linotype" w:cs="Palatino Linotype"/>
        </w:rPr>
        <w:t xml:space="preserve"> y </w:t>
      </w:r>
      <w:r w:rsidRPr="00836FF5">
        <w:rPr>
          <w:rFonts w:ascii="Palatino Linotype" w:eastAsia="Palatino Linotype" w:hAnsi="Palatino Linotype" w:cs="Palatino Linotype"/>
        </w:rPr>
        <w:t>Sistema Municipal para el Desarrollo Integral de la Familia de Tecámac</w:t>
      </w:r>
      <w:r w:rsidR="006E2533">
        <w:rPr>
          <w:rFonts w:ascii="Palatino Linotype" w:eastAsia="Palatino Linotype" w:hAnsi="Palatino Linotype" w:cs="Palatino Linotype"/>
        </w:rPr>
        <w:t xml:space="preserve">, son Sujetos Obligados diversos; consecuentemente, se advierte que el </w:t>
      </w:r>
      <w:r w:rsidR="006E2533">
        <w:rPr>
          <w:rFonts w:ascii="Palatino Linotype" w:eastAsia="Palatino Linotype" w:hAnsi="Palatino Linotype" w:cs="Palatino Linotype"/>
          <w:b/>
        </w:rPr>
        <w:t xml:space="preserve">SUJETO OBLIGADO, </w:t>
      </w:r>
      <w:r w:rsidR="006E2533">
        <w:rPr>
          <w:rFonts w:ascii="Palatino Linotype" w:eastAsia="Palatino Linotype" w:hAnsi="Palatino Linotype" w:cs="Palatino Linotype"/>
        </w:rPr>
        <w:t xml:space="preserve">resulta incompetente para tener en sus archivos la información relativa </w:t>
      </w:r>
      <w:r>
        <w:rPr>
          <w:rFonts w:ascii="Palatino Linotype" w:eastAsia="Palatino Linotype" w:hAnsi="Palatino Linotype" w:cs="Palatino Linotype"/>
        </w:rPr>
        <w:t>a sus directorios</w:t>
      </w:r>
      <w:r w:rsidR="006E2533">
        <w:rPr>
          <w:rFonts w:ascii="Palatino Linotype" w:eastAsia="Palatino Linotype" w:hAnsi="Palatino Linotype" w:cs="Palatino Linotype"/>
        </w:rPr>
        <w:t>, por ello la Suscrita estima que no resultaba procedente ordenar la emisión</w:t>
      </w:r>
      <w:r>
        <w:rPr>
          <w:rFonts w:ascii="Palatino Linotype" w:eastAsia="Palatino Linotype" w:hAnsi="Palatino Linotype" w:cs="Palatino Linotype"/>
        </w:rPr>
        <w:t xml:space="preserve"> del acuerdo de incompetencia.</w:t>
      </w:r>
    </w:p>
    <w:p w:rsidR="00163947" w:rsidRDefault="006E2533">
      <w:pPr>
        <w:tabs>
          <w:tab w:val="left" w:pos="142"/>
          <w:tab w:val="left" w:pos="284"/>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Recurrente no obtendrá la inform</w:t>
      </w:r>
      <w:r w:rsidR="0092395C">
        <w:rPr>
          <w:rFonts w:ascii="Palatino Linotype" w:eastAsia="Palatino Linotype" w:hAnsi="Palatino Linotype" w:cs="Palatino Linotype"/>
        </w:rPr>
        <w:t>ación que es de su interés por e</w:t>
      </w:r>
      <w:r>
        <w:rPr>
          <w:rFonts w:ascii="Palatino Linotype" w:eastAsia="Palatino Linotype" w:hAnsi="Palatino Linotype" w:cs="Palatino Linotype"/>
        </w:rPr>
        <w:t xml:space="preserve">sta vía, en virtud de que la propia ponencia ha determinado que </w:t>
      </w:r>
      <w:r>
        <w:rPr>
          <w:rFonts w:ascii="Palatino Linotype" w:eastAsia="Palatino Linotype" w:hAnsi="Palatino Linotype" w:cs="Palatino Linotype"/>
          <w:b/>
          <w:i/>
          <w:u w:val="single"/>
        </w:rPr>
        <w:t xml:space="preserve">el Sujeto Obligado no cuenta con competencia para atender los requerimientos señalados por el particular, por ende no se encuentra constreñido a entregar la información requerida ante la falta de atribuciones para generar, poseer o administrar lo solicitado. </w:t>
      </w:r>
    </w:p>
    <w:p w:rsidR="00163947" w:rsidRDefault="006E2533">
      <w:pPr>
        <w:tabs>
          <w:tab w:val="left" w:pos="142"/>
          <w:tab w:val="left" w:pos="284"/>
        </w:tabs>
        <w:spacing w:before="240" w:after="240" w:line="360" w:lineRule="auto"/>
        <w:jc w:val="both"/>
        <w:rPr>
          <w:rFonts w:ascii="Palatino Linotype" w:eastAsia="Palatino Linotype" w:hAnsi="Palatino Linotype" w:cs="Palatino Linotype"/>
        </w:rPr>
        <w:sectPr w:rsidR="00163947">
          <w:headerReference w:type="default" r:id="rId8"/>
          <w:footerReference w:type="default" r:id="rId9"/>
          <w:pgSz w:w="12240" w:h="15840"/>
          <w:pgMar w:top="2438" w:right="1701" w:bottom="2778" w:left="1701" w:header="1134" w:footer="1134" w:gutter="0"/>
          <w:pgNumType w:start="1"/>
          <w:cols w:space="720"/>
        </w:sectPr>
      </w:pPr>
      <w:bookmarkStart w:id="3" w:name="_heading=h.gjdgxs" w:colFirst="0" w:colLast="0"/>
      <w:bookmarkEnd w:id="3"/>
      <w:r>
        <w:rPr>
          <w:rFonts w:ascii="Palatino Linotype" w:eastAsia="Palatino Linotype" w:hAnsi="Palatino Linotype" w:cs="Palatino Linotype"/>
        </w:rPr>
        <w:t>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w:t>
      </w:r>
      <w:r w:rsidR="001079C2">
        <w:rPr>
          <w:rFonts w:ascii="Palatino Linotype" w:eastAsia="Palatino Linotype" w:hAnsi="Palatino Linotype" w:cs="Palatino Linotype"/>
        </w:rPr>
        <w:t>, más aun cuando el S</w:t>
      </w:r>
      <w:r w:rsidR="001079C2" w:rsidRPr="001079C2">
        <w:rPr>
          <w:rFonts w:ascii="Palatino Linotype" w:eastAsia="Palatino Linotype" w:hAnsi="Palatino Linotype" w:cs="Palatino Linotype"/>
        </w:rPr>
        <w:t xml:space="preserve">ujeto </w:t>
      </w:r>
      <w:r w:rsidR="001079C2">
        <w:rPr>
          <w:rFonts w:ascii="Palatino Linotype" w:eastAsia="Palatino Linotype" w:hAnsi="Palatino Linotype" w:cs="Palatino Linotype"/>
        </w:rPr>
        <w:t>O</w:t>
      </w:r>
      <w:r w:rsidR="001079C2" w:rsidRPr="001079C2">
        <w:rPr>
          <w:rFonts w:ascii="Palatino Linotype" w:eastAsia="Palatino Linotype" w:hAnsi="Palatino Linotype" w:cs="Palatino Linotype"/>
        </w:rPr>
        <w:t xml:space="preserve">bligado atendió el </w:t>
      </w:r>
      <w:r w:rsidR="001079C2">
        <w:rPr>
          <w:rFonts w:ascii="Palatino Linotype" w:eastAsia="Palatino Linotype" w:hAnsi="Palatino Linotype" w:cs="Palatino Linotype"/>
        </w:rPr>
        <w:t>procedimiento</w:t>
      </w:r>
      <w:r w:rsidR="001079C2" w:rsidRPr="001079C2">
        <w:rPr>
          <w:rFonts w:ascii="Palatino Linotype" w:eastAsia="Palatino Linotype" w:hAnsi="Palatino Linotype" w:cs="Palatino Linotype"/>
        </w:rPr>
        <w:t xml:space="preserve"> de búsqueda</w:t>
      </w:r>
      <w:r w:rsidR="001079C2">
        <w:rPr>
          <w:rFonts w:ascii="Palatino Linotype" w:eastAsia="Palatino Linotype" w:hAnsi="Palatino Linotype" w:cs="Palatino Linotype"/>
        </w:rPr>
        <w:t xml:space="preserve"> para localizar la información</w:t>
      </w:r>
      <w:r w:rsidR="001079C2" w:rsidRPr="001079C2">
        <w:rPr>
          <w:rFonts w:ascii="Palatino Linotype" w:eastAsia="Palatino Linotype" w:hAnsi="Palatino Linotype" w:cs="Palatino Linotype"/>
        </w:rPr>
        <w:t>.</w:t>
      </w:r>
      <w:r>
        <w:rPr>
          <w:rFonts w:ascii="Palatino Linotype" w:eastAsia="Palatino Linotype" w:hAnsi="Palatino Linotype" w:cs="Palatino Linotype"/>
        </w:rPr>
        <w:t xml:space="preserve"> Es por todo lo vertido en líneas anteriores que la Suscrita no comparte el se</w:t>
      </w:r>
      <w:bookmarkStart w:id="4" w:name="_GoBack"/>
      <w:bookmarkEnd w:id="4"/>
      <w:r>
        <w:rPr>
          <w:rFonts w:ascii="Palatino Linotype" w:eastAsia="Palatino Linotype" w:hAnsi="Palatino Linotype" w:cs="Palatino Linotype"/>
        </w:rPr>
        <w:t xml:space="preserve">ntido de la resolución por lo que hace al acuerdo de incompetencia que se ordena y formula el presente voto disidente. </w:t>
      </w:r>
    </w:p>
    <w:p w:rsidR="00163947" w:rsidRDefault="00163947">
      <w:pPr>
        <w:spacing w:before="240" w:after="240" w:line="360" w:lineRule="auto"/>
        <w:ind w:right="139"/>
        <w:jc w:val="both"/>
        <w:rPr>
          <w:rFonts w:ascii="Palatino Linotype" w:eastAsia="Palatino Linotype" w:hAnsi="Palatino Linotype" w:cs="Palatino Linotype"/>
        </w:rPr>
      </w:pPr>
    </w:p>
    <w:sectPr w:rsidR="00163947">
      <w:headerReference w:type="default" r:id="rId10"/>
      <w:footerReference w:type="default" r:id="rId11"/>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C7E" w:rsidRDefault="00A24C7E">
      <w:pPr>
        <w:spacing w:after="0" w:line="240" w:lineRule="auto"/>
      </w:pPr>
      <w:r>
        <w:separator/>
      </w:r>
    </w:p>
  </w:endnote>
  <w:endnote w:type="continuationSeparator" w:id="0">
    <w:p w:rsidR="00A24C7E" w:rsidRDefault="00A2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47" w:rsidRDefault="006E253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2A6F06">
      <w:rPr>
        <w:rFonts w:ascii="Times New Roman" w:eastAsia="Times New Roman" w:hAnsi="Times New Roman" w:cs="Times New Roman"/>
        <w:b/>
        <w:noProof/>
        <w:color w:val="000000"/>
        <w:sz w:val="24"/>
        <w:szCs w:val="24"/>
      </w:rPr>
      <w:t>9</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2A6F06">
      <w:rPr>
        <w:rFonts w:ascii="Times New Roman" w:eastAsia="Times New Roman" w:hAnsi="Times New Roman" w:cs="Times New Roman"/>
        <w:b/>
        <w:noProof/>
        <w:color w:val="000000"/>
        <w:sz w:val="24"/>
        <w:szCs w:val="24"/>
      </w:rPr>
      <w:t>10</w:t>
    </w:r>
    <w:r>
      <w:rPr>
        <w:rFonts w:ascii="Times New Roman" w:eastAsia="Times New Roman" w:hAnsi="Times New Roman" w:cs="Times New Roman"/>
        <w:b/>
        <w:color w:val="000000"/>
        <w:sz w:val="24"/>
        <w:szCs w:val="24"/>
      </w:rPr>
      <w:fldChar w:fldCharType="end"/>
    </w:r>
  </w:p>
  <w:p w:rsidR="00163947" w:rsidRDefault="0016394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47" w:rsidRDefault="006E253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836FF5">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836FF5">
      <w:rPr>
        <w:rFonts w:ascii="Times New Roman" w:eastAsia="Times New Roman" w:hAnsi="Times New Roman" w:cs="Times New Roman"/>
        <w:b/>
        <w:noProof/>
        <w:color w:val="000000"/>
        <w:sz w:val="24"/>
        <w:szCs w:val="24"/>
      </w:rPr>
      <w:t>10</w:t>
    </w:r>
    <w:r>
      <w:rPr>
        <w:rFonts w:ascii="Times New Roman" w:eastAsia="Times New Roman" w:hAnsi="Times New Roman" w:cs="Times New Roman"/>
        <w:b/>
        <w:color w:val="000000"/>
        <w:sz w:val="24"/>
        <w:szCs w:val="24"/>
      </w:rPr>
      <w:fldChar w:fldCharType="end"/>
    </w:r>
  </w:p>
  <w:p w:rsidR="00163947" w:rsidRDefault="0016394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C7E" w:rsidRDefault="00A24C7E">
      <w:pPr>
        <w:spacing w:after="0" w:line="240" w:lineRule="auto"/>
      </w:pPr>
      <w:r>
        <w:separator/>
      </w:r>
    </w:p>
  </w:footnote>
  <w:footnote w:type="continuationSeparator" w:id="0">
    <w:p w:rsidR="00A24C7E" w:rsidRDefault="00A24C7E">
      <w:pPr>
        <w:spacing w:after="0" w:line="240" w:lineRule="auto"/>
      </w:pPr>
      <w:r>
        <w:continuationSeparator/>
      </w:r>
    </w:p>
  </w:footnote>
  <w:footnote w:id="1">
    <w:p w:rsidR="00163947" w:rsidRDefault="006E2533">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163947" w:rsidRDefault="006E253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47" w:rsidRDefault="006E253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highlight w:val="yellow"/>
      </w:rPr>
    </w:pPr>
    <w:r>
      <w:rPr>
        <w:rFonts w:ascii="Palatino Linotype" w:eastAsia="Palatino Linotype" w:hAnsi="Palatino Linotype" w:cs="Palatino Linotype"/>
        <w:b/>
        <w:color w:val="000000"/>
        <w:sz w:val="20"/>
        <w:szCs w:val="20"/>
      </w:rPr>
      <w:t>VOTO DISIDENTE</w:t>
    </w:r>
    <w:r>
      <w:rPr>
        <w:noProof/>
        <w:lang w:val="en-US" w:eastAsia="en-US"/>
      </w:rPr>
      <w:drawing>
        <wp:anchor distT="0" distB="0" distL="0" distR="0" simplePos="0" relativeHeight="251658240" behindDoc="1" locked="0" layoutInCell="1" hidden="0" allowOverlap="1">
          <wp:simplePos x="0" y="0"/>
          <wp:positionH relativeFrom="column">
            <wp:posOffset>-952489</wp:posOffset>
          </wp:positionH>
          <wp:positionV relativeFrom="paragraph">
            <wp:posOffset>-568952</wp:posOffset>
          </wp:positionV>
          <wp:extent cx="7510628" cy="9883775"/>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163947" w:rsidRDefault="006E253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01180/INFOEM/IP/RR/2023</w:t>
    </w:r>
  </w:p>
  <w:p w:rsidR="00163947" w:rsidRDefault="0016394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47" w:rsidRDefault="0016394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97F4F"/>
    <w:multiLevelType w:val="multilevel"/>
    <w:tmpl w:val="A01A9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224B9A"/>
    <w:multiLevelType w:val="hybridMultilevel"/>
    <w:tmpl w:val="D22C98A8"/>
    <w:lvl w:ilvl="0" w:tplc="2BF47AC8">
      <w:start w:val="1"/>
      <w:numFmt w:val="decimal"/>
      <w:lvlText w:val="%1."/>
      <w:lvlJc w:val="left"/>
      <w:pPr>
        <w:ind w:left="1080" w:hanging="360"/>
      </w:pPr>
      <w:rPr>
        <w:rFonts w:hint="default"/>
        <w:b w:val="0"/>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47"/>
    <w:rsid w:val="001079C2"/>
    <w:rsid w:val="00142958"/>
    <w:rsid w:val="00163947"/>
    <w:rsid w:val="00240495"/>
    <w:rsid w:val="002A6F06"/>
    <w:rsid w:val="00341663"/>
    <w:rsid w:val="004E1E0D"/>
    <w:rsid w:val="006E2533"/>
    <w:rsid w:val="00791976"/>
    <w:rsid w:val="007F0C0F"/>
    <w:rsid w:val="00836FF5"/>
    <w:rsid w:val="0092395C"/>
    <w:rsid w:val="009C49A6"/>
    <w:rsid w:val="00A24C7E"/>
    <w:rsid w:val="00B01540"/>
    <w:rsid w:val="00D72770"/>
    <w:rsid w:val="00F95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4686"/>
  <w15:docId w15:val="{44FA40DF-BE50-4CB7-95F5-201BC4D8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7">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Pr>
  </w:style>
  <w:style w:type="paragraph" w:customStyle="1" w:styleId="m-698976158124685028gmail-msolistparagraph">
    <w:name w:val="m_-698976158124685028gmail-msolistparagraph"/>
    <w:basedOn w:val="Normal"/>
    <w:rsid w:val="000E4B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WwPBpUa0Lxx8GkBdp2Glkt1/mw==">AMUW2mWjwjp2CPAF523elEYvS63uAmWYyh8zn5Yte9T8i2+Fb7wRdK3WB8SMyhJ6BpJJLtlve6LyZdOVNm3OoDLcPktc+AMLHLN8fCbC6TK4g9feTwx4d7/Fu1ojPInG0/6txhy4Z/qSPzhNI/6Lhka85fFPqla4RA==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2400</Words>
  <Characters>13684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NAJERA </cp:lastModifiedBy>
  <cp:revision>5</cp:revision>
  <cp:lastPrinted>2023-05-08T23:29:00Z</cp:lastPrinted>
  <dcterms:created xsi:type="dcterms:W3CDTF">2023-09-15T19:51:00Z</dcterms:created>
  <dcterms:modified xsi:type="dcterms:W3CDTF">2023-09-15T20:34:00Z</dcterms:modified>
</cp:coreProperties>
</file>