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DISIDENTE QUE FORMULA LA COMISIONADA GUADALUPE RAMÍREZ PEÑA, EN RELACIÓN CON LA RESOLUCIÓN DICTADA POR EL PLENO DEL INSTITUTO DE TRANSPARENCIA, ACCESO A LA INFORMACIÓN PÚBLICA Y PROTECCIÓN DE DATOS PERSONALES DEL ESTADO DE MÉXICO Y MUNICIPIOS, EN LA TRIGÉSIMA SÉPTIMA SESIÓN ORDINARIA DEL DOCE DE OCTUBRE DE DOS MIL VEINTITRÉS, EN EL RECURSO DE REVISIÓN 02675/INFOEM/IP/RR/2023. </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fundamento en lo dispuesto por el artículo 14, fracciones X y XI, del Reglamento del Instituto de Transparencia, Acceso a la Información Pública y Protección de Datos Personales del Estado de México, la Comisionada Guadalupe Ramírez Peña, emite </w:t>
      </w:r>
      <w:r w:rsidDel="00000000" w:rsidR="00000000" w:rsidRPr="00000000">
        <w:rPr>
          <w:rFonts w:ascii="Palatino Linotype" w:cs="Palatino Linotype" w:eastAsia="Palatino Linotype" w:hAnsi="Palatino Linotype"/>
          <w:b w:val="1"/>
          <w:rtl w:val="0"/>
        </w:rPr>
        <w:t xml:space="preserve">VOTO DISIDENTE </w:t>
      </w:r>
      <w:r w:rsidDel="00000000" w:rsidR="00000000" w:rsidRPr="00000000">
        <w:rPr>
          <w:rFonts w:ascii="Palatino Linotype" w:cs="Palatino Linotype" w:eastAsia="Palatino Linotype" w:hAnsi="Palatino Linotyp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rtl w:val="0"/>
        </w:rPr>
        <w:t xml:space="preserve">02675/INFOEM/IP/RR/2023 </w:t>
      </w:r>
      <w:r w:rsidDel="00000000" w:rsidR="00000000" w:rsidRPr="00000000">
        <w:rPr>
          <w:rFonts w:ascii="Palatino Linotype" w:cs="Palatino Linotype" w:eastAsia="Palatino Linotype" w:hAnsi="Palatino Linotype"/>
          <w:rtl w:val="0"/>
        </w:rPr>
        <w:t xml:space="preserve">pronunciada por el Pleno de este Instituto ante el proyecto presentado por la Comisionada Guadalupe Ramírez Peña, el cual se formuló conforme al criterio mayoritario del Pleno, el cual es al tenor siguiente:</w:t>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5">
      <w:pPr>
        <w:numPr>
          <w:ilvl w:val="0"/>
          <w:numId w:val="1"/>
        </w:numPr>
        <w:spacing w:after="0" w:line="360" w:lineRule="auto"/>
        <w:ind w:left="567" w:hanging="14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Antecedentes.</w:t>
      </w:r>
    </w:p>
    <w:p w:rsidR="00000000" w:rsidDel="00000000" w:rsidP="00000000" w:rsidRDefault="00000000" w:rsidRPr="00000000" w14:paraId="0000000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asunto que nos ocupa,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solicitó al </w:t>
      </w:r>
      <w:r w:rsidDel="00000000" w:rsidR="00000000" w:rsidRPr="00000000">
        <w:rPr>
          <w:rFonts w:ascii="Palatino Linotype" w:cs="Palatino Linotype" w:eastAsia="Palatino Linotype" w:hAnsi="Palatino Linotype"/>
          <w:b w:val="1"/>
          <w:rtl w:val="0"/>
        </w:rPr>
        <w:t xml:space="preserve">Sistema Municipal Para el Desarrollo Integral de la Familia de Toluca</w:t>
      </w:r>
      <w:r w:rsidDel="00000000" w:rsidR="00000000" w:rsidRPr="00000000">
        <w:rPr>
          <w:rFonts w:ascii="Palatino Linotype" w:cs="Palatino Linotype" w:eastAsia="Palatino Linotype" w:hAnsi="Palatino Linotype"/>
          <w:rtl w:val="0"/>
        </w:rPr>
        <w:t xml:space="preserve">, le proporcionará lo siguiente:</w:t>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9">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“Se me puede proporcionar una lista de todas las solicitudes de Información que ha recibido el ayuntamiento de Toluca. Muchas gracias!” (Sic)”.</w:t>
      </w:r>
    </w:p>
    <w:p w:rsidR="00000000" w:rsidDel="00000000" w:rsidP="00000000" w:rsidRDefault="00000000" w:rsidRPr="00000000" w14:paraId="0000000A">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su respuesta,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Unidad de Información, Planeación, Programación y Evaluación, refirió que la información no se encuentra en los archivos del Sujeto Obligado, debido a que corresponde a información de otro Sujeto Obligado, por lo tanto, es incompetente y sugiere solicitar la información ante el Ayuntamiento correspondiente.</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medio de impugnación citado al rubro, manifestado como motivo de inconformidad, lo siguiente: </w:t>
      </w:r>
    </w:p>
    <w:p w:rsidR="00000000" w:rsidDel="00000000" w:rsidP="00000000" w:rsidRDefault="00000000" w:rsidRPr="00000000" w14:paraId="0000000E">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851"/>
        </w:tabs>
        <w:spacing w:after="0" w:line="360" w:lineRule="auto"/>
        <w:ind w:left="567" w:right="701"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i w:val="1"/>
          <w:rtl w:val="0"/>
        </w:rPr>
        <w:t xml:space="preserve">Toda vez que la incompetencia se presentó a destiempo, o fuera de la temporalidad</w:t>
      </w:r>
      <w:r w:rsidDel="00000000" w:rsidR="00000000" w:rsidRPr="00000000">
        <w:rPr>
          <w:rFonts w:ascii="Palatino Linotype" w:cs="Palatino Linotype" w:eastAsia="Palatino Linotype" w:hAnsi="Palatino Linotype"/>
          <w:rtl w:val="0"/>
        </w:rPr>
        <w:t xml:space="preserve">” (Sic)</w:t>
      </w: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after="0" w:line="360" w:lineRule="auto"/>
        <w:ind w:right="-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atendiendo el Criterio mayoritario del Pleno de este Organismo Garante, se determinó que los motivos de inconformidad aducidos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resultaban parcialmente fundados y, se determinó </w:t>
      </w:r>
      <w:r w:rsidDel="00000000" w:rsidR="00000000" w:rsidRPr="00000000">
        <w:rPr>
          <w:rFonts w:ascii="Palatino Linotype" w:cs="Palatino Linotype" w:eastAsia="Palatino Linotype" w:hAnsi="Palatino Linotype"/>
          <w:b w:val="1"/>
          <w:rtl w:val="0"/>
        </w:rPr>
        <w:t xml:space="preserve">Modificar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ordenando lo siguiente:</w:t>
      </w:r>
    </w:p>
    <w:p w:rsidR="00000000" w:rsidDel="00000000" w:rsidP="00000000" w:rsidRDefault="00000000" w:rsidRPr="00000000" w14:paraId="00000014">
      <w:pPr>
        <w:spacing w:after="0" w:line="360" w:lineRule="auto"/>
        <w:ind w:right="-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before="240" w:line="360" w:lineRule="auto"/>
        <w:ind w:left="567" w:hanging="360"/>
        <w:jc w:val="both"/>
        <w:rPr>
          <w:rFonts w:ascii="Palatino Linotype" w:cs="Palatino Linotype" w:eastAsia="Palatino Linotype" w:hAnsi="Palatino Linotype"/>
          <w:b w:val="1"/>
          <w:color w:val="000000"/>
        </w:rPr>
      </w:pPr>
      <w:bookmarkStart w:colFirst="0" w:colLast="0" w:name="_heading=h.30j0zll" w:id="1"/>
      <w:bookmarkEnd w:id="1"/>
      <w:r w:rsidDel="00000000" w:rsidR="00000000" w:rsidRPr="00000000">
        <w:rPr>
          <w:rFonts w:ascii="Palatino Linotype" w:cs="Palatino Linotype" w:eastAsia="Palatino Linotype" w:hAnsi="Palatino Linotype"/>
          <w:b w:val="1"/>
          <w:color w:val="000000"/>
          <w:rtl w:val="0"/>
        </w:rPr>
        <w:t xml:space="preserve">El acuerdo que emita el Comité de Transparencia en el que se confirme la declaración de incompetencia del Sujeto obligado respecto de la información requerida mediante la solicitud de información  00129/DIFTOLUCA/IP/2023.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360" w:lineRule="auto"/>
        <w:jc w:val="both"/>
        <w:rPr>
          <w:color w:val="000000"/>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360" w:lineRule="auto"/>
        <w:ind w:left="567" w:hanging="28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del Voto Disidente.</w:t>
      </w:r>
    </w:p>
    <w:p w:rsidR="00000000" w:rsidDel="00000000" w:rsidP="00000000" w:rsidRDefault="00000000" w:rsidRPr="00000000" w14:paraId="0000001C">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generales es de señalar que no comparto el sentido de la resolución, por los argumentos que se exponen a continuación:</w:t>
      </w:r>
    </w:p>
    <w:p w:rsidR="00000000" w:rsidDel="00000000" w:rsidP="00000000" w:rsidRDefault="00000000" w:rsidRPr="00000000" w14:paraId="0000001E">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tabs>
          <w:tab w:val="left" w:leader="none" w:pos="142"/>
          <w:tab w:val="left" w:leader="none" w:pos="284"/>
        </w:tabs>
        <w:spacing w:after="0" w:line="360" w:lineRule="auto"/>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Respecto a la Declaración de Incompetencia la Ley de Transparencia y Acceso a la Información Pública del Estado de México, establece, en los artículos 49, fracción II y 167, lo siguiente: </w:t>
      </w:r>
      <w:r w:rsidDel="00000000" w:rsidR="00000000" w:rsidRPr="00000000">
        <w:rPr>
          <w:rtl w:val="0"/>
        </w:rPr>
      </w:r>
    </w:p>
    <w:p w:rsidR="00000000" w:rsidDel="00000000" w:rsidP="00000000" w:rsidRDefault="00000000" w:rsidRPr="00000000" w14:paraId="00000020">
      <w:pPr>
        <w:tabs>
          <w:tab w:val="left" w:leader="none" w:pos="142"/>
          <w:tab w:val="left" w:leader="none" w:pos="284"/>
        </w:tabs>
        <w:spacing w:after="0" w:line="276" w:lineRule="auto"/>
        <w:ind w:left="567"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021">
      <w:pPr>
        <w:tabs>
          <w:tab w:val="left" w:leader="none" w:pos="142"/>
          <w:tab w:val="left" w:leader="none" w:pos="284"/>
        </w:tabs>
        <w:spacing w:after="0" w:line="276" w:lineRule="auto"/>
        <w:ind w:left="567" w:right="70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22">
      <w:pPr>
        <w:tabs>
          <w:tab w:val="left" w:leader="none" w:pos="142"/>
          <w:tab w:val="left" w:leader="none" w:pos="284"/>
        </w:tabs>
        <w:spacing w:after="0" w:line="276" w:lineRule="auto"/>
        <w:ind w:left="567" w:right="706"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rtl w:val="0"/>
        </w:rPr>
        <w:t xml:space="preserve">Confirmar, modificar o revocar</w:t>
      </w:r>
      <w:r w:rsidDel="00000000" w:rsidR="00000000" w:rsidRPr="00000000">
        <w:rPr>
          <w:rFonts w:ascii="Palatino Linotype" w:cs="Palatino Linotype" w:eastAsia="Palatino Linotype" w:hAnsi="Palatino Linotype"/>
          <w:i w:val="1"/>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rtl w:val="0"/>
        </w:rPr>
        <w:t xml:space="preserve">y declaración</w:t>
      </w:r>
      <w:r w:rsidDel="00000000" w:rsidR="00000000" w:rsidRPr="00000000">
        <w:rPr>
          <w:rFonts w:ascii="Palatino Linotype" w:cs="Palatino Linotype" w:eastAsia="Palatino Linotype" w:hAnsi="Palatino Linotype"/>
          <w:i w:val="1"/>
          <w:rtl w:val="0"/>
        </w:rPr>
        <w:t xml:space="preserve"> de inexistencia o </w:t>
      </w:r>
      <w:r w:rsidDel="00000000" w:rsidR="00000000" w:rsidRPr="00000000">
        <w:rPr>
          <w:rFonts w:ascii="Palatino Linotype" w:cs="Palatino Linotype" w:eastAsia="Palatino Linotype" w:hAnsi="Palatino Linotype"/>
          <w:b w:val="1"/>
          <w:i w:val="1"/>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23">
      <w:pPr>
        <w:tabs>
          <w:tab w:val="left" w:leader="none" w:pos="142"/>
          <w:tab w:val="left" w:leader="none" w:pos="284"/>
        </w:tabs>
        <w:spacing w:after="0" w:line="276" w:lineRule="auto"/>
        <w:ind w:left="567" w:right="70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r>
    </w:p>
    <w:p w:rsidR="00000000" w:rsidDel="00000000" w:rsidP="00000000" w:rsidRDefault="00000000" w:rsidRPr="00000000" w14:paraId="00000024">
      <w:pPr>
        <w:tabs>
          <w:tab w:val="left" w:leader="none" w:pos="142"/>
          <w:tab w:val="left" w:leader="none" w:pos="284"/>
        </w:tabs>
        <w:spacing w:after="0" w:line="276" w:lineRule="auto"/>
        <w:ind w:left="567" w:right="70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167</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rtl w:val="0"/>
        </w:rPr>
        <w:t xml:space="preserve"> y, </w:t>
      </w:r>
      <w:r w:rsidDel="00000000" w:rsidR="00000000" w:rsidRPr="00000000">
        <w:rPr>
          <w:rFonts w:ascii="Palatino Linotype" w:cs="Palatino Linotype" w:eastAsia="Palatino Linotype" w:hAnsi="Palatino Linotype"/>
          <w:b w:val="1"/>
          <w:i w:val="1"/>
          <w:rtl w:val="0"/>
        </w:rPr>
        <w:t xml:space="preserve">en su caso orientar al solicitante, el o los sujetos obligados competentes.</w:t>
      </w:r>
    </w:p>
    <w:p w:rsidR="00000000" w:rsidDel="00000000" w:rsidP="00000000" w:rsidRDefault="00000000" w:rsidRPr="00000000" w14:paraId="00000025">
      <w:pPr>
        <w:spacing w:after="0" w:line="360" w:lineRule="auto"/>
        <w:ind w:left="567" w:right="70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tabs>
          <w:tab w:val="left" w:leader="none" w:pos="142"/>
          <w:tab w:val="left" w:leader="none" w:pos="284"/>
        </w:tabs>
        <w:spacing w:after="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 los preceptos citados se desprende que es atribución del Comité de Transparencia confirmar, modificar o revocar, en su caso, la declaración de incompetencia, </w:t>
      </w:r>
      <w:r w:rsidDel="00000000" w:rsidR="00000000" w:rsidRPr="00000000">
        <w:rPr>
          <w:rFonts w:ascii="Palatino Linotype" w:cs="Palatino Linotype" w:eastAsia="Palatino Linotype" w:hAnsi="Palatino Linotype"/>
          <w:b w:val="1"/>
          <w:rtl w:val="0"/>
        </w:rPr>
        <w:t xml:space="preserve">en aquellos casos en los que no se trate de una notoria incompetencia. </w:t>
      </w:r>
    </w:p>
    <w:p w:rsidR="00000000" w:rsidDel="00000000" w:rsidP="00000000" w:rsidRDefault="00000000" w:rsidRPr="00000000" w14:paraId="00000027">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Puesto que la Ley también prevé que dicho acuerdo no es necesario cuando la Unidad de Transparencia determine que la incompetencia es notoria dando un plazo de tres días hábiles para hacerlo del conocimiento del particular, por lo que si bien, en el caso particular, no fue respetado dicho plazo, ello no cambia la circunstancia de que la incompetencia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dar atención a la solicitud de información siga siendo notoria. </w:t>
      </w:r>
    </w:p>
    <w:p w:rsidR="00000000" w:rsidDel="00000000" w:rsidP="00000000" w:rsidRDefault="00000000" w:rsidRPr="00000000" w14:paraId="00000029">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tabs>
          <w:tab w:val="left" w:leader="none" w:pos="142"/>
          <w:tab w:val="left" w:leader="none" w:pos="284"/>
        </w:tabs>
        <w:spacing w:after="0" w:line="360" w:lineRule="auto"/>
        <w:jc w:val="both"/>
        <w:rPr>
          <w:rFonts w:ascii="Palatino Linotype" w:cs="Palatino Linotype" w:eastAsia="Palatino Linotype" w:hAnsi="Palatino Linotype"/>
          <w:u w:val="single"/>
        </w:rPr>
      </w:pPr>
      <w:r w:rsidDel="00000000" w:rsidR="00000000" w:rsidRPr="00000000">
        <w:rPr>
          <w:rFonts w:ascii="Palatino Linotype" w:cs="Palatino Linotype" w:eastAsia="Palatino Linotype" w:hAnsi="Palatino Linotype"/>
          <w:rtl w:val="0"/>
        </w:rPr>
        <w:t xml:space="preserve">En otras palabras, la Ley de la Materia confiere a las Unidades de Transparencia la posibilidad de notificar la incompetencia cuando ésta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u w:val="single"/>
          <w:rtl w:val="0"/>
        </w:rPr>
        <w:t xml:space="preserve">para su aprobación. </w:t>
      </w:r>
    </w:p>
    <w:p w:rsidR="00000000" w:rsidDel="00000000" w:rsidP="00000000" w:rsidRDefault="00000000" w:rsidRPr="00000000" w14:paraId="0000002B">
      <w:pPr>
        <w:tabs>
          <w:tab w:val="left" w:leader="none" w:pos="142"/>
          <w:tab w:val="left" w:leader="none" w:pos="284"/>
        </w:tabs>
        <w:spacing w:after="0" w:line="360" w:lineRule="auto"/>
        <w:jc w:val="both"/>
        <w:rPr>
          <w:rFonts w:ascii="Palatino Linotype" w:cs="Palatino Linotype" w:eastAsia="Palatino Linotype" w:hAnsi="Palatino Linotype"/>
          <w:u w:val="single"/>
        </w:rPr>
      </w:pPr>
      <w:r w:rsidDel="00000000" w:rsidR="00000000" w:rsidRPr="00000000">
        <w:rPr>
          <w:rtl w:val="0"/>
        </w:rPr>
      </w:r>
    </w:p>
    <w:p w:rsidR="00000000" w:rsidDel="00000000" w:rsidP="00000000" w:rsidRDefault="00000000" w:rsidRPr="00000000" w14:paraId="0000002C">
      <w:pPr>
        <w:spacing w:after="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360" w:lineRule="auto"/>
        <w:ind w:left="851" w:right="90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0">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rtl w:val="0"/>
        </w:rPr>
        <w:t xml:space="preserve">, como se lee enseguida:</w:t>
      </w:r>
    </w:p>
    <w:p w:rsidR="00000000" w:rsidDel="00000000" w:rsidP="00000000" w:rsidRDefault="00000000" w:rsidRPr="00000000" w14:paraId="00000031">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rtl w:val="0"/>
        </w:rPr>
        <w:t xml:space="preserve">, si se posee o no la información por el Sujeto Obligado requerid</w:t>
      </w:r>
      <w:r w:rsidDel="00000000" w:rsidR="00000000" w:rsidRPr="00000000">
        <w:rPr>
          <w:rFonts w:ascii="Palatino Linotype" w:cs="Palatino Linotype" w:eastAsia="Palatino Linotype" w:hAnsi="Palatino Linotype"/>
          <w:i w:val="1"/>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33">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particular, derivado del estudio que se realizó, se determinó que se estaba en presencia de una notoria incompetencia, por parte del Sistema Municipal Para el Desarrollo Integral de la Familia de Toluca, toda vez que el Particular requirió información del Ayuntamiento de Toluca, siendo este un </w:t>
      </w:r>
      <w:r w:rsidDel="00000000" w:rsidR="00000000" w:rsidRPr="00000000">
        <w:rPr>
          <w:rFonts w:ascii="Palatino Linotype" w:cs="Palatino Linotype" w:eastAsia="Palatino Linotype" w:hAnsi="Palatino Linotype"/>
          <w:b w:val="1"/>
          <w:rtl w:val="0"/>
        </w:rPr>
        <w:t xml:space="preserve">sujeto obligado diverso</w:t>
      </w:r>
      <w:r w:rsidDel="00000000" w:rsidR="00000000" w:rsidRPr="00000000">
        <w:rPr>
          <w:rFonts w:ascii="Palatino Linotype" w:cs="Palatino Linotype" w:eastAsia="Palatino Linotype" w:hAnsi="Palatino Linotype"/>
          <w:rtl w:val="0"/>
        </w:rPr>
        <w:t xml:space="preserve">, reconocido explícitamente en el Padrón de Sujetos Obligados que este Organismo Garante ha aprobado, situación que se refirió en el cuerpo de la resolución tal como se advierte a continuación:</w:t>
      </w:r>
    </w:p>
    <w:p w:rsidR="00000000" w:rsidDel="00000000" w:rsidP="00000000" w:rsidRDefault="00000000" w:rsidRPr="00000000" w14:paraId="00000035">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6">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padrón de sujetos obligados en materia de transparencia y acceso a la información pública del Estado de México y Municipios (consultable en </w:t>
      </w:r>
      <w:hyperlink r:id="rId7">
        <w:r w:rsidDel="00000000" w:rsidR="00000000" w:rsidRPr="00000000">
          <w:rPr>
            <w:rFonts w:ascii="Palatino Linotype" w:cs="Palatino Linotype" w:eastAsia="Palatino Linotype" w:hAnsi="Palatino Linotype"/>
            <w:i w:val="1"/>
            <w:color w:val="0000ff"/>
            <w:u w:val="single"/>
            <w:rtl w:val="0"/>
          </w:rPr>
          <w:t xml:space="preserve">https://www.infoem.org.mx/doc/acuerdos/Acuerdo_Padron_SO.pdf</w:t>
        </w:r>
      </w:hyperlink>
      <w:r w:rsidDel="00000000" w:rsidR="00000000" w:rsidRPr="00000000">
        <w:rPr>
          <w:rFonts w:ascii="Palatino Linotype" w:cs="Palatino Linotype" w:eastAsia="Palatino Linotype" w:hAnsi="Palatino Linotype"/>
          <w:i w:val="1"/>
          <w:rtl w:val="0"/>
        </w:rPr>
        <w:t xml:space="preserve">), se advierte como Sujeto Obligado al Ayuntamiento de Toluca:</w:t>
      </w:r>
    </w:p>
    <w:p w:rsidR="00000000" w:rsidDel="00000000" w:rsidP="00000000" w:rsidRDefault="00000000" w:rsidRPr="00000000" w14:paraId="00000037">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Pr>
        <w:drawing>
          <wp:inline distB="0" distT="0" distL="0" distR="0">
            <wp:extent cx="4953000" cy="989330"/>
            <wp:effectExtent b="0" l="0" r="0" t="0"/>
            <wp:docPr descr="Texto&#10;&#10;Descripción generada automáticamente" id="100" name="image1.png"/>
            <a:graphic>
              <a:graphicData uri="http://schemas.openxmlformats.org/drawingml/2006/picture">
                <pic:pic>
                  <pic:nvPicPr>
                    <pic:cNvPr descr="Texto&#10;&#10;Descripción generada automáticamente" id="0" name="image1.png"/>
                    <pic:cNvPicPr preferRelativeResize="0"/>
                  </pic:nvPicPr>
                  <pic:blipFill>
                    <a:blip r:embed="rId8"/>
                    <a:srcRect b="0" l="0" r="0" t="0"/>
                    <a:stretch>
                      <a:fillRect/>
                    </a:stretch>
                  </pic:blipFill>
                  <pic:spPr>
                    <a:xfrm>
                      <a:off x="0" y="0"/>
                      <a:ext cx="4953000" cy="98933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360" w:lineRule="auto"/>
        <w:ind w:left="567" w:right="706"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9">
      <w:pPr>
        <w:spacing w:after="0" w:line="360" w:lineRule="auto"/>
        <w:ind w:left="567"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Pr>
        <w:drawing>
          <wp:inline distB="0" distT="0" distL="0" distR="0">
            <wp:extent cx="4742180" cy="180975"/>
            <wp:effectExtent b="38100" l="38100" r="38100" t="38100"/>
            <wp:docPr id="10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742180" cy="180975"/>
                    </a:xfrm>
                    <a:prstGeom prst="rect"/>
                    <a:ln w="381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A">
      <w:pPr>
        <w:spacing w:after="0" w:line="360" w:lineRule="auto"/>
        <w:ind w:left="567" w:right="706" w:firstLine="0"/>
        <w:jc w:val="center"/>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B">
      <w:pPr>
        <w:spacing w:after="0" w:line="360" w:lineRule="auto"/>
        <w:ind w:left="709" w:right="70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Pr>
        <w:drawing>
          <wp:inline distB="0" distT="0" distL="0" distR="0">
            <wp:extent cx="4838065" cy="201930"/>
            <wp:effectExtent b="0" l="0" r="0" t="0"/>
            <wp:docPr id="10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838065" cy="20193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left" w:leader="none" w:pos="142"/>
          <w:tab w:val="left" w:leader="none" w:pos="284"/>
        </w:tabs>
        <w:spacing w:after="0" w:line="360" w:lineRule="auto"/>
        <w:jc w:val="both"/>
        <w:rPr>
          <w:rFonts w:ascii="Palatino Linotype" w:cs="Palatino Linotype" w:eastAsia="Palatino Linotype" w:hAnsi="Palatino Linotype"/>
          <w:i w:val="1"/>
        </w:rPr>
      </w:pPr>
      <w:bookmarkStart w:colFirst="0" w:colLast="0" w:name="_heading=h.2et92p0" w:id="2"/>
      <w:bookmarkEnd w:id="2"/>
      <w:r w:rsidDel="00000000" w:rsidR="00000000" w:rsidRPr="00000000">
        <w:rPr>
          <w:rtl w:val="0"/>
        </w:rPr>
      </w:r>
    </w:p>
    <w:p w:rsidR="00000000" w:rsidDel="00000000" w:rsidP="00000000" w:rsidRDefault="00000000" w:rsidRPr="00000000" w14:paraId="0000003D">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desde mi perspectiva, ordenar al Comité de Transparencia del Sujeto Obligado que sesione para que emita un acuerdo en el que confirme la declaratoria de incompetencia para garantizar el derecho de la parte Recurrente dilata los plazos del procedimiento, genera una carga adicional al Sujeto Obligado, y ello no modifica el hecho de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no obtendrá la información que es de su interés por ésta vía, en virtud de que la propia ponencia ha determinado que </w:t>
      </w:r>
      <w:r w:rsidDel="00000000" w:rsidR="00000000" w:rsidRPr="00000000">
        <w:rPr>
          <w:rFonts w:ascii="Palatino Linotype" w:cs="Palatino Linotype" w:eastAsia="Palatino Linotype" w:hAnsi="Palatino Linotype"/>
          <w:b w:val="1"/>
          <w:i w:val="1"/>
          <w:u w:val="single"/>
          <w:rtl w:val="0"/>
        </w:rPr>
        <w:t xml:space="preserve">el Sujeto Obligado no cuenta con competencia para atender los requerimientos señalados por el particular, por ende no se</w:t>
      </w:r>
      <w:r w:rsidDel="00000000" w:rsidR="00000000" w:rsidRPr="00000000">
        <w:rPr>
          <w:b w:val="1"/>
          <w:i w:val="1"/>
          <w:u w:val="single"/>
          <w:rtl w:val="0"/>
        </w:rPr>
        <w:t xml:space="preserve"> </w:t>
      </w:r>
      <w:r w:rsidDel="00000000" w:rsidR="00000000" w:rsidRPr="00000000">
        <w:rPr>
          <w:rFonts w:ascii="Palatino Linotype" w:cs="Palatino Linotype" w:eastAsia="Palatino Linotype" w:hAnsi="Palatino Linotype"/>
          <w:b w:val="1"/>
          <w:i w:val="1"/>
          <w:u w:val="single"/>
          <w:rtl w:val="0"/>
        </w:rPr>
        <w:t xml:space="preserve">encuentra constreñido a entregar la información requerida ante la falta de atribuciones para generar, poseer o administrar lo solicitado. </w:t>
      </w:r>
      <w:r w:rsidDel="00000000" w:rsidR="00000000" w:rsidRPr="00000000">
        <w:rPr>
          <w:rtl w:val="0"/>
        </w:rPr>
      </w:r>
    </w:p>
    <w:p w:rsidR="00000000" w:rsidDel="00000000" w:rsidP="00000000" w:rsidRDefault="00000000" w:rsidRPr="00000000" w14:paraId="0000003E">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tabs>
          <w:tab w:val="left" w:leader="none" w:pos="142"/>
          <w:tab w:val="left" w:leader="none" w:pos="284"/>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040">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por todo lo vertido en líneas anteriores que la Suscrita no comparte el sentido de la resolución, adoptado de conformidad con el Criterio Mayoritario del Pleno de este Organismo Garante, por lo que, formulo el presente voto disidente.</w:t>
      </w:r>
    </w:p>
    <w:p w:rsidR="00000000" w:rsidDel="00000000" w:rsidP="00000000" w:rsidRDefault="00000000" w:rsidRPr="00000000" w14:paraId="00000042">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7">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8">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9">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C">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2">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ind w:right="139"/>
        <w:jc w:val="both"/>
        <w:rPr>
          <w:rFonts w:ascii="Palatino Linotype" w:cs="Palatino Linotype" w:eastAsia="Palatino Linotype" w:hAnsi="Palatino Linotype"/>
        </w:rPr>
      </w:pPr>
      <w:r w:rsidDel="00000000" w:rsidR="00000000" w:rsidRPr="00000000">
        <w:rPr>
          <w:rtl w:val="0"/>
        </w:rPr>
      </w:r>
    </w:p>
    <w:sectPr>
      <w:headerReference r:id="rId11" w:type="default"/>
      <w:pgSz w:h="15840" w:w="12240" w:orient="portrait"/>
      <w:pgMar w:bottom="2836" w:top="1871" w:left="1985" w:right="1327" w:header="709" w:footer="5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-683891</wp:posOffset>
          </wp:positionH>
          <wp:positionV relativeFrom="paragraph">
            <wp:posOffset>-614677</wp:posOffset>
          </wp:positionV>
          <wp:extent cx="7510145" cy="9883775"/>
          <wp:effectExtent b="0" l="0" r="0" t="0"/>
          <wp:wrapNone/>
          <wp:docPr id="10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510145" cy="9883775"/>
                  </a:xfrm>
                  <a:prstGeom prst="rect"/>
                  <a:ln/>
                </pic:spPr>
              </pic:pic>
            </a:graphicData>
          </a:graphic>
        </wp:anchor>
      </w:drawing>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DISIDENTE</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RECURSOS DE REVISIÓN: 02675/INFOEM/IP/RR/2023 </w:t>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607BA"/>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EncabezadoCar" w:customStyle="1">
    <w:name w:val="Encabezado Car"/>
    <w:basedOn w:val="Fuentedeprrafopredeter"/>
    <w:link w:val="Encabezado"/>
    <w:uiPriority w:val="99"/>
    <w:rsid w:val="000607B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PiedepginaCar" w:customStyle="1">
    <w:name w:val="Pie de página Car"/>
    <w:basedOn w:val="Fuentedeprrafopredeter"/>
    <w:link w:val="Piedepgina"/>
    <w:uiPriority w:val="99"/>
    <w:rsid w:val="000607BA"/>
    <w:rPr>
      <w:rFonts w:ascii="Times New Roman" w:cs="Times New Roman" w:eastAsia="Times New Roman" w:hAnsi="Times New Roman"/>
      <w:sz w:val="24"/>
      <w:szCs w:val="24"/>
      <w:lang w:eastAsia="es-ES" w:val="es-ES"/>
    </w:rPr>
  </w:style>
  <w:style w:type="paragraph" w:styleId="NormalWeb">
    <w:name w:val="Normal (Web)"/>
    <w:basedOn w:val="Normal"/>
    <w:uiPriority w:val="99"/>
    <w:rsid w:val="000607BA"/>
    <w:pPr>
      <w:spacing w:after="100" w:afterAutospacing="1" w:before="100" w:beforeAutospacing="1" w:line="240" w:lineRule="auto"/>
    </w:pPr>
    <w:rPr>
      <w:rFonts w:ascii="Times New Roman" w:cs="Times New Roman" w:eastAsia="Times New Roman" w:hAnsi="Times New Roman"/>
      <w:sz w:val="24"/>
      <w:szCs w:val="24"/>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607BA"/>
    <w:pPr>
      <w:spacing w:after="0" w:line="240" w:lineRule="auto"/>
      <w:ind w:left="720"/>
      <w:contextualSpacing w:val="1"/>
    </w:pPr>
    <w:rPr>
      <w:rFonts w:ascii="Times New Roman" w:cs="Times New Roman" w:hAnsi="Times New Roman"/>
      <w:sz w:val="24"/>
      <w:szCs w:val="24"/>
      <w:lang w:eastAsia="es-ES"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607BA"/>
    <w:rPr>
      <w:rFonts w:ascii="Times New Roman" w:cs="Times New Roman" w:eastAsia="Calibri" w:hAnsi="Times New Roman"/>
      <w:sz w:val="24"/>
      <w:szCs w:val="24"/>
      <w:lang w:eastAsia="es-ES" w:val="es-ES"/>
    </w:rPr>
  </w:style>
  <w:style w:type="paragraph" w:styleId="Textodeglobo">
    <w:name w:val="Balloon Text"/>
    <w:basedOn w:val="Normal"/>
    <w:link w:val="TextodegloboCar"/>
    <w:uiPriority w:val="99"/>
    <w:semiHidden w:val="1"/>
    <w:unhideWhenUsed w:val="1"/>
    <w:rsid w:val="0045646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6467"/>
    <w:rPr>
      <w:rFonts w:ascii="Segoe UI" w:cs="Segoe UI" w:hAnsi="Segoe UI"/>
      <w:sz w:val="18"/>
      <w:szCs w:val="18"/>
    </w:rPr>
  </w:style>
  <w:style w:type="character" w:styleId="apple-converted-space" w:customStyle="1">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921613"/>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921613"/>
    <w:rPr>
      <w:vertAlign w:val="superscript"/>
    </w:rPr>
  </w:style>
  <w:style w:type="character" w:styleId="Hipervnculo">
    <w:name w:val="Hyperlink"/>
    <w:basedOn w:val="Fuentedeprrafopredeter"/>
    <w:uiPriority w:val="99"/>
    <w:semiHidden w:val="1"/>
    <w:unhideWhenUsed w:val="1"/>
    <w:rsid w:val="00696A57"/>
    <w:rPr>
      <w:color w:val="0000ff"/>
      <w:u w:val="single"/>
    </w:rPr>
  </w:style>
  <w:style w:type="paragraph" w:styleId="Citas" w:customStyle="1">
    <w:name w:val="Citas"/>
    <w:basedOn w:val="Normal"/>
    <w:qFormat w:val="1"/>
    <w:rsid w:val="00191E4D"/>
    <w:pPr>
      <w:spacing w:before="240" w:line="360" w:lineRule="auto"/>
      <w:ind w:left="851" w:right="851"/>
      <w:jc w:val="both"/>
    </w:pPr>
    <w:rPr>
      <w:rFonts w:ascii="Palatino Linotype" w:cs="Arial" w:hAnsi="Palatino Linotype"/>
      <w:i w:val="1"/>
    </w:rPr>
  </w:style>
  <w:style w:type="paragraph" w:styleId="Sinespaciado">
    <w:name w:val="No Spacing"/>
    <w:aliases w:val="Francesa,INAI"/>
    <w:link w:val="SinespaciadoCar"/>
    <w:uiPriority w:val="1"/>
    <w:qFormat w:val="1"/>
    <w:rsid w:val="00AB4878"/>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AB4878"/>
    <w:rPr>
      <w:rFonts w:ascii="Times New Roman" w:cs="Times New Roman" w:eastAsia="Times New Roman" w:hAnsi="Times New Roman"/>
      <w:sz w:val="24"/>
      <w:szCs w:val="24"/>
      <w:lang w:eastAsia="es-ES"/>
    </w:rPr>
  </w:style>
  <w:style w:type="paragraph" w:styleId="INFOEM" w:customStyle="1">
    <w:name w:val="INFOEM"/>
    <w:basedOn w:val="Normal"/>
    <w:qFormat w:val="1"/>
    <w:rsid w:val="00A430B5"/>
    <w:pPr>
      <w:spacing w:before="240" w:line="360" w:lineRule="auto"/>
      <w:ind w:left="851" w:right="851"/>
      <w:jc w:val="both"/>
    </w:pPr>
    <w:rPr>
      <w:rFonts w:ascii="Palatino Linotype" w:hAnsi="Palatino Linotype"/>
      <w:i w:val="1"/>
      <w:szCs w:val="1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Fundamentos" w:customStyle="1">
    <w:name w:val="Fundamentos"/>
    <w:basedOn w:val="Normal"/>
    <w:qFormat w:val="1"/>
    <w:rsid w:val="000B7742"/>
    <w:pPr>
      <w:pBdr>
        <w:top w:space="0" w:sz="0" w:val="nil"/>
        <w:left w:space="0" w:sz="0" w:val="nil"/>
        <w:bottom w:space="0" w:sz="0" w:val="nil"/>
        <w:right w:space="0" w:sz="0" w:val="nil"/>
        <w:between w:space="0" w:sz="0" w:val="nil"/>
      </w:pBdr>
      <w:spacing w:after="0" w:line="240" w:lineRule="auto"/>
      <w:ind w:left="567" w:right="567"/>
      <w:contextualSpacing w:val="1"/>
      <w:jc w:val="both"/>
    </w:pPr>
    <w:rPr>
      <w:rFonts w:ascii="Palatino Linotype" w:cs="Palatino Linotype" w:eastAsia="Palatino Linotype" w:hAnsi="Palatino Linotype"/>
      <w:i w:val="1"/>
      <w:color w:val="000000"/>
      <w:szCs w:val="24"/>
      <w:lang w:val="es-ES_trad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infoem.org.mx/doc/acuerdos/Acuerdo_Padron_SO.pdf"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NTTIynPai686yngpBHub72Fxrw==">CgMxLjAyCGguZ2pkZ3hzMgloLjMwajB6bGwyCWguMmV0OTJwMDgAciExX2RWVXFHTFVTSV9qVV9pb0c1MC0xRkhLWEp6dXR0UlE=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2023-10-17T20:07:00Z</dcterms:created>
  <dc:creator>USUARIO</dc:creator>
</cp:coreProperties>
</file>