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C8" w:rsidRDefault="009218C0">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w:t>
      </w:r>
      <w:r w:rsidRPr="003A3FE9">
        <w:rPr>
          <w:rFonts w:ascii="Palatino Linotype" w:eastAsia="Palatino Linotype" w:hAnsi="Palatino Linotype" w:cs="Palatino Linotype"/>
          <w:b/>
        </w:rPr>
        <w:t>OCT</w:t>
      </w:r>
      <w:r w:rsidR="003A3FE9" w:rsidRPr="003A3FE9">
        <w:rPr>
          <w:rFonts w:ascii="Palatino Linotype" w:eastAsia="Palatino Linotype" w:hAnsi="Palatino Linotype" w:cs="Palatino Linotype"/>
          <w:b/>
        </w:rPr>
        <w:t>AVA SESIÓN ORDINARIA DEL SEIS DE MARZO DE DOS MIL VEINTICUATRO</w:t>
      </w:r>
      <w:r w:rsidRPr="003A3FE9">
        <w:rPr>
          <w:rFonts w:ascii="Palatino Linotype" w:eastAsia="Palatino Linotype" w:hAnsi="Palatino Linotype" w:cs="Palatino Linotype"/>
          <w:b/>
        </w:rPr>
        <w:t>,</w:t>
      </w:r>
      <w:r>
        <w:rPr>
          <w:rFonts w:ascii="Palatino Linotype" w:eastAsia="Palatino Linotype" w:hAnsi="Palatino Linotype" w:cs="Palatino Linotype"/>
          <w:b/>
        </w:rPr>
        <w:t xml:space="preserve"> EN EL RECURSO DE REVISIÓN 00200/INFOEM/IP/RR/2024 Y 00201/INFOEM/IP/RR/2024, ACUMULADOS.</w:t>
      </w:r>
    </w:p>
    <w:p w:rsidR="009B04C8" w:rsidRDefault="009B04C8">
      <w:pPr>
        <w:spacing w:after="0" w:line="360" w:lineRule="auto"/>
        <w:jc w:val="both"/>
        <w:rPr>
          <w:rFonts w:ascii="Palatino Linotype" w:eastAsia="Palatino Linotype" w:hAnsi="Palatino Linotype" w:cs="Palatino Linotype"/>
          <w:b/>
        </w:rPr>
      </w:pPr>
    </w:p>
    <w:p w:rsidR="009B04C8" w:rsidRDefault="009218C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w:t>
      </w:r>
      <w:r>
        <w:rPr>
          <w:rFonts w:ascii="Palatino Linotype" w:eastAsia="Palatino Linotype" w:hAnsi="Palatino Linotype" w:cs="Palatino Linotype"/>
        </w:rPr>
        <w:t xml:space="preserve"> y XI, del Reglamento del Instituto de Transparencia, Acceso a la Información Pública y Protección de Datos Personales del Estado de México,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respecto a la resolución dictada en el recurso</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rPr>
        <w:t>de revis</w:t>
      </w:r>
      <w:r>
        <w:rPr>
          <w:rFonts w:ascii="Palatino Linotype" w:eastAsia="Palatino Linotype" w:hAnsi="Palatino Linotype" w:cs="Palatino Linotype"/>
        </w:rPr>
        <w:t xml:space="preserve">ión número </w:t>
      </w:r>
      <w:r>
        <w:rPr>
          <w:rFonts w:ascii="Palatino Linotype" w:eastAsia="Palatino Linotype" w:hAnsi="Palatino Linotype" w:cs="Palatino Linotype"/>
          <w:b/>
        </w:rPr>
        <w:t>00200/INFOEM/IP/RR/2024 y acumulado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Comisionada José Vilchis Martínez</w:t>
      </w:r>
      <w:r>
        <w:rPr>
          <w:rFonts w:ascii="Palatino Linotype" w:eastAsia="Palatino Linotype" w:hAnsi="Palatino Linotype" w:cs="Palatino Linotype"/>
        </w:rPr>
        <w:t>, el cual se formuló, al tenor siguiente:</w:t>
      </w:r>
    </w:p>
    <w:p w:rsidR="009B04C8" w:rsidRDefault="009B04C8">
      <w:pPr>
        <w:spacing w:after="0" w:line="360" w:lineRule="auto"/>
        <w:jc w:val="both"/>
        <w:rPr>
          <w:rFonts w:ascii="Palatino Linotype" w:eastAsia="Palatino Linotype" w:hAnsi="Palatino Linotype" w:cs="Palatino Linotype"/>
        </w:rPr>
      </w:pPr>
    </w:p>
    <w:p w:rsidR="009B04C8" w:rsidRDefault="009218C0">
      <w:pPr>
        <w:numPr>
          <w:ilvl w:val="0"/>
          <w:numId w:val="1"/>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9B04C8" w:rsidRDefault="009B04C8">
      <w:pPr>
        <w:spacing w:after="0" w:line="360" w:lineRule="auto"/>
        <w:ind w:left="567"/>
        <w:jc w:val="both"/>
        <w:rPr>
          <w:rFonts w:ascii="Palatino Linotype" w:eastAsia="Palatino Linotype" w:hAnsi="Palatino Linotype" w:cs="Palatino Linotype"/>
          <w:b/>
        </w:rPr>
      </w:pPr>
    </w:p>
    <w:p w:rsidR="009B04C8" w:rsidRDefault="009218C0">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asunto que nos ocupa, la parte Re</w:t>
      </w:r>
      <w:r>
        <w:rPr>
          <w:rFonts w:ascii="Palatino Linotype" w:eastAsia="Palatino Linotype" w:hAnsi="Palatino Linotype" w:cs="Palatino Linotype"/>
        </w:rPr>
        <w:t xml:space="preserve">currente solicitó a la </w:t>
      </w:r>
      <w:r>
        <w:rPr>
          <w:rFonts w:ascii="Palatino Linotype" w:eastAsia="Palatino Linotype" w:hAnsi="Palatino Linotype" w:cs="Palatino Linotype"/>
          <w:b/>
        </w:rPr>
        <w:t>Secretaría de Finanzas</w:t>
      </w:r>
      <w:r>
        <w:rPr>
          <w:rFonts w:ascii="Palatino Linotype" w:eastAsia="Palatino Linotype" w:hAnsi="Palatino Linotype" w:cs="Palatino Linotype"/>
        </w:rPr>
        <w:t xml:space="preserve">, en su carácter de Sujeto Obligado, le proporcionara los recibos de nómina de un determinado servidor público generados en los ejercicios 2018 al 2023. </w:t>
      </w:r>
    </w:p>
    <w:p w:rsidR="003A3FE9" w:rsidRDefault="003A3FE9">
      <w:pPr>
        <w:spacing w:after="120" w:line="360" w:lineRule="auto"/>
        <w:jc w:val="both"/>
        <w:rPr>
          <w:rFonts w:ascii="Palatino Linotype" w:eastAsia="Palatino Linotype" w:hAnsi="Palatino Linotype" w:cs="Palatino Linotype"/>
          <w:i/>
          <w:color w:val="000000"/>
        </w:rPr>
      </w:pPr>
    </w:p>
    <w:p w:rsidR="009B04C8" w:rsidRDefault="009218C0">
      <w:pPr>
        <w:spacing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respuestas a las solicitudes, la Dirección General del</w:t>
      </w:r>
      <w:r>
        <w:rPr>
          <w:rFonts w:ascii="Palatino Linotype" w:eastAsia="Palatino Linotype" w:hAnsi="Palatino Linotype" w:cs="Palatino Linotype"/>
        </w:rPr>
        <w:t xml:space="preserve"> Personal de la Secretaría de Finanzas hizo entrega del documento denominado documento denominado “Percepciones y </w:t>
      </w:r>
      <w:r>
        <w:rPr>
          <w:rFonts w:ascii="Palatino Linotype" w:eastAsia="Palatino Linotype" w:hAnsi="Palatino Linotype" w:cs="Palatino Linotype"/>
        </w:rPr>
        <w:lastRenderedPageBreak/>
        <w:t>Deducciones Anualizadas por servidor (a) público” el cual contiene las percepciones y deducciones anualizadas por servidor público correspondi</w:t>
      </w:r>
      <w:r>
        <w:rPr>
          <w:rFonts w:ascii="Palatino Linotype" w:eastAsia="Palatino Linotype" w:hAnsi="Palatino Linotype" w:cs="Palatino Linotype"/>
        </w:rPr>
        <w:t xml:space="preserve">entes al citado servidor público. </w:t>
      </w:r>
    </w:p>
    <w:p w:rsidR="009B04C8" w:rsidRDefault="009218C0">
      <w:pPr>
        <w:spacing w:line="360" w:lineRule="auto"/>
        <w:ind w:right="-3"/>
        <w:jc w:val="both"/>
        <w:rPr>
          <w:rFonts w:ascii="Palatino Linotype" w:eastAsia="Palatino Linotype" w:hAnsi="Palatino Linotype" w:cs="Palatino Linotype"/>
          <w:i/>
        </w:rPr>
      </w:pP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Una vez conocidas las respuestas del Sujeto Obligado, el ahora Recurrente interpuso los medios de impugnación, mediante el cual se inconformó por considerar que la información no corresponde con lo solicitado, pues de ma</w:t>
      </w:r>
      <w:r>
        <w:rPr>
          <w:rFonts w:ascii="Palatino Linotype" w:eastAsia="Palatino Linotype" w:hAnsi="Palatino Linotype" w:cs="Palatino Linotype"/>
        </w:rPr>
        <w:t xml:space="preserve">nera específica solicitó los recibos de nómina. </w:t>
      </w:r>
    </w:p>
    <w:p w:rsidR="009B04C8" w:rsidRDefault="009218C0">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interpuestos los recursos de revisión, de las constancias que obran en los expedientes en el Sistema de Acceso a la Información Mexiquense,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sus informes justificados a través del cual señaló</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que los recibos de nómina requeridos son obtenidos por cada servidor público mediante contraseña, sin embargo, en atención al principio de máxima publicidad hizo entrega del documento “Percepciones</w:t>
      </w:r>
      <w:r>
        <w:rPr>
          <w:rFonts w:ascii="Palatino Linotype" w:eastAsia="Palatino Linotype" w:hAnsi="Palatino Linotype" w:cs="Palatino Linotype"/>
          <w:color w:val="000000"/>
        </w:rPr>
        <w:t xml:space="preserve"> y deducciones autorizadas por servidor (a) público (a).</w:t>
      </w:r>
    </w:p>
    <w:p w:rsidR="009B04C8" w:rsidRDefault="009B04C8">
      <w:pPr>
        <w:spacing w:after="0" w:line="360" w:lineRule="auto"/>
        <w:jc w:val="both"/>
        <w:rPr>
          <w:rFonts w:ascii="Palatino Linotype" w:eastAsia="Palatino Linotype" w:hAnsi="Palatino Linotype" w:cs="Palatino Linotype"/>
        </w:rPr>
      </w:pPr>
    </w:p>
    <w:p w:rsidR="009B04C8" w:rsidRDefault="009218C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Circunstancia que valoró la ponencia Resolutora, determinando que se trataba de un hecho negativo y toda vez que el Sujeto Obligado </w:t>
      </w:r>
      <w:r>
        <w:rPr>
          <w:rFonts w:ascii="Palatino Linotype" w:eastAsia="Palatino Linotype" w:hAnsi="Palatino Linotype" w:cs="Palatino Linotype"/>
        </w:rPr>
        <w:t>modificó</w:t>
      </w:r>
      <w:r>
        <w:rPr>
          <w:rFonts w:ascii="Palatino Linotype" w:eastAsia="Palatino Linotype" w:hAnsi="Palatino Linotype" w:cs="Palatino Linotype"/>
          <w:color w:val="000000"/>
        </w:rPr>
        <w:t xml:space="preserve"> sus respuestas iniciales, el</w:t>
      </w:r>
      <w:r>
        <w:rPr>
          <w:rFonts w:ascii="Palatino Linotype" w:eastAsia="Palatino Linotype" w:hAnsi="Palatino Linotype" w:cs="Palatino Linotype"/>
        </w:rPr>
        <w:t xml:space="preserve"> Comisionado Ponente determin</w:t>
      </w:r>
      <w:r>
        <w:rPr>
          <w:rFonts w:ascii="Palatino Linotype" w:eastAsia="Palatino Linotype" w:hAnsi="Palatino Linotype" w:cs="Palatino Linotype"/>
        </w:rPr>
        <w:t xml:space="preserve">ó lo siguiente:  </w:t>
      </w:r>
    </w:p>
    <w:p w:rsidR="009B04C8" w:rsidRDefault="009B04C8">
      <w:pPr>
        <w:spacing w:after="120" w:line="360" w:lineRule="auto"/>
        <w:jc w:val="both"/>
        <w:rPr>
          <w:rFonts w:ascii="Palatino Linotype" w:eastAsia="Palatino Linotype" w:hAnsi="Palatino Linotype" w:cs="Palatino Linotype"/>
        </w:rPr>
      </w:pPr>
    </w:p>
    <w:p w:rsidR="009B04C8" w:rsidRDefault="009218C0">
      <w:pPr>
        <w:spacing w:after="0" w:line="240"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“PRIMERO. Se SOBRESEEN los recursos de revisión números 00200/INFOEM/IP/RR/2024 y 00201/INFOEM/IP/RR/2024, porque EL SUJETO OBLIGADO al modificar su respuesta, el recurso de revisión quedó sin materia, en términos del artículo 192 fracci</w:t>
      </w:r>
      <w:r>
        <w:rPr>
          <w:rFonts w:ascii="Palatino Linotype" w:eastAsia="Palatino Linotype" w:hAnsi="Palatino Linotype" w:cs="Palatino Linotype"/>
          <w:i/>
        </w:rPr>
        <w:t>ón III de la Ley de Transparencia y Acceso a la Información Pública del Estado de México y Municipios, en términos del Considerando CUARTO de la presente resolución.” (Sic)</w:t>
      </w:r>
    </w:p>
    <w:p w:rsidR="009B04C8" w:rsidRDefault="009B04C8">
      <w:pPr>
        <w:pBdr>
          <w:top w:val="nil"/>
          <w:left w:val="nil"/>
          <w:bottom w:val="nil"/>
          <w:right w:val="nil"/>
          <w:between w:val="nil"/>
        </w:pBdr>
        <w:spacing w:line="276" w:lineRule="auto"/>
        <w:ind w:left="851" w:right="706"/>
        <w:jc w:val="both"/>
        <w:rPr>
          <w:rFonts w:ascii="Palatino Linotype" w:eastAsia="Palatino Linotype" w:hAnsi="Palatino Linotype" w:cs="Palatino Linotype"/>
          <w:i/>
          <w:color w:val="000000"/>
        </w:rPr>
      </w:pPr>
    </w:p>
    <w:p w:rsidR="009B04C8" w:rsidRDefault="009218C0">
      <w:pPr>
        <w:numPr>
          <w:ilvl w:val="0"/>
          <w:numId w:val="1"/>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del Voto Disidente. </w:t>
      </w:r>
    </w:p>
    <w:p w:rsidR="009B04C8" w:rsidRDefault="009218C0">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Para iniciar la emisión del presente voto, conviene mencionar que para la emisora del voto, en el presente caso, resulta importante señalar que no se comparte en esencia, el sentido de la resolución</w:t>
      </w:r>
      <w:r>
        <w:rPr>
          <w:rFonts w:ascii="Palatino Linotype" w:eastAsia="Palatino Linotype" w:hAnsi="Palatino Linotype" w:cs="Palatino Linotype"/>
        </w:rPr>
        <w:t xml:space="preserve"> por</w:t>
      </w:r>
      <w:r w:rsidR="000D7E03">
        <w:rPr>
          <w:rFonts w:ascii="Palatino Linotype" w:eastAsia="Palatino Linotype" w:hAnsi="Palatino Linotype" w:cs="Palatino Linotype"/>
        </w:rPr>
        <w:t xml:space="preserve"> las siguientes consideraciones:</w:t>
      </w:r>
    </w:p>
    <w:p w:rsidR="000D7E03" w:rsidRDefault="000D7E03">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B04C8" w:rsidRDefault="009218C0">
      <w:pPr>
        <w:spacing w:after="0" w:line="360" w:lineRule="auto"/>
        <w:ind w:right="142"/>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Cabe precisar que la suscrita, si bien,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 competente para contar con el soporte documental que dé cuenta de la remuneración bruta y neta, con las que cuentan su personal, no debe perderse de vista que la materia de la</w:t>
      </w:r>
      <w:r w:rsidR="000D7E03">
        <w:rPr>
          <w:rFonts w:ascii="Palatino Linotype" w:eastAsia="Palatino Linotype" w:hAnsi="Palatino Linotype" w:cs="Palatino Linotype"/>
        </w:rPr>
        <w:t>s</w:t>
      </w:r>
      <w:r>
        <w:rPr>
          <w:rFonts w:ascii="Palatino Linotype" w:eastAsia="Palatino Linotype" w:hAnsi="Palatino Linotype" w:cs="Palatino Linotype"/>
        </w:rPr>
        <w:t xml:space="preserve"> s</w:t>
      </w:r>
      <w:r>
        <w:rPr>
          <w:rFonts w:ascii="Palatino Linotype" w:eastAsia="Palatino Linotype" w:hAnsi="Palatino Linotype" w:cs="Palatino Linotype"/>
        </w:rPr>
        <w:t>olicitud</w:t>
      </w:r>
      <w:r w:rsidR="000D7E03">
        <w:rPr>
          <w:rFonts w:ascii="Palatino Linotype" w:eastAsia="Palatino Linotype" w:hAnsi="Palatino Linotype" w:cs="Palatino Linotype"/>
        </w:rPr>
        <w:t xml:space="preserve">es </w:t>
      </w:r>
      <w:r>
        <w:rPr>
          <w:rFonts w:ascii="Palatino Linotype" w:eastAsia="Palatino Linotype" w:hAnsi="Palatino Linotype" w:cs="Palatino Linotype"/>
        </w:rPr>
        <w:t>se refiere</w:t>
      </w:r>
      <w:r w:rsidR="000D7E03">
        <w:rPr>
          <w:rFonts w:ascii="Palatino Linotype" w:eastAsia="Palatino Linotype" w:hAnsi="Palatino Linotype" w:cs="Palatino Linotype"/>
        </w:rPr>
        <w:t>n</w:t>
      </w:r>
      <w:r>
        <w:rPr>
          <w:rFonts w:ascii="Palatino Linotype" w:eastAsia="Palatino Linotype" w:hAnsi="Palatino Linotype" w:cs="Palatino Linotype"/>
        </w:rPr>
        <w:t xml:space="preserve"> concretamente a los </w:t>
      </w:r>
      <w:r>
        <w:rPr>
          <w:rFonts w:ascii="Palatino Linotype" w:eastAsia="Palatino Linotype" w:hAnsi="Palatino Linotype" w:cs="Palatino Linotype"/>
          <w:b/>
        </w:rPr>
        <w:t xml:space="preserve">recibos de nómina; </w:t>
      </w:r>
      <w:r>
        <w:rPr>
          <w:rFonts w:ascii="Palatino Linotype" w:eastAsia="Palatino Linotype" w:hAnsi="Palatino Linotype" w:cs="Palatino Linotype"/>
        </w:rPr>
        <w:t xml:space="preserve">por lo que, a consideración de la suscrita, no se puede dar por atendido el derecho de acceso a la información del particular,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w:t>
      </w:r>
      <w:r>
        <w:rPr>
          <w:rFonts w:ascii="Palatino Linotype" w:eastAsia="Palatino Linotype" w:hAnsi="Palatino Linotype" w:cs="Palatino Linotype"/>
        </w:rPr>
        <w:t>una información distinta a la solicitada; por ello, s</w:t>
      </w:r>
      <w:r w:rsidRPr="000D7E03">
        <w:rPr>
          <w:rFonts w:ascii="Palatino Linotype" w:eastAsia="Palatino Linotype" w:hAnsi="Palatino Linotype" w:cs="Palatino Linotype"/>
        </w:rPr>
        <w:t>e debieron modificar las respuestas</w:t>
      </w:r>
      <w:r>
        <w:rPr>
          <w:rFonts w:ascii="Palatino Linotype" w:eastAsia="Palatino Linotype" w:hAnsi="Palatino Linotype" w:cs="Palatino Linotype"/>
        </w:rPr>
        <w:t xml:space="preserve"> y ordenar el documento en donde conste dicho recibo, toda vez que la Secretaría de Finanzas a través de su Dirección General</w:t>
      </w:r>
      <w:bookmarkStart w:id="2" w:name="_GoBack"/>
      <w:bookmarkEnd w:id="2"/>
      <w:r>
        <w:rPr>
          <w:rFonts w:ascii="Palatino Linotype" w:eastAsia="Palatino Linotype" w:hAnsi="Palatino Linotype" w:cs="Palatino Linotype"/>
        </w:rPr>
        <w:t xml:space="preserve"> del Sistema Estatal de Informática, es el área la que genera los comprobantes de nómina de cada servidor público, a través del Sis</w:t>
      </w:r>
      <w:r>
        <w:rPr>
          <w:rFonts w:ascii="Palatino Linotype" w:eastAsia="Palatino Linotype" w:hAnsi="Palatino Linotype" w:cs="Palatino Linotype"/>
        </w:rPr>
        <w:t>tema de Emisión de Comprobantes de Percepciones y Deducciones, del Portal de Gestión Interna g2g del Gobierno del Estado de México, conforme a las normas 20301/081-03,  20301/082-03, y 20301/083-03, de los Procedimientos</w:t>
      </w:r>
      <w:r>
        <w:rPr>
          <w:rFonts w:ascii="Palatino Linotype" w:eastAsia="Palatino Linotype" w:hAnsi="Palatino Linotype" w:cs="Palatino Linotype"/>
          <w:i/>
        </w:rPr>
        <w:t>:  081 PAGO DE NÓMINA A SERVIDORAS P</w:t>
      </w:r>
      <w:r>
        <w:rPr>
          <w:rFonts w:ascii="Palatino Linotype" w:eastAsia="Palatino Linotype" w:hAnsi="Palatino Linotype" w:cs="Palatino Linotype"/>
          <w:i/>
        </w:rPr>
        <w:t xml:space="preserve">ÚBLICAS Y A SERVIDORES PÚBLICOS DE MANDOS SUPERIORES, MANDOS MEDIOS Y DE ENLACE Y APOYO TÉCNICO; 082 PAGO DE NÓMINA A SERVIDORAS PÚBLICAS Y A SERVIDORES PÚBLICOS GENERALES; 083 PAGO DE NÓMINA A SERVIDORAS PÚBLICAS Y A SERVIDORES PÚBLICOS DOCENTES; </w:t>
      </w:r>
      <w:r>
        <w:rPr>
          <w:rFonts w:ascii="Palatino Linotype" w:eastAsia="Palatino Linotype" w:hAnsi="Palatino Linotype" w:cs="Palatino Linotype"/>
        </w:rPr>
        <w:t>del Manu</w:t>
      </w:r>
      <w:r>
        <w:rPr>
          <w:rFonts w:ascii="Palatino Linotype" w:eastAsia="Palatino Linotype" w:hAnsi="Palatino Linotype" w:cs="Palatino Linotype"/>
        </w:rPr>
        <w:t>al de Normas y Procedimientos de Desarrollo y Administración de Personal de la Secretaría de Fianzas, a saber:</w:t>
      </w:r>
    </w:p>
    <w:p w:rsidR="009B04C8" w:rsidRDefault="009218C0">
      <w:pPr>
        <w:spacing w:before="240" w:after="240" w:line="360" w:lineRule="auto"/>
        <w:ind w:right="51"/>
        <w:jc w:val="both"/>
        <w:rPr>
          <w:rFonts w:ascii="Palatino Linotype" w:eastAsia="Palatino Linotype" w:hAnsi="Palatino Linotype" w:cs="Palatino Linotype"/>
        </w:rPr>
      </w:pPr>
      <w:r>
        <w:rPr>
          <w:noProof/>
        </w:rPr>
        <w:lastRenderedPageBreak/>
        <w:drawing>
          <wp:inline distT="0" distB="0" distL="0" distR="0">
            <wp:extent cx="5612130" cy="1208405"/>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208405"/>
                    </a:xfrm>
                    <a:prstGeom prst="rect">
                      <a:avLst/>
                    </a:prstGeom>
                    <a:ln/>
                  </pic:spPr>
                </pic:pic>
              </a:graphicData>
            </a:graphic>
          </wp:inline>
        </w:drawing>
      </w:r>
      <w:r>
        <w:rPr>
          <w:rFonts w:ascii="Palatino Linotype" w:eastAsia="Palatino Linotype" w:hAnsi="Palatino Linotype" w:cs="Palatino Linotype"/>
          <w:noProof/>
        </w:rPr>
        <w:drawing>
          <wp:inline distT="0" distB="0" distL="0" distR="0">
            <wp:extent cx="5609590" cy="123952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09590" cy="1239520"/>
                    </a:xfrm>
                    <a:prstGeom prst="rect">
                      <a:avLst/>
                    </a:prstGeom>
                    <a:ln/>
                  </pic:spPr>
                </pic:pic>
              </a:graphicData>
            </a:graphic>
          </wp:inline>
        </w:drawing>
      </w:r>
    </w:p>
    <w:p w:rsidR="009B04C8" w:rsidRDefault="009218C0">
      <w:pPr>
        <w:spacing w:before="240" w:after="240" w:line="360" w:lineRule="auto"/>
        <w:ind w:right="51"/>
        <w:jc w:val="both"/>
        <w:rPr>
          <w:rFonts w:ascii="Palatino Linotype" w:eastAsia="Palatino Linotype" w:hAnsi="Palatino Linotype" w:cs="Palatino Linotype"/>
        </w:rPr>
      </w:pPr>
      <w:r>
        <w:rPr>
          <w:noProof/>
        </w:rPr>
        <w:drawing>
          <wp:inline distT="0" distB="0" distL="0" distR="0">
            <wp:extent cx="5612130" cy="1720215"/>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1720215"/>
                    </a:xfrm>
                    <a:prstGeom prst="rect">
                      <a:avLst/>
                    </a:prstGeom>
                    <a:ln/>
                  </pic:spPr>
                </pic:pic>
              </a:graphicData>
            </a:graphic>
          </wp:inline>
        </w:drawing>
      </w:r>
    </w:p>
    <w:p w:rsidR="009B04C8" w:rsidRDefault="009218C0">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Para el cumplimiento a dicha atribución, se genera el formato 20301/NP-46/16, mismo que se inserta a continuación para mejor referencia: </w:t>
      </w:r>
    </w:p>
    <w:p w:rsidR="009B04C8" w:rsidRDefault="009218C0">
      <w:pPr>
        <w:spacing w:before="240" w:after="240" w:line="360" w:lineRule="auto"/>
        <w:ind w:right="139"/>
        <w:rPr>
          <w:rFonts w:ascii="Palatino Linotype" w:eastAsia="Palatino Linotype" w:hAnsi="Palatino Linotype" w:cs="Palatino Linotype"/>
        </w:rPr>
      </w:pPr>
      <w:r>
        <w:rPr>
          <w:noProof/>
        </w:rPr>
        <w:lastRenderedPageBreak/>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wp:posOffset>
            </wp:positionV>
            <wp:extent cx="6087110" cy="5942965"/>
            <wp:effectExtent l="0" t="0" r="0" b="0"/>
            <wp:wrapSquare wrapText="bothSides" distT="0" distB="0" distL="114300" distR="11430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087110" cy="5942965"/>
                    </a:xfrm>
                    <a:prstGeom prst="rect">
                      <a:avLst/>
                    </a:prstGeom>
                    <a:ln/>
                  </pic:spPr>
                </pic:pic>
              </a:graphicData>
            </a:graphic>
          </wp:anchor>
        </w:drawing>
      </w:r>
    </w:p>
    <w:p w:rsidR="009B04C8" w:rsidRDefault="009218C0">
      <w:pPr>
        <w:spacing w:before="240" w:after="240" w:line="360" w:lineRule="auto"/>
        <w:ind w:right="139"/>
        <w:rPr>
          <w:rFonts w:ascii="Palatino Linotype" w:eastAsia="Palatino Linotype" w:hAnsi="Palatino Linotype" w:cs="Palatino Linotype"/>
          <w:b/>
        </w:rPr>
        <w:sectPr w:rsidR="009B04C8">
          <w:head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Es por todo lo vertido en líneas anteriores que la suscrita emite el presente </w:t>
      </w:r>
      <w:r>
        <w:rPr>
          <w:rFonts w:ascii="Palatino Linotype" w:eastAsia="Palatino Linotype" w:hAnsi="Palatino Linotype" w:cs="Palatino Linotype"/>
          <w:b/>
        </w:rPr>
        <w:t xml:space="preserve">voto disidente. </w:t>
      </w:r>
    </w:p>
    <w:p w:rsidR="009B04C8" w:rsidRDefault="009B04C8">
      <w:pPr>
        <w:spacing w:before="120" w:after="120" w:line="360" w:lineRule="auto"/>
        <w:jc w:val="both"/>
        <w:rPr>
          <w:rFonts w:ascii="Palatino Linotype" w:eastAsia="Palatino Linotype" w:hAnsi="Palatino Linotype" w:cs="Palatino Linotype"/>
          <w:b/>
        </w:rPr>
      </w:pPr>
    </w:p>
    <w:sectPr w:rsidR="009B04C8">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C0" w:rsidRDefault="009218C0">
      <w:pPr>
        <w:spacing w:after="0" w:line="240" w:lineRule="auto"/>
      </w:pPr>
      <w:r>
        <w:separator/>
      </w:r>
    </w:p>
  </w:endnote>
  <w:endnote w:type="continuationSeparator" w:id="0">
    <w:p w:rsidR="009218C0" w:rsidRDefault="0092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C0" w:rsidRDefault="009218C0">
      <w:pPr>
        <w:spacing w:after="0" w:line="240" w:lineRule="auto"/>
      </w:pPr>
      <w:r>
        <w:separator/>
      </w:r>
    </w:p>
  </w:footnote>
  <w:footnote w:type="continuationSeparator" w:id="0">
    <w:p w:rsidR="009218C0" w:rsidRDefault="00921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C8" w:rsidRDefault="009218C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-952495</wp:posOffset>
          </wp:positionH>
          <wp:positionV relativeFrom="paragraph">
            <wp:posOffset>-568956</wp:posOffset>
          </wp:positionV>
          <wp:extent cx="7510628" cy="9883775"/>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simplePos x="0" y="0"/>
              <wp:positionH relativeFrom="column">
                <wp:posOffset>-6464299</wp:posOffset>
              </wp:positionH>
              <wp:positionV relativeFrom="paragraph">
                <wp:posOffset>-5168899</wp:posOffset>
              </wp:positionV>
              <wp:extent cx="17566292" cy="17532772"/>
              <wp:effectExtent l="0" t="0" r="0" b="0"/>
              <wp:wrapNone/>
              <wp:docPr id="33" name="Rectángulo 33"/>
              <wp:cNvGraphicFramePr/>
              <a:graphic xmlns:a="http://schemas.openxmlformats.org/drawingml/2006/main">
                <a:graphicData uri="http://schemas.microsoft.com/office/word/2010/wordprocessingShape">
                  <wps:wsp>
                    <wps:cNvSpPr/>
                    <wps:spPr>
                      <a:xfrm rot="-2966911">
                        <a:off x="429109" y="-20520"/>
                        <a:ext cx="9833784" cy="7601041"/>
                      </a:xfrm>
                      <a:prstGeom prst="rect">
                        <a:avLst/>
                      </a:prstGeom>
                      <a:noFill/>
                      <a:ln>
                        <a:noFill/>
                      </a:ln>
                    </wps:spPr>
                    <wps:txbx>
                      <w:txbxContent>
                        <w:p w:rsidR="009B04C8" w:rsidRDefault="009218C0">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-6464299</wp:posOffset>
              </wp:positionH>
              <wp:positionV relativeFrom="paragraph">
                <wp:posOffset>-5168899</wp:posOffset>
              </wp:positionV>
              <wp:extent cx="17566292" cy="17532772"/>
              <wp:effectExtent b="0" l="0" r="0" t="0"/>
              <wp:wrapNone/>
              <wp:docPr id="3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7566292" cy="17532772"/>
                      </a:xfrm>
                      <a:prstGeom prst="rect"/>
                      <a:ln/>
                    </pic:spPr>
                  </pic:pic>
                </a:graphicData>
              </a:graphic>
            </wp:anchor>
          </w:drawing>
        </mc:Fallback>
      </mc:AlternateContent>
    </w:r>
  </w:p>
  <w:p w:rsidR="009B04C8" w:rsidRDefault="009218C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00200/INFOEM/IP/RR/2024 Y ACUMULADO </w:t>
    </w:r>
  </w:p>
  <w:p w:rsidR="009B04C8" w:rsidRDefault="009B04C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B04C8" w:rsidRDefault="009B04C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9B04C8" w:rsidRDefault="009B04C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C8" w:rsidRDefault="009B04C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9B04C8" w:rsidRDefault="009B04C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1C49"/>
    <w:multiLevelType w:val="multilevel"/>
    <w:tmpl w:val="998863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C8"/>
    <w:rsid w:val="000D7E03"/>
    <w:rsid w:val="003A3FE9"/>
    <w:rsid w:val="009218C0"/>
    <w:rsid w:val="009B0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F17A7-09EF-4266-856C-BB8D0084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zlmdBEhfjVtcx7Mv0yK+D0P+A==">CgMxLjAyCGguZ2pkZ3hzMgloLjMwajB6bGw4AHIhMXZMMmw0WlQybkQzRTF3Q0FBOEJCOS1FWTBnTGdnR1VM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2</cp:revision>
  <dcterms:created xsi:type="dcterms:W3CDTF">2024-03-07T23:10:00Z</dcterms:created>
  <dcterms:modified xsi:type="dcterms:W3CDTF">2024-03-11T18:01:00Z</dcterms:modified>
</cp:coreProperties>
</file>