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DF" w:rsidRPr="00223DB8" w:rsidRDefault="0009267A">
      <w:pPr>
        <w:spacing w:after="0" w:line="360" w:lineRule="auto"/>
        <w:jc w:val="both"/>
        <w:rPr>
          <w:rFonts w:ascii="Palatino Linotype" w:eastAsia="Palatino Linotype" w:hAnsi="Palatino Linotype" w:cs="Palatino Linotype"/>
          <w:b/>
        </w:rPr>
      </w:pPr>
      <w:bookmarkStart w:id="0" w:name="_heading=h.gjdgxs" w:colFirst="0" w:colLast="0"/>
      <w:bookmarkEnd w:id="0"/>
      <w:r w:rsidRPr="00223DB8">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TRIGÉSIMA NOVENA SESIÓN ORDINARIA DEL TRECE DE NOVIEMBRE DE DOS MIL VEINTICUATRO, EN EL RECURSO DE REVISIÓN 02886/INFOEM/IP/RR/2024 Y 02889/INFOEM/IP/RR/2024, ACUMULADOS, ÚNICAMENTE EN EL RECURSO DE REVISIÓN 02889/INFOEM/IP/RR/2024</w:t>
      </w:r>
      <w:r w:rsidR="00D612B6" w:rsidRPr="00223DB8">
        <w:rPr>
          <w:rFonts w:ascii="Palatino Linotype" w:eastAsia="Palatino Linotype" w:hAnsi="Palatino Linotype" w:cs="Palatino Linotype"/>
          <w:b/>
        </w:rPr>
        <w:t>.</w:t>
      </w:r>
    </w:p>
    <w:p w:rsidR="008133DF" w:rsidRPr="00223DB8" w:rsidRDefault="008133DF">
      <w:pPr>
        <w:spacing w:after="0" w:line="360" w:lineRule="auto"/>
        <w:jc w:val="both"/>
        <w:rPr>
          <w:rFonts w:ascii="Palatino Linotype" w:eastAsia="Palatino Linotype" w:hAnsi="Palatino Linotype" w:cs="Palatino Linotype"/>
          <w:b/>
        </w:rPr>
      </w:pPr>
    </w:p>
    <w:p w:rsidR="008133DF" w:rsidRPr="00223DB8" w:rsidRDefault="00D612B6">
      <w:pPr>
        <w:spacing w:after="0"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w:t>
      </w:r>
      <w:r w:rsidRPr="00223DB8">
        <w:rPr>
          <w:rFonts w:ascii="Palatino Linotype" w:eastAsia="Palatino Linotype" w:hAnsi="Palatino Linotype" w:cs="Palatino Linotype"/>
          <w:b/>
        </w:rPr>
        <w:t>Comisionada</w:t>
      </w:r>
      <w:r w:rsidRPr="00223DB8">
        <w:rPr>
          <w:rFonts w:ascii="Palatino Linotype" w:eastAsia="Palatino Linotype" w:hAnsi="Palatino Linotype" w:cs="Palatino Linotype"/>
        </w:rPr>
        <w:t xml:space="preserve"> </w:t>
      </w:r>
      <w:r w:rsidRPr="00223DB8">
        <w:rPr>
          <w:rFonts w:ascii="Palatino Linotype" w:eastAsia="Palatino Linotype" w:hAnsi="Palatino Linotype" w:cs="Palatino Linotype"/>
          <w:b/>
        </w:rPr>
        <w:t>Guadalupe Ramírez Peña</w:t>
      </w:r>
      <w:r w:rsidRPr="00223DB8">
        <w:rPr>
          <w:rFonts w:ascii="Palatino Linotype" w:eastAsia="Palatino Linotype" w:hAnsi="Palatino Linotype" w:cs="Palatino Linotype"/>
        </w:rPr>
        <w:t xml:space="preserve">, emite </w:t>
      </w:r>
      <w:r w:rsidRPr="00223DB8">
        <w:rPr>
          <w:rFonts w:ascii="Palatino Linotype" w:eastAsia="Palatino Linotype" w:hAnsi="Palatino Linotype" w:cs="Palatino Linotype"/>
          <w:b/>
        </w:rPr>
        <w:t>VOTO DISIDENTE</w:t>
      </w:r>
      <w:r w:rsidRPr="00223DB8">
        <w:rPr>
          <w:rFonts w:ascii="Palatino Linotype" w:eastAsia="Palatino Linotype" w:hAnsi="Palatino Linotype" w:cs="Palatino Linotype"/>
          <w:color w:val="000000"/>
        </w:rPr>
        <w:t xml:space="preserve">, </w:t>
      </w:r>
      <w:r w:rsidRPr="00223DB8">
        <w:rPr>
          <w:rFonts w:ascii="Palatino Linotype" w:eastAsia="Palatino Linotype" w:hAnsi="Palatino Linotype" w:cs="Palatino Linotype"/>
        </w:rPr>
        <w:t xml:space="preserve">pronunciada por el Pleno de este Instituto ante el proyecto presentado por el </w:t>
      </w:r>
      <w:r w:rsidRPr="00223DB8">
        <w:rPr>
          <w:rFonts w:ascii="Palatino Linotype" w:eastAsia="Palatino Linotype" w:hAnsi="Palatino Linotype" w:cs="Palatino Linotype"/>
          <w:b/>
        </w:rPr>
        <w:t>Comisionado Luis Gustavo Parra Noriega</w:t>
      </w:r>
      <w:r w:rsidRPr="00223DB8">
        <w:rPr>
          <w:rFonts w:ascii="Palatino Linotype" w:eastAsia="Palatino Linotype" w:hAnsi="Palatino Linotype" w:cs="Palatino Linotype"/>
        </w:rPr>
        <w:t>, el cual se formuló, conforme al tenor siguiente:</w:t>
      </w:r>
    </w:p>
    <w:p w:rsidR="008133DF" w:rsidRPr="00223DB8" w:rsidRDefault="008133DF">
      <w:pPr>
        <w:spacing w:after="0" w:line="360" w:lineRule="auto"/>
        <w:jc w:val="both"/>
        <w:rPr>
          <w:rFonts w:ascii="Palatino Linotype" w:eastAsia="Palatino Linotype" w:hAnsi="Palatino Linotype" w:cs="Palatino Linotype"/>
        </w:rPr>
      </w:pPr>
    </w:p>
    <w:p w:rsidR="008133DF" w:rsidRPr="00223DB8" w:rsidRDefault="00D612B6">
      <w:pPr>
        <w:numPr>
          <w:ilvl w:val="0"/>
          <w:numId w:val="1"/>
        </w:numPr>
        <w:spacing w:after="0" w:line="360" w:lineRule="auto"/>
        <w:ind w:left="567" w:hanging="141"/>
        <w:jc w:val="both"/>
        <w:rPr>
          <w:rFonts w:ascii="Palatino Linotype" w:eastAsia="Palatino Linotype" w:hAnsi="Palatino Linotype" w:cs="Palatino Linotype"/>
          <w:b/>
        </w:rPr>
      </w:pPr>
      <w:r w:rsidRPr="00223DB8">
        <w:rPr>
          <w:rFonts w:ascii="Palatino Linotype" w:eastAsia="Palatino Linotype" w:hAnsi="Palatino Linotype" w:cs="Palatino Linotype"/>
          <w:b/>
        </w:rPr>
        <w:t>Antecedentes.</w:t>
      </w:r>
    </w:p>
    <w:p w:rsidR="008133DF" w:rsidRPr="00223DB8" w:rsidRDefault="008133DF">
      <w:pPr>
        <w:spacing w:after="0" w:line="360" w:lineRule="auto"/>
        <w:ind w:left="567"/>
        <w:jc w:val="both"/>
        <w:rPr>
          <w:rFonts w:ascii="Palatino Linotype" w:eastAsia="Palatino Linotype" w:hAnsi="Palatino Linotype" w:cs="Palatino Linotype"/>
          <w:b/>
        </w:rPr>
      </w:pPr>
    </w:p>
    <w:p w:rsidR="008133DF" w:rsidRPr="00223DB8" w:rsidRDefault="00D612B6">
      <w:pPr>
        <w:spacing w:after="120"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rPr>
        <w:t xml:space="preserve">En el asunto que nos ocupa, la parte Recurrente solicitó al </w:t>
      </w:r>
      <w:r w:rsidR="0009267A" w:rsidRPr="00223DB8">
        <w:rPr>
          <w:rFonts w:ascii="Palatino Linotype" w:eastAsia="Palatino Linotype" w:hAnsi="Palatino Linotype" w:cs="Palatino Linotype"/>
          <w:b/>
          <w:color w:val="000000"/>
        </w:rPr>
        <w:t>Sistema Municipal para el Desarrollo Integral de la Familia de Tlalnepantla de Baz</w:t>
      </w:r>
      <w:r w:rsidRPr="00223DB8">
        <w:rPr>
          <w:rFonts w:ascii="Palatino Linotype" w:eastAsia="Palatino Linotype" w:hAnsi="Palatino Linotype" w:cs="Palatino Linotype"/>
        </w:rPr>
        <w:t xml:space="preserve">, en su carácter de Sujeto Obligado, le proporcionara: </w:t>
      </w:r>
    </w:p>
    <w:p w:rsidR="0009267A" w:rsidRPr="00223DB8" w:rsidRDefault="0009267A" w:rsidP="0009267A">
      <w:pPr>
        <w:tabs>
          <w:tab w:val="left" w:pos="4667"/>
        </w:tabs>
        <w:spacing w:after="0" w:line="240" w:lineRule="auto"/>
        <w:ind w:left="567" w:right="567"/>
        <w:contextualSpacing/>
        <w:jc w:val="both"/>
        <w:rPr>
          <w:rFonts w:ascii="Palatino Linotype" w:eastAsia="Times New Roman" w:hAnsi="Palatino Linotype" w:cs="Tahoma"/>
          <w:b/>
          <w:iCs/>
          <w:lang w:eastAsia="es-ES"/>
        </w:rPr>
      </w:pPr>
      <w:r w:rsidRPr="00223DB8">
        <w:rPr>
          <w:rFonts w:ascii="Palatino Linotype" w:eastAsia="Times New Roman" w:hAnsi="Palatino Linotype" w:cs="Tahoma"/>
          <w:b/>
          <w:iCs/>
          <w:lang w:eastAsia="es-ES"/>
        </w:rPr>
        <w:t>Solicitud 00058/DIFTLALNE/IP/2024 relacionada al Recurso de Revisión 02889/INFOEM/IP/RR/2024</w:t>
      </w:r>
    </w:p>
    <w:p w:rsidR="0009267A" w:rsidRPr="00223DB8" w:rsidRDefault="0009267A" w:rsidP="0009267A">
      <w:pPr>
        <w:tabs>
          <w:tab w:val="left" w:pos="4667"/>
        </w:tabs>
        <w:spacing w:after="0" w:line="240" w:lineRule="auto"/>
        <w:ind w:left="567" w:right="567"/>
        <w:contextualSpacing/>
        <w:jc w:val="both"/>
        <w:rPr>
          <w:rFonts w:ascii="Palatino Linotype" w:hAnsi="Palatino Linotype"/>
          <w:i/>
          <w:iCs/>
          <w:color w:val="000000"/>
        </w:rPr>
      </w:pPr>
      <w:r w:rsidRPr="00223DB8">
        <w:rPr>
          <w:rFonts w:ascii="Palatino Linotype" w:hAnsi="Palatino Linotype"/>
          <w:i/>
          <w:iCs/>
          <w:color w:val="000000"/>
        </w:rPr>
        <w:t>De todos los sistemas y/o bases de datos registradas en el año 2023 y 2024 en la página de REDATOSEM por el Sistema Municipal DIF de Tlalnepantla de Baz, solicitamos, a través de la plataforma de SAIMEX, copia de todos los oficios de los administradores asignados a los sistemas y/o bases de datos personales, en los que solicitaron al titular de la unidad de transparencia convocar al comité de transparencia sesionar para la creación o modificación en su caso de los sistemas y/o bases de datos personales, así como cada uno de los proyectos de clasificación de los datos personales. Consecuentemente, solicito copia de las actas del comité de transparencia en la que fueron aprobados dichos sistemas y/o bases de datos personales, con sus respectivos acuerdos y las resoluciones firmadas por los integrantes del comité de transparencia.</w:t>
      </w:r>
    </w:p>
    <w:p w:rsidR="0009267A" w:rsidRPr="00223DB8" w:rsidRDefault="0009267A" w:rsidP="0009267A">
      <w:pPr>
        <w:tabs>
          <w:tab w:val="left" w:pos="4667"/>
        </w:tabs>
        <w:spacing w:after="0" w:line="240" w:lineRule="auto"/>
        <w:ind w:left="567" w:right="567"/>
        <w:contextualSpacing/>
        <w:jc w:val="both"/>
        <w:rPr>
          <w:rFonts w:ascii="Palatino Linotype" w:eastAsia="Times New Roman" w:hAnsi="Palatino Linotype" w:cs="Tahoma"/>
          <w:b/>
          <w:bCs/>
          <w:i/>
          <w:iCs/>
          <w:lang w:eastAsia="es-ES"/>
        </w:rPr>
      </w:pPr>
    </w:p>
    <w:p w:rsidR="0009267A" w:rsidRPr="00223DB8" w:rsidRDefault="0009267A" w:rsidP="0009267A">
      <w:pPr>
        <w:tabs>
          <w:tab w:val="left" w:pos="4667"/>
        </w:tabs>
        <w:spacing w:after="0" w:line="240" w:lineRule="auto"/>
        <w:ind w:left="567" w:right="567"/>
        <w:contextualSpacing/>
        <w:jc w:val="both"/>
        <w:rPr>
          <w:rFonts w:ascii="Palatino Linotype" w:hAnsi="Palatino Linotype"/>
          <w:i/>
          <w:iCs/>
          <w:color w:val="000000"/>
        </w:rPr>
      </w:pPr>
      <w:r w:rsidRPr="00223DB8">
        <w:rPr>
          <w:rFonts w:ascii="Palatino Linotype" w:eastAsia="Times New Roman" w:hAnsi="Palatino Linotype" w:cs="Tahoma"/>
          <w:b/>
          <w:bCs/>
          <w:i/>
          <w:iCs/>
          <w:lang w:eastAsia="es-ES"/>
        </w:rPr>
        <w:t>MODALIDAD DE ENTREGA  “</w:t>
      </w:r>
      <w:r w:rsidRPr="00223DB8">
        <w:rPr>
          <w:rFonts w:ascii="Palatino Linotype" w:hAnsi="Palatino Linotype"/>
          <w:i/>
          <w:iCs/>
          <w:color w:val="000000"/>
        </w:rPr>
        <w:t>A través del SAIMEX”</w:t>
      </w:r>
    </w:p>
    <w:tbl>
      <w:tblPr>
        <w:tblStyle w:val="a"/>
        <w:tblW w:w="8918" w:type="dxa"/>
        <w:tblInd w:w="0" w:type="dxa"/>
        <w:tblLayout w:type="fixed"/>
        <w:tblLook w:val="0400" w:firstRow="0" w:lastRow="0" w:firstColumn="0" w:lastColumn="0" w:noHBand="0" w:noVBand="1"/>
      </w:tblPr>
      <w:tblGrid>
        <w:gridCol w:w="8918"/>
      </w:tblGrid>
      <w:tr w:rsidR="008133DF" w:rsidRPr="00223DB8">
        <w:tc>
          <w:tcPr>
            <w:tcW w:w="8918" w:type="dxa"/>
          </w:tcPr>
          <w:p w:rsidR="008133DF" w:rsidRPr="00223DB8" w:rsidRDefault="008133DF" w:rsidP="0009267A">
            <w:pPr>
              <w:pBdr>
                <w:top w:val="nil"/>
                <w:left w:val="nil"/>
                <w:bottom w:val="nil"/>
                <w:right w:val="nil"/>
                <w:between w:val="nil"/>
              </w:pBdr>
              <w:spacing w:after="120" w:line="360" w:lineRule="auto"/>
              <w:jc w:val="both"/>
              <w:rPr>
                <w:rFonts w:ascii="Palatino Linotype" w:eastAsia="Palatino Linotype" w:hAnsi="Palatino Linotype" w:cs="Palatino Linotype"/>
                <w:color w:val="000000"/>
              </w:rPr>
            </w:pPr>
          </w:p>
        </w:tc>
      </w:tr>
    </w:tbl>
    <w:p w:rsidR="005A3A78" w:rsidRPr="00223DB8" w:rsidRDefault="00D612B6" w:rsidP="0018535A">
      <w:pPr>
        <w:widowControl w:val="0"/>
        <w:spacing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rPr>
        <w:lastRenderedPageBreak/>
        <w:t xml:space="preserve">En respuesta, el Sujeto Obligado </w:t>
      </w:r>
      <w:r w:rsidR="005A3A78" w:rsidRPr="00223DB8">
        <w:rPr>
          <w:rFonts w:ascii="Palatino Linotype" w:eastAsia="Palatino Linotype" w:hAnsi="Palatino Linotype" w:cs="Palatino Linotype"/>
        </w:rPr>
        <w:t xml:space="preserve">hizo entrega del </w:t>
      </w:r>
      <w:r w:rsidR="005A3A78" w:rsidRPr="00223DB8">
        <w:rPr>
          <w:rFonts w:ascii="Palatino Linotype" w:eastAsia="Palatino Linotype" w:hAnsi="Palatino Linotype" w:cs="Palatino Linotype"/>
        </w:rPr>
        <w:t>Acta de doce de enero de 2024 en donde se aprobó la creación de bases de datos personales en el REDATOSEM, aprobado por el Comité de Transparencia</w:t>
      </w:r>
      <w:r w:rsidR="005A3A78" w:rsidRPr="00223DB8">
        <w:rPr>
          <w:rFonts w:ascii="Palatino Linotype" w:eastAsia="Palatino Linotype" w:hAnsi="Palatino Linotype" w:cs="Palatino Linotype"/>
        </w:rPr>
        <w:t xml:space="preserve">, </w:t>
      </w:r>
      <w:r w:rsidR="005A3A78" w:rsidRPr="00223DB8">
        <w:rPr>
          <w:rFonts w:ascii="Palatino Linotype" w:eastAsia="Palatino Linotype" w:hAnsi="Palatino Linotype" w:cs="Palatino Linotype"/>
        </w:rPr>
        <w:t>Acuerdo de 15 de noviembre de 2022 con folio RES/08/CT/SMDIF/COMT/ORD/9ª/2022 que aprobó la modificación de bases de datos</w:t>
      </w:r>
      <w:r w:rsidR="005A3A78" w:rsidRPr="00223DB8">
        <w:rPr>
          <w:rFonts w:ascii="Palatino Linotype" w:eastAsia="Palatino Linotype" w:hAnsi="Palatino Linotype" w:cs="Palatino Linotype"/>
        </w:rPr>
        <w:t>, e</w:t>
      </w:r>
      <w:r w:rsidR="005A3A78" w:rsidRPr="00223DB8">
        <w:rPr>
          <w:rFonts w:ascii="Palatino Linotype" w:eastAsia="Palatino Linotype" w:hAnsi="Palatino Linotype" w:cs="Palatino Linotype"/>
        </w:rPr>
        <w:t>ntregó una relación de bases de datos 2022-2023</w:t>
      </w:r>
      <w:r w:rsidR="005A3A78" w:rsidRPr="00223DB8">
        <w:rPr>
          <w:rFonts w:ascii="Palatino Linotype" w:eastAsia="Palatino Linotype" w:hAnsi="Palatino Linotype" w:cs="Palatino Linotype"/>
        </w:rPr>
        <w:t xml:space="preserve">, </w:t>
      </w:r>
      <w:r w:rsidR="005A3A78" w:rsidRPr="00223DB8">
        <w:rPr>
          <w:rFonts w:ascii="Palatino Linotype" w:eastAsia="Palatino Linotype" w:hAnsi="Palatino Linotype" w:cs="Palatino Linotype"/>
        </w:rPr>
        <w:t>Acuerdo de 21 de diciembre de 2022 con folio RES/03/CT/SMDIF/COMT/EXT/27ª/2022 que aprobó la creación de bases de dat</w:t>
      </w:r>
      <w:r w:rsidR="005A3A78" w:rsidRPr="00223DB8">
        <w:rPr>
          <w:rFonts w:ascii="Palatino Linotype" w:eastAsia="Palatino Linotype" w:hAnsi="Palatino Linotype" w:cs="Palatino Linotype"/>
        </w:rPr>
        <w:t xml:space="preserve">os y clasificó datos personales, </w:t>
      </w:r>
      <w:r w:rsidR="005A3A78" w:rsidRPr="00223DB8">
        <w:rPr>
          <w:rFonts w:ascii="Palatino Linotype" w:eastAsia="Palatino Linotype" w:hAnsi="Palatino Linotype" w:cs="Palatino Linotype"/>
        </w:rPr>
        <w:t>Acuerdo de 15 de noviembre de 2022 con folio RES/12/CT/SMDIF/COMT/ORD/9ª/2022 que aprobó la creación de bases de dat</w:t>
      </w:r>
      <w:r w:rsidR="0018535A" w:rsidRPr="00223DB8">
        <w:rPr>
          <w:rFonts w:ascii="Palatino Linotype" w:eastAsia="Palatino Linotype" w:hAnsi="Palatino Linotype" w:cs="Palatino Linotype"/>
        </w:rPr>
        <w:t xml:space="preserve">os y clasificó datos personales, </w:t>
      </w:r>
      <w:r w:rsidR="005A3A78" w:rsidRPr="00223DB8">
        <w:rPr>
          <w:rFonts w:ascii="Palatino Linotype" w:eastAsia="Palatino Linotype" w:hAnsi="Palatino Linotype" w:cs="Palatino Linotype"/>
        </w:rPr>
        <w:t>Acuerdo de 15 de noviembre de 2022 con folio RES/07/CT/SMDIF/COMT/ORD/9ª/2022 que aprobó la creación de bases de datos y clasificó datos personales.</w:t>
      </w:r>
    </w:p>
    <w:p w:rsidR="00DB3B32" w:rsidRPr="00223DB8" w:rsidRDefault="0018535A" w:rsidP="00DB3B32">
      <w:pPr>
        <w:tabs>
          <w:tab w:val="left" w:pos="7513"/>
        </w:tabs>
        <w:spacing w:before="120" w:after="120" w:line="360" w:lineRule="auto"/>
        <w:ind w:right="-3"/>
        <w:jc w:val="both"/>
        <w:rPr>
          <w:rFonts w:ascii="Palatino Linotype" w:eastAsia="Palatino Linotype" w:hAnsi="Palatino Linotype" w:cs="Palatino Linotype"/>
        </w:rPr>
      </w:pPr>
      <w:r w:rsidRPr="00223DB8">
        <w:rPr>
          <w:rFonts w:ascii="Palatino Linotype" w:eastAsia="Palatino Linotype" w:hAnsi="Palatino Linotype" w:cs="Palatino Linotype"/>
        </w:rPr>
        <w:t xml:space="preserve">Sin que se resalte </w:t>
      </w:r>
      <w:r w:rsidR="00DB3B32" w:rsidRPr="00223DB8">
        <w:rPr>
          <w:rFonts w:ascii="Palatino Linotype" w:eastAsia="Palatino Linotype" w:hAnsi="Palatino Linotype" w:cs="Palatino Linotype"/>
        </w:rPr>
        <w:t xml:space="preserve">que el Sujeto Obligado, </w:t>
      </w:r>
      <w:r w:rsidRPr="00223DB8">
        <w:rPr>
          <w:rFonts w:ascii="Palatino Linotype" w:eastAsia="Palatino Linotype" w:hAnsi="Palatino Linotype" w:cs="Palatino Linotype"/>
        </w:rPr>
        <w:t xml:space="preserve">haya puesto a disposición </w:t>
      </w:r>
      <w:r w:rsidR="00DB3B32" w:rsidRPr="00223DB8">
        <w:rPr>
          <w:rFonts w:ascii="Palatino Linotype" w:eastAsia="Palatino Linotype" w:hAnsi="Palatino Linotype" w:cs="Palatino Linotype"/>
        </w:rPr>
        <w:t>de la parte Recurrente la información que solici</w:t>
      </w:r>
      <w:r w:rsidRPr="00223DB8">
        <w:rPr>
          <w:rFonts w:ascii="Palatino Linotype" w:eastAsia="Palatino Linotype" w:hAnsi="Palatino Linotype" w:cs="Palatino Linotype"/>
        </w:rPr>
        <w:t>tó,  mediante consulta directa.</w:t>
      </w:r>
    </w:p>
    <w:p w:rsidR="0018535A" w:rsidRPr="00223DB8" w:rsidRDefault="0018535A" w:rsidP="0018535A">
      <w:pPr>
        <w:tabs>
          <w:tab w:val="left" w:pos="7513"/>
        </w:tabs>
        <w:spacing w:before="120" w:after="120" w:line="360" w:lineRule="auto"/>
        <w:ind w:right="-3"/>
        <w:jc w:val="both"/>
        <w:rPr>
          <w:rFonts w:ascii="Palatino Linotype" w:eastAsia="Palatino Linotype" w:hAnsi="Palatino Linotype" w:cs="Palatino Linotype"/>
        </w:rPr>
      </w:pPr>
      <w:r w:rsidRPr="00223DB8">
        <w:rPr>
          <w:rFonts w:ascii="Palatino Linotype" w:eastAsia="Palatino Linotype" w:hAnsi="Palatino Linotype" w:cs="Palatino Linotype"/>
        </w:rPr>
        <w:t>Una vez conocida la respuesta</w:t>
      </w:r>
      <w:r w:rsidR="00D612B6" w:rsidRPr="00223DB8">
        <w:rPr>
          <w:rFonts w:ascii="Palatino Linotype" w:eastAsia="Palatino Linotype" w:hAnsi="Palatino Linotype" w:cs="Palatino Linotype"/>
        </w:rPr>
        <w:t xml:space="preserve"> del Sujeto Obligado, e</w:t>
      </w:r>
      <w:r w:rsidRPr="00223DB8">
        <w:rPr>
          <w:rFonts w:ascii="Palatino Linotype" w:eastAsia="Palatino Linotype" w:hAnsi="Palatino Linotype" w:cs="Palatino Linotype"/>
        </w:rPr>
        <w:t>l ahora Recurrente interpuso el medio de impugnación</w:t>
      </w:r>
      <w:r w:rsidR="00D612B6" w:rsidRPr="00223DB8">
        <w:rPr>
          <w:rFonts w:ascii="Palatino Linotype" w:eastAsia="Palatino Linotype" w:hAnsi="Palatino Linotype" w:cs="Palatino Linotype"/>
        </w:rPr>
        <w:t xml:space="preserve">, mediante el cual se inconformó </w:t>
      </w:r>
      <w:r w:rsidRPr="00223DB8">
        <w:rPr>
          <w:rFonts w:ascii="Palatino Linotype" w:eastAsia="Palatino Linotype" w:hAnsi="Palatino Linotype" w:cs="Palatino Linotype"/>
        </w:rPr>
        <w:t>porque l</w:t>
      </w:r>
      <w:r w:rsidRPr="00223DB8">
        <w:rPr>
          <w:rFonts w:ascii="Palatino Linotype" w:eastAsia="Palatino Linotype" w:hAnsi="Palatino Linotype" w:cs="Palatino Linotype"/>
        </w:rPr>
        <w:t>a información que se entregó no corresponde con lo solicitado</w:t>
      </w:r>
      <w:r w:rsidRPr="00223DB8">
        <w:rPr>
          <w:rFonts w:ascii="Palatino Linotype" w:eastAsia="Palatino Linotype" w:hAnsi="Palatino Linotype" w:cs="Palatino Linotype"/>
        </w:rPr>
        <w:t>.</w:t>
      </w:r>
    </w:p>
    <w:p w:rsidR="0018535A" w:rsidRPr="00223DB8" w:rsidRDefault="0018535A" w:rsidP="0018535A">
      <w:pPr>
        <w:tabs>
          <w:tab w:val="left" w:pos="7513"/>
        </w:tabs>
        <w:spacing w:before="120" w:after="120" w:line="360" w:lineRule="auto"/>
        <w:ind w:right="-3"/>
        <w:jc w:val="both"/>
        <w:rPr>
          <w:rFonts w:ascii="Palatino Linotype" w:eastAsia="Palatino Linotype" w:hAnsi="Palatino Linotype" w:cs="Palatino Linotype"/>
          <w:color w:val="000000"/>
        </w:rPr>
      </w:pPr>
      <w:r w:rsidRPr="00223DB8">
        <w:rPr>
          <w:rFonts w:ascii="Palatino Linotype" w:eastAsia="Palatino Linotype" w:hAnsi="Palatino Linotype" w:cs="Palatino Linotype"/>
          <w:color w:val="000000"/>
        </w:rPr>
        <w:t>Una vez interpuesto el recurso</w:t>
      </w:r>
      <w:r w:rsidR="00D612B6" w:rsidRPr="00223DB8">
        <w:rPr>
          <w:rFonts w:ascii="Palatino Linotype" w:eastAsia="Palatino Linotype" w:hAnsi="Palatino Linotype" w:cs="Palatino Linotype"/>
          <w:color w:val="000000"/>
        </w:rPr>
        <w:t xml:space="preserve"> de revisión, de las constancias que obran en los expedientes en el Sistema de Acceso a la Información Mexiquense, se advierte que el Sujeto Obligado rindió su informe justificado mediante el cual </w:t>
      </w:r>
      <w:r w:rsidRPr="00223DB8">
        <w:rPr>
          <w:rFonts w:ascii="Palatino Linotype" w:eastAsia="Palatino Linotype" w:hAnsi="Palatino Linotype" w:cs="Palatino Linotype"/>
          <w:color w:val="000000"/>
        </w:rPr>
        <w:t xml:space="preserve">sólo se concretó a entregar el </w:t>
      </w:r>
      <w:r w:rsidRPr="00223DB8">
        <w:rPr>
          <w:rFonts w:ascii="Palatino Linotype" w:eastAsia="Palatino Linotype" w:hAnsi="Palatino Linotype" w:cs="Palatino Linotype"/>
          <w:color w:val="000000"/>
        </w:rPr>
        <w:t>ACTA OCTAVA SESIÓN EXTRAOR</w:t>
      </w:r>
      <w:r w:rsidRPr="00223DB8">
        <w:rPr>
          <w:rFonts w:ascii="Palatino Linotype" w:eastAsia="Palatino Linotype" w:hAnsi="Palatino Linotype" w:cs="Palatino Linotype"/>
          <w:color w:val="000000"/>
        </w:rPr>
        <w:t>DINARIA, la cual</w:t>
      </w:r>
      <w:r w:rsidRPr="00223DB8">
        <w:rPr>
          <w:rFonts w:ascii="Palatino Linotype" w:eastAsia="Palatino Linotype" w:hAnsi="Palatino Linotype" w:cs="Palatino Linotype"/>
          <w:color w:val="000000"/>
        </w:rPr>
        <w:t xml:space="preserve"> </w:t>
      </w:r>
      <w:r w:rsidRPr="00223DB8">
        <w:rPr>
          <w:rFonts w:ascii="Palatino Linotype" w:eastAsia="Palatino Linotype" w:hAnsi="Palatino Linotype" w:cs="Palatino Linotype"/>
          <w:color w:val="000000"/>
        </w:rPr>
        <w:t xml:space="preserve">corresponde al </w:t>
      </w:r>
      <w:r w:rsidRPr="00223DB8">
        <w:rPr>
          <w:rFonts w:ascii="Palatino Linotype" w:eastAsia="Palatino Linotype" w:hAnsi="Palatino Linotype" w:cs="Palatino Linotype"/>
          <w:color w:val="000000"/>
        </w:rPr>
        <w:t>acta del Comité de Transparencia del Sujeto Obligado, de fecha veintitrés de abril de dos mil veinticuatro, en el que se aprobó la ampliación de plazo para dar respuesta a ambas solicitudes.</w:t>
      </w:r>
    </w:p>
    <w:p w:rsidR="0018535A" w:rsidRPr="00223DB8" w:rsidRDefault="0018535A" w:rsidP="0018535A">
      <w:pPr>
        <w:spacing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rPr>
        <w:t>Consideraciones que llevaron a determinar en la resolución de mérito, modificar la respuesta para ordenar lo siguiente:</w:t>
      </w:r>
    </w:p>
    <w:p w:rsidR="0018535A" w:rsidRPr="00223DB8" w:rsidRDefault="0018535A" w:rsidP="0018535A">
      <w:pPr>
        <w:spacing w:after="0" w:line="240" w:lineRule="auto"/>
        <w:ind w:left="567" w:right="564"/>
        <w:contextualSpacing/>
        <w:jc w:val="both"/>
        <w:rPr>
          <w:rFonts w:ascii="Palatino Linotype" w:hAnsi="Palatino Linotype" w:cs="Arial"/>
          <w:bCs/>
          <w:i/>
          <w:iCs/>
          <w:lang w:val="es-ES_tradnl"/>
        </w:rPr>
      </w:pPr>
      <w:r w:rsidRPr="00223DB8">
        <w:rPr>
          <w:rFonts w:ascii="Palatino Linotype" w:hAnsi="Palatino Linotype"/>
          <w:b/>
          <w:i/>
        </w:rPr>
        <w:t>“</w:t>
      </w:r>
      <w:r w:rsidRPr="00223DB8">
        <w:rPr>
          <w:rFonts w:ascii="Palatino Linotype" w:hAnsi="Palatino Linotype"/>
          <w:b/>
          <w:i/>
        </w:rPr>
        <w:t xml:space="preserve">SEGUNDO. </w:t>
      </w:r>
      <w:r w:rsidRPr="00223DB8">
        <w:rPr>
          <w:rFonts w:ascii="Palatino Linotype" w:hAnsi="Palatino Linotype"/>
          <w:i/>
          <w:color w:val="000000"/>
        </w:rPr>
        <w:t xml:space="preserve">Se </w:t>
      </w:r>
      <w:r w:rsidRPr="00223DB8">
        <w:rPr>
          <w:rFonts w:ascii="Palatino Linotype" w:hAnsi="Palatino Linotype"/>
          <w:b/>
          <w:i/>
          <w:color w:val="000000"/>
        </w:rPr>
        <w:t>ORDENA</w:t>
      </w:r>
      <w:r w:rsidRPr="00223DB8">
        <w:rPr>
          <w:rFonts w:ascii="Palatino Linotype" w:hAnsi="Palatino Linotype"/>
          <w:i/>
          <w:color w:val="000000"/>
        </w:rPr>
        <w:t xml:space="preserve"> al Sujeto Obligado, a efecto de que, previa búsqueda exhaustiva y razonable en las áreas competentes, p</w:t>
      </w:r>
      <w:r w:rsidRPr="00223DB8">
        <w:rPr>
          <w:rFonts w:ascii="Palatino Linotype" w:hAnsi="Palatino Linotype" w:cs="Arial"/>
          <w:bCs/>
          <w:i/>
          <w:lang w:eastAsia="en-US"/>
        </w:rPr>
        <w:t xml:space="preserve">onga a disposición, en todas las modalidades que permita la documentación, tales </w:t>
      </w:r>
      <w:r w:rsidRPr="00223DB8">
        <w:rPr>
          <w:rFonts w:ascii="Palatino Linotype" w:hAnsi="Palatino Linotype" w:cs="Arial"/>
          <w:i/>
          <w:lang w:val="es-ES"/>
        </w:rPr>
        <w:t xml:space="preserve">como, un vínculo electrónico, disco compacto, dispositivo de almacenamiento, consulta directa, copias simples o certificadas, con posibilidad de entrega en la Unidad de Transparencia o a domicilio por correo certificado, previo pago de los derechos correspondientes, </w:t>
      </w:r>
      <w:r w:rsidRPr="00223DB8">
        <w:rPr>
          <w:rFonts w:ascii="Palatino Linotype" w:hAnsi="Palatino Linotype" w:cs="Arial"/>
          <w:bCs/>
          <w:i/>
          <w:iCs/>
          <w:lang w:val="es-ES_tradnl"/>
        </w:rPr>
        <w:t>de ser procedente en versión pública los documentos en los que obre lo siguiente:</w:t>
      </w:r>
    </w:p>
    <w:p w:rsidR="0018535A" w:rsidRPr="00223DB8" w:rsidRDefault="0018535A" w:rsidP="0018535A">
      <w:pPr>
        <w:spacing w:after="0" w:line="240" w:lineRule="auto"/>
        <w:ind w:left="567" w:right="564"/>
        <w:contextualSpacing/>
        <w:jc w:val="both"/>
        <w:rPr>
          <w:rFonts w:ascii="Palatino Linotype" w:hAnsi="Palatino Linotype" w:cs="Arial"/>
          <w:bCs/>
          <w:i/>
          <w:iCs/>
          <w:lang w:val="es-ES_tradnl"/>
        </w:rPr>
      </w:pPr>
    </w:p>
    <w:p w:rsidR="0018535A" w:rsidRPr="00223DB8" w:rsidRDefault="0018535A" w:rsidP="0018535A">
      <w:pPr>
        <w:pStyle w:val="Prrafodelista"/>
        <w:numPr>
          <w:ilvl w:val="0"/>
          <w:numId w:val="7"/>
        </w:numPr>
        <w:ind w:left="567" w:right="564"/>
        <w:jc w:val="both"/>
        <w:rPr>
          <w:rFonts w:ascii="Palatino Linotype" w:hAnsi="Palatino Linotype" w:cs="Arial"/>
          <w:bCs/>
          <w:i/>
          <w:iCs/>
          <w:sz w:val="22"/>
          <w:szCs w:val="22"/>
          <w:lang w:val="es-ES_tradnl"/>
        </w:rPr>
      </w:pPr>
      <w:r w:rsidRPr="00223DB8">
        <w:rPr>
          <w:rFonts w:ascii="Palatino Linotype" w:hAnsi="Palatino Linotype" w:cs="Tahoma"/>
          <w:i/>
          <w:sz w:val="22"/>
          <w:szCs w:val="22"/>
        </w:rPr>
        <w:t>De los Avisos de Privacidad publicados en su página oficial al cuatro de abril de dos mil veinticuatro, los documentos de asignación o nombramiento de los Administradores.</w:t>
      </w:r>
    </w:p>
    <w:p w:rsidR="0018535A" w:rsidRPr="00223DB8" w:rsidRDefault="0018535A" w:rsidP="0018535A">
      <w:pPr>
        <w:pStyle w:val="Prrafodelista"/>
        <w:ind w:left="567" w:right="564"/>
        <w:jc w:val="both"/>
        <w:rPr>
          <w:rFonts w:ascii="Palatino Linotype" w:hAnsi="Palatino Linotype" w:cs="Arial"/>
          <w:bCs/>
          <w:i/>
          <w:iCs/>
          <w:sz w:val="22"/>
          <w:szCs w:val="22"/>
          <w:lang w:val="es-ES_tradnl"/>
        </w:rPr>
      </w:pPr>
    </w:p>
    <w:p w:rsidR="0018535A" w:rsidRPr="00223DB8" w:rsidRDefault="0018535A" w:rsidP="0018535A">
      <w:pPr>
        <w:widowControl w:val="0"/>
        <w:spacing w:after="0" w:line="240" w:lineRule="auto"/>
        <w:ind w:left="567" w:right="564"/>
        <w:contextualSpacing/>
        <w:jc w:val="both"/>
        <w:rPr>
          <w:rFonts w:ascii="Palatino Linotype" w:hAnsi="Palatino Linotype" w:cs="Tahoma"/>
          <w:i/>
        </w:rPr>
      </w:pPr>
      <w:r w:rsidRPr="00223DB8">
        <w:rPr>
          <w:rFonts w:ascii="Palatino Linotype" w:hAnsi="Palatino Linotype" w:cs="Tahoma"/>
          <w:i/>
        </w:rPr>
        <w:t>2. Oficios firmados por la Presidente del DIF de Tlalnepantla, desde el primero de enero de dos mil veintitrés hasta el cuatro de abril de dos mil veinticuatro.</w:t>
      </w:r>
    </w:p>
    <w:p w:rsidR="0018535A" w:rsidRPr="00223DB8" w:rsidRDefault="0018535A" w:rsidP="0018535A">
      <w:pPr>
        <w:spacing w:after="0" w:line="240" w:lineRule="auto"/>
        <w:ind w:left="567" w:right="564"/>
        <w:contextualSpacing/>
        <w:jc w:val="both"/>
        <w:rPr>
          <w:rFonts w:ascii="Palatino Linotype" w:hAnsi="Palatino Linotype" w:cs="Arial"/>
          <w:bCs/>
          <w:i/>
          <w:iCs/>
          <w:lang w:val="es-ES_tradnl"/>
        </w:rPr>
      </w:pPr>
    </w:p>
    <w:p w:rsidR="0018535A" w:rsidRPr="00223DB8" w:rsidRDefault="0018535A" w:rsidP="0018535A">
      <w:pPr>
        <w:pBdr>
          <w:top w:val="nil"/>
          <w:left w:val="nil"/>
          <w:bottom w:val="nil"/>
          <w:right w:val="nil"/>
          <w:between w:val="nil"/>
        </w:pBdr>
        <w:spacing w:after="0" w:line="240" w:lineRule="auto"/>
        <w:ind w:left="567" w:right="564"/>
        <w:contextualSpacing/>
        <w:jc w:val="both"/>
        <w:rPr>
          <w:rFonts w:ascii="Palatino Linotype" w:eastAsia="Times New Roman" w:hAnsi="Palatino Linotype" w:cs="Times New Roman"/>
          <w:i/>
          <w:iCs/>
          <w:color w:val="000000"/>
          <w:lang w:eastAsia="es-ES"/>
        </w:rPr>
      </w:pPr>
      <w:r w:rsidRPr="00223DB8">
        <w:rPr>
          <w:rFonts w:ascii="Palatino Linotype" w:eastAsia="Times New Roman" w:hAnsi="Palatino Linotype" w:cs="Times New Roman"/>
          <w:i/>
          <w:iCs/>
          <w:color w:val="000000"/>
          <w:lang w:eastAsia="es-ES"/>
        </w:rPr>
        <w:t xml:space="preserve">3. Los oficios de todos los administradores de sistemas y bases de datos personales en donde se solicitó convocar al Comité de Transparencia para aprobar su creación o modificación del primero de enero de dos mil veintitrés al cuatro de abril de dos mil veinticuatro. </w:t>
      </w:r>
    </w:p>
    <w:p w:rsidR="0018535A" w:rsidRPr="00223DB8" w:rsidRDefault="0018535A" w:rsidP="0018535A">
      <w:pPr>
        <w:pBdr>
          <w:top w:val="nil"/>
          <w:left w:val="nil"/>
          <w:bottom w:val="nil"/>
          <w:right w:val="nil"/>
          <w:between w:val="nil"/>
        </w:pBdr>
        <w:spacing w:after="0" w:line="240" w:lineRule="auto"/>
        <w:ind w:left="567" w:right="564"/>
        <w:contextualSpacing/>
        <w:jc w:val="both"/>
        <w:rPr>
          <w:rFonts w:ascii="Palatino Linotype" w:eastAsia="Times New Roman" w:hAnsi="Palatino Linotype" w:cs="Times New Roman"/>
          <w:i/>
          <w:iCs/>
          <w:color w:val="000000"/>
          <w:lang w:eastAsia="es-ES"/>
        </w:rPr>
      </w:pPr>
    </w:p>
    <w:p w:rsidR="0018535A" w:rsidRPr="00223DB8" w:rsidRDefault="0018535A" w:rsidP="0018535A">
      <w:pPr>
        <w:pBdr>
          <w:top w:val="nil"/>
          <w:left w:val="nil"/>
          <w:bottom w:val="nil"/>
          <w:right w:val="nil"/>
          <w:between w:val="nil"/>
        </w:pBdr>
        <w:spacing w:after="0" w:line="240" w:lineRule="auto"/>
        <w:ind w:left="567" w:right="564"/>
        <w:contextualSpacing/>
        <w:jc w:val="both"/>
        <w:rPr>
          <w:rFonts w:ascii="Palatino Linotype" w:eastAsia="Times New Roman" w:hAnsi="Palatino Linotype" w:cs="Times New Roman"/>
          <w:i/>
          <w:iCs/>
          <w:color w:val="000000"/>
          <w:lang w:eastAsia="es-ES"/>
        </w:rPr>
      </w:pPr>
      <w:r w:rsidRPr="00223DB8">
        <w:rPr>
          <w:rFonts w:ascii="Palatino Linotype" w:eastAsia="Times New Roman" w:hAnsi="Palatino Linotype" w:cs="Times New Roman"/>
          <w:i/>
          <w:iCs/>
          <w:color w:val="000000"/>
          <w:lang w:eastAsia="es-ES"/>
        </w:rPr>
        <w:t>4. Actas firmadas del Comité de Transparencia, que contengan los proyectos de clasificación de los datos personales de los sistemas registrados del primero de enero de dos mil veintitrés al cuatro de abril de dos mil veinticuatro en el REDATOSEM.</w:t>
      </w:r>
    </w:p>
    <w:p w:rsidR="0018535A" w:rsidRPr="00223DB8" w:rsidRDefault="0018535A" w:rsidP="0018535A">
      <w:pPr>
        <w:pBdr>
          <w:top w:val="nil"/>
          <w:left w:val="nil"/>
          <w:bottom w:val="nil"/>
          <w:right w:val="nil"/>
          <w:between w:val="nil"/>
        </w:pBdr>
        <w:spacing w:after="0" w:line="240" w:lineRule="auto"/>
        <w:ind w:left="567" w:right="564"/>
        <w:contextualSpacing/>
        <w:jc w:val="both"/>
        <w:rPr>
          <w:rFonts w:ascii="Palatino Linotype" w:eastAsia="Times New Roman" w:hAnsi="Palatino Linotype" w:cs="Times New Roman"/>
          <w:i/>
          <w:iCs/>
          <w:color w:val="000000"/>
          <w:lang w:eastAsia="es-ES"/>
        </w:rPr>
      </w:pPr>
    </w:p>
    <w:p w:rsidR="0018535A" w:rsidRPr="00223DB8" w:rsidRDefault="0018535A" w:rsidP="0018535A">
      <w:pPr>
        <w:pBdr>
          <w:top w:val="nil"/>
          <w:left w:val="nil"/>
          <w:bottom w:val="nil"/>
          <w:right w:val="nil"/>
          <w:between w:val="nil"/>
        </w:pBdr>
        <w:spacing w:after="0" w:line="240" w:lineRule="auto"/>
        <w:ind w:left="567" w:right="564"/>
        <w:contextualSpacing/>
        <w:jc w:val="both"/>
        <w:rPr>
          <w:rFonts w:ascii="Palatino Linotype" w:eastAsia="Times New Roman" w:hAnsi="Palatino Linotype" w:cs="Times New Roman"/>
          <w:i/>
          <w:iCs/>
          <w:color w:val="000000"/>
          <w:lang w:eastAsia="es-ES"/>
        </w:rPr>
      </w:pPr>
      <w:r w:rsidRPr="00223DB8">
        <w:rPr>
          <w:rFonts w:ascii="Palatino Linotype" w:eastAsia="Times New Roman" w:hAnsi="Palatino Linotype" w:cs="Times New Roman"/>
          <w:i/>
          <w:iCs/>
          <w:color w:val="000000"/>
          <w:lang w:eastAsia="es-ES"/>
        </w:rPr>
        <w:t>Para el caso de que la información que se ordene en el numerales 3 o, 4 por lo que hace a la información de 2023, no obre en sus archivos por no haber sido generada bastará con que se haga del conocimiento al Particular de manera precisa y clara.</w:t>
      </w:r>
    </w:p>
    <w:p w:rsidR="0018535A" w:rsidRPr="00223DB8" w:rsidRDefault="0018535A" w:rsidP="0018535A">
      <w:pPr>
        <w:pBdr>
          <w:top w:val="nil"/>
          <w:left w:val="nil"/>
          <w:bottom w:val="nil"/>
          <w:right w:val="nil"/>
          <w:between w:val="nil"/>
        </w:pBdr>
        <w:spacing w:after="0" w:line="240" w:lineRule="auto"/>
        <w:ind w:left="567" w:right="564"/>
        <w:contextualSpacing/>
        <w:jc w:val="both"/>
        <w:rPr>
          <w:rFonts w:ascii="Palatino Linotype" w:eastAsia="Times New Roman" w:hAnsi="Palatino Linotype" w:cs="Times New Roman"/>
          <w:i/>
          <w:iCs/>
          <w:color w:val="000000"/>
          <w:lang w:eastAsia="es-ES"/>
        </w:rPr>
      </w:pPr>
    </w:p>
    <w:p w:rsidR="0018535A" w:rsidRPr="00223DB8" w:rsidRDefault="0018535A" w:rsidP="0018535A">
      <w:pPr>
        <w:pBdr>
          <w:top w:val="nil"/>
          <w:left w:val="nil"/>
          <w:bottom w:val="nil"/>
          <w:right w:val="nil"/>
          <w:between w:val="nil"/>
        </w:pBdr>
        <w:spacing w:after="0" w:line="240" w:lineRule="auto"/>
        <w:ind w:left="567" w:right="564"/>
        <w:contextualSpacing/>
        <w:jc w:val="both"/>
        <w:rPr>
          <w:rFonts w:ascii="Palatino Linotype" w:eastAsia="Times New Roman" w:hAnsi="Palatino Linotype" w:cs="Times New Roman"/>
          <w:i/>
          <w:iCs/>
          <w:color w:val="000000"/>
          <w:lang w:eastAsia="es-ES"/>
        </w:rPr>
      </w:pPr>
      <w:r w:rsidRPr="00223DB8">
        <w:rPr>
          <w:rFonts w:ascii="Palatino Linotype" w:eastAsia="Times New Roman" w:hAnsi="Palatino Linotype" w:cs="Times New Roman"/>
          <w:i/>
          <w:iCs/>
          <w:color w:val="000000"/>
          <w:lang w:eastAsia="es-ES"/>
        </w:rPr>
        <w:t>En caso de que el Recurrente proporcione el dispositivo electrónico para la entrega de la información, la reproducción se hará sin costo. Para la entrega de la información vía el SAIMEX, deberá indicar el procedimiento que tendrá que seguir el Particular, es decir, los pasos para realizar el pago de derechos, en caso de proceder y la manera de obtener la información, así como nombre del servidor público que le atenderá, domicilio de la Unidad de Transparencia, días y horarios de atención.</w:t>
      </w:r>
    </w:p>
    <w:p w:rsidR="0018535A" w:rsidRPr="00223DB8" w:rsidRDefault="0018535A" w:rsidP="0018535A">
      <w:pPr>
        <w:pBdr>
          <w:top w:val="nil"/>
          <w:left w:val="nil"/>
          <w:bottom w:val="nil"/>
          <w:right w:val="nil"/>
          <w:between w:val="nil"/>
        </w:pBdr>
        <w:spacing w:after="0" w:line="240" w:lineRule="auto"/>
        <w:ind w:left="567" w:right="564"/>
        <w:contextualSpacing/>
        <w:jc w:val="both"/>
        <w:rPr>
          <w:rFonts w:ascii="Palatino Linotype" w:eastAsia="Times New Roman" w:hAnsi="Palatino Linotype" w:cs="Times New Roman"/>
          <w:i/>
          <w:iCs/>
          <w:color w:val="000000"/>
          <w:lang w:eastAsia="es-ES"/>
        </w:rPr>
      </w:pPr>
    </w:p>
    <w:p w:rsidR="0018535A" w:rsidRPr="00223DB8" w:rsidRDefault="0018535A" w:rsidP="0018535A">
      <w:pPr>
        <w:pBdr>
          <w:top w:val="nil"/>
          <w:left w:val="nil"/>
          <w:bottom w:val="nil"/>
          <w:right w:val="nil"/>
          <w:between w:val="nil"/>
        </w:pBdr>
        <w:spacing w:after="0" w:line="240" w:lineRule="auto"/>
        <w:ind w:left="567" w:right="564"/>
        <w:contextualSpacing/>
        <w:jc w:val="both"/>
        <w:rPr>
          <w:rFonts w:ascii="Palatino Linotype" w:eastAsia="Times New Roman" w:hAnsi="Palatino Linotype" w:cs="Times New Roman"/>
          <w:i/>
          <w:iCs/>
          <w:color w:val="000000"/>
          <w:lang w:eastAsia="es-ES"/>
        </w:rPr>
      </w:pPr>
      <w:r w:rsidRPr="00223DB8">
        <w:rPr>
          <w:rFonts w:ascii="Palatino Linotype" w:eastAsia="Times New Roman" w:hAnsi="Palatino Linotype" w:cs="Times New Roman"/>
          <w:i/>
          <w:iCs/>
          <w:color w:val="000000"/>
          <w:lang w:eastAsia="es-ES"/>
        </w:rPr>
        <w:t>De ser necesarias las versiones públicas, se deberá proporcionar el Acuerdo de Clasificación donde el Comité de Transparencia, confirme la eliminación de los datos confidenciales, de conformidad con los artículos 49, fracciones II y VIII, 132, fracción II, 143, fracción I y 149 de la Ley de Transparencia y Acceso a la Información Pública del</w:t>
      </w:r>
      <w:r w:rsidRPr="00223DB8">
        <w:rPr>
          <w:rFonts w:ascii="Palatino Linotype" w:eastAsia="Times New Roman" w:hAnsi="Palatino Linotype" w:cs="Times New Roman"/>
          <w:i/>
          <w:iCs/>
          <w:color w:val="000000"/>
          <w:lang w:eastAsia="es-ES"/>
        </w:rPr>
        <w:t xml:space="preserve"> Estado de México y Municipios.”(Sic)</w:t>
      </w:r>
    </w:p>
    <w:p w:rsidR="0018535A" w:rsidRPr="00223DB8" w:rsidRDefault="0018535A" w:rsidP="0018535A">
      <w:pPr>
        <w:spacing w:line="360" w:lineRule="auto"/>
        <w:jc w:val="both"/>
        <w:rPr>
          <w:rFonts w:ascii="Palatino Linotype" w:eastAsia="Palatino Linotype" w:hAnsi="Palatino Linotype" w:cs="Palatino Linotype"/>
        </w:rPr>
      </w:pPr>
    </w:p>
    <w:p w:rsidR="008133DF" w:rsidRPr="00223DB8" w:rsidRDefault="00D612B6">
      <w:pPr>
        <w:numPr>
          <w:ilvl w:val="0"/>
          <w:numId w:val="1"/>
        </w:numPr>
        <w:pBdr>
          <w:top w:val="nil"/>
          <w:left w:val="nil"/>
          <w:bottom w:val="nil"/>
          <w:right w:val="nil"/>
          <w:between w:val="nil"/>
        </w:pBdr>
        <w:spacing w:before="120" w:after="120" w:line="360" w:lineRule="auto"/>
        <w:ind w:left="567" w:hanging="283"/>
        <w:jc w:val="both"/>
        <w:rPr>
          <w:rFonts w:ascii="Palatino Linotype" w:eastAsia="Palatino Linotype" w:hAnsi="Palatino Linotype" w:cs="Palatino Linotype"/>
          <w:b/>
          <w:color w:val="000000"/>
        </w:rPr>
      </w:pPr>
      <w:r w:rsidRPr="00223DB8">
        <w:rPr>
          <w:rFonts w:ascii="Palatino Linotype" w:eastAsia="Palatino Linotype" w:hAnsi="Palatino Linotype" w:cs="Palatino Linotype"/>
          <w:b/>
          <w:color w:val="000000"/>
        </w:rPr>
        <w:t xml:space="preserve">Razones del Voto Disidente. </w:t>
      </w:r>
    </w:p>
    <w:p w:rsidR="004F03BE" w:rsidRPr="00223DB8" w:rsidRDefault="00D612B6" w:rsidP="004F03BE">
      <w:pPr>
        <w:spacing w:before="240" w:after="240"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rPr>
        <w:t xml:space="preserve">Para iniciar la emisión del presente voto, conviene mencionar, que, de manera respetuosa, la suscrita </w:t>
      </w:r>
      <w:r w:rsidRPr="00223DB8">
        <w:rPr>
          <w:rFonts w:ascii="Palatino Linotype" w:eastAsia="Palatino Linotype" w:hAnsi="Palatino Linotype" w:cs="Palatino Linotype"/>
          <w:b/>
        </w:rPr>
        <w:t xml:space="preserve">no comparte en su totalidad las consideraciones que fueron vertidas en la presente resolución, particularmente respecto </w:t>
      </w:r>
      <w:r w:rsidR="004F03BE" w:rsidRPr="00223DB8">
        <w:rPr>
          <w:rFonts w:ascii="Palatino Linotype" w:eastAsia="Palatino Linotype" w:hAnsi="Palatino Linotype" w:cs="Palatino Linotype"/>
          <w:b/>
        </w:rPr>
        <w:t xml:space="preserve">ordenar la entrega de la información </w:t>
      </w:r>
      <w:r w:rsidR="004F03BE" w:rsidRPr="00223DB8">
        <w:rPr>
          <w:rFonts w:ascii="Palatino Linotype" w:eastAsia="Palatino Linotype" w:hAnsi="Palatino Linotype" w:cs="Palatino Linotype"/>
          <w:b/>
        </w:rPr>
        <w:t>en todas las modalidades</w:t>
      </w:r>
      <w:r w:rsidR="004F03BE" w:rsidRPr="00223DB8">
        <w:rPr>
          <w:rFonts w:ascii="Palatino Linotype" w:eastAsia="Palatino Linotype" w:hAnsi="Palatino Linotype" w:cs="Palatino Linotype"/>
        </w:rPr>
        <w:t xml:space="preserve"> que permita la documentación, tales como, un vínculo electrónico, disco compacto, dispositivo de almacenamiento, consulta directa, copias simples o certificadas, con posibilidad de entrega en la Unidad de Transparencia o a domicilio por correo certificado, previo pago de los derechos correspondientes</w:t>
      </w:r>
      <w:r w:rsidR="004F03BE" w:rsidRPr="00223DB8">
        <w:rPr>
          <w:rFonts w:ascii="Palatino Linotype" w:eastAsia="Palatino Linotype" w:hAnsi="Palatino Linotype" w:cs="Palatino Linotype"/>
        </w:rPr>
        <w:t xml:space="preserve">, relacionada con la información requerida en la solicitud </w:t>
      </w:r>
      <w:r w:rsidR="004F03BE" w:rsidRPr="00223DB8">
        <w:rPr>
          <w:rFonts w:ascii="Palatino Linotype" w:eastAsia="Palatino Linotype" w:hAnsi="Palatino Linotype" w:cs="Palatino Linotype"/>
        </w:rPr>
        <w:t>00058/DIFTLALNE/IP/2024 relacionada al Recurso de Revisión 02889/INFOEM/IP/RR/2024</w:t>
      </w:r>
      <w:r w:rsidR="004F03BE" w:rsidRPr="00223DB8">
        <w:rPr>
          <w:rFonts w:ascii="Palatino Linotype" w:eastAsia="Palatino Linotype" w:hAnsi="Palatino Linotype" w:cs="Palatino Linotype"/>
        </w:rPr>
        <w:t>.</w:t>
      </w:r>
    </w:p>
    <w:p w:rsidR="004F03BE" w:rsidRPr="00223DB8" w:rsidRDefault="004F03BE">
      <w:pPr>
        <w:spacing w:before="240" w:after="240"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rPr>
        <w:t xml:space="preserve">Que si bien la suscrita coincide que se ordene la entrega de la información, en razón de que la información entregada en respuesta no corresponde con lo que solicitó la parte Recurrente </w:t>
      </w:r>
      <w:r w:rsidRPr="00223DB8">
        <w:rPr>
          <w:rFonts w:ascii="Palatino Linotype" w:eastAsia="Palatino Linotype" w:hAnsi="Palatino Linotype" w:cs="Palatino Linotype"/>
        </w:rPr>
        <w:t>en la solicitud 00058/DIFTLALNE/IP/2024</w:t>
      </w:r>
      <w:r w:rsidRPr="00223DB8">
        <w:rPr>
          <w:rFonts w:ascii="Palatino Linotype" w:eastAsia="Palatino Linotype" w:hAnsi="Palatino Linotype" w:cs="Palatino Linotype"/>
        </w:rPr>
        <w:t>, también lo es que el solicitante requirió que la información le fuera entregada vía SAIMEX, como se observa en la siguiente imagen, de manera de ejemplo:</w:t>
      </w:r>
    </w:p>
    <w:p w:rsidR="004F03BE" w:rsidRPr="00223DB8" w:rsidRDefault="004F03BE">
      <w:pPr>
        <w:spacing w:before="240" w:after="240"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noProof/>
        </w:rPr>
        <mc:AlternateContent>
          <mc:Choice Requires="wps">
            <w:drawing>
              <wp:anchor distT="0" distB="0" distL="114300" distR="114300" simplePos="0" relativeHeight="251660288" behindDoc="0" locked="0" layoutInCell="1" allowOverlap="1">
                <wp:simplePos x="0" y="0"/>
                <wp:positionH relativeFrom="column">
                  <wp:posOffset>1447444</wp:posOffset>
                </wp:positionH>
                <wp:positionV relativeFrom="paragraph">
                  <wp:posOffset>1231467</wp:posOffset>
                </wp:positionV>
                <wp:extent cx="331595" cy="221064"/>
                <wp:effectExtent l="19050" t="19050" r="11430" b="45720"/>
                <wp:wrapNone/>
                <wp:docPr id="4" name="Flecha izquierda 4"/>
                <wp:cNvGraphicFramePr/>
                <a:graphic xmlns:a="http://schemas.openxmlformats.org/drawingml/2006/main">
                  <a:graphicData uri="http://schemas.microsoft.com/office/word/2010/wordprocessingShape">
                    <wps:wsp>
                      <wps:cNvSpPr/>
                      <wps:spPr>
                        <a:xfrm>
                          <a:off x="0" y="0"/>
                          <a:ext cx="331595" cy="22106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FB6FC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4" o:spid="_x0000_s1026" type="#_x0000_t66" style="position:absolute;margin-left:113.95pt;margin-top:96.95pt;width:26.1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" adj="7200" fillcolor="#5b9bd5 [3204]" strokecolor="#1f4d78 [1604]" strokeweight="1pt"/>
            </w:pict>
          </mc:Fallback>
        </mc:AlternateContent>
      </w:r>
      <w:r w:rsidRPr="00223DB8">
        <w:rPr>
          <w:rFonts w:ascii="Palatino Linotype" w:eastAsia="Palatino Linotype" w:hAnsi="Palatino Linotype" w:cs="Palatino Linotype"/>
        </w:rPr>
        <w:drawing>
          <wp:inline distT="0" distB="0" distL="0" distR="0" wp14:anchorId="41D8FE29" wp14:editId="32F17A84">
            <wp:extent cx="5668968" cy="1652954"/>
            <wp:effectExtent l="0" t="0" r="825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3026" cy="1659969"/>
                    </a:xfrm>
                    <a:prstGeom prst="rect">
                      <a:avLst/>
                    </a:prstGeom>
                  </pic:spPr>
                </pic:pic>
              </a:graphicData>
            </a:graphic>
          </wp:inline>
        </w:drawing>
      </w:r>
    </w:p>
    <w:p w:rsidR="00B140F8" w:rsidRPr="00223DB8" w:rsidRDefault="004F03BE" w:rsidP="00B140F8">
      <w:pPr>
        <w:spacing w:before="240" w:after="240"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rPr>
        <w:t xml:space="preserve">Ahora bien de la revisión a las constancias que integran el expediente electrónico del SAIMEX, número </w:t>
      </w:r>
      <w:r w:rsidRPr="00223DB8">
        <w:rPr>
          <w:rFonts w:ascii="Palatino Linotype" w:eastAsia="Palatino Linotype" w:hAnsi="Palatino Linotype" w:cs="Palatino Linotype"/>
        </w:rPr>
        <w:t>02889/INFOEM/IP/RR/2024</w:t>
      </w:r>
      <w:r w:rsidRPr="00223DB8">
        <w:rPr>
          <w:rFonts w:ascii="Palatino Linotype" w:eastAsia="Palatino Linotype" w:hAnsi="Palatino Linotype" w:cs="Palatino Linotype"/>
        </w:rPr>
        <w:t xml:space="preserve"> el cual fue acumulado al recurso de revisión número </w:t>
      </w:r>
      <w:r w:rsidRPr="00223DB8">
        <w:rPr>
          <w:rFonts w:ascii="Palatino Linotype" w:eastAsia="Palatino Linotype" w:hAnsi="Palatino Linotype" w:cs="Palatino Linotype"/>
        </w:rPr>
        <w:t>02886/INFOEM/IP/RR/2024</w:t>
      </w:r>
      <w:r w:rsidRPr="00223DB8">
        <w:rPr>
          <w:rFonts w:ascii="Palatino Linotype" w:eastAsia="Palatino Linotype" w:hAnsi="Palatino Linotype" w:cs="Palatino Linotype"/>
        </w:rPr>
        <w:t xml:space="preserve">, mediante la sesión </w:t>
      </w:r>
      <w:r w:rsidRPr="00223DB8">
        <w:rPr>
          <w:rFonts w:ascii="Palatino Linotype" w:eastAsia="Palatino Linotype" w:hAnsi="Palatino Linotype" w:cs="Palatino Linotype"/>
        </w:rPr>
        <w:t>Vigésima Sesión Ordinaria</w:t>
      </w:r>
      <w:r w:rsidRPr="00223DB8">
        <w:rPr>
          <w:rFonts w:ascii="Palatino Linotype" w:eastAsia="Palatino Linotype" w:hAnsi="Palatino Linotype" w:cs="Palatino Linotype"/>
        </w:rPr>
        <w:t xml:space="preserve"> del </w:t>
      </w:r>
      <w:r w:rsidRPr="00223DB8">
        <w:rPr>
          <w:rFonts w:ascii="Palatino Linotype" w:eastAsia="Palatino Linotype" w:hAnsi="Palatino Linotype" w:cs="Palatino Linotype"/>
        </w:rPr>
        <w:t>Instituto de Transparencia, Acceso a la Información Pública y Protección de Datos Personales del Estado de México y Municipios, celebrada el cinco de junio de dos mil veinticuatro</w:t>
      </w:r>
      <w:r w:rsidRPr="00223DB8">
        <w:rPr>
          <w:rFonts w:ascii="Palatino Linotype" w:eastAsia="Palatino Linotype" w:hAnsi="Palatino Linotype" w:cs="Palatino Linotype"/>
        </w:rPr>
        <w:t xml:space="preserve">, no se advierte </w:t>
      </w:r>
      <w:r w:rsidR="00B140F8" w:rsidRPr="00223DB8">
        <w:rPr>
          <w:rFonts w:ascii="Palatino Linotype" w:eastAsia="Palatino Linotype" w:hAnsi="Palatino Linotype" w:cs="Palatino Linotype"/>
        </w:rPr>
        <w:t>que el Sujeto Obligado mediante su respuesta haya hecho el cambio de modalidad a consulta directa de la información requerida, como así sucedió en la respuesta otorgada a la s</w:t>
      </w:r>
      <w:r w:rsidR="00B140F8" w:rsidRPr="00223DB8">
        <w:rPr>
          <w:rFonts w:ascii="Palatino Linotype" w:eastAsia="Palatino Linotype" w:hAnsi="Palatino Linotype" w:cs="Palatino Linotype"/>
        </w:rPr>
        <w:t>olicitud 00056/DIFTLALNE/IP/2024 relacionada al Recurso de Revisión 02886/INFOEM/IP/RR/2024</w:t>
      </w:r>
      <w:r w:rsidR="00B140F8" w:rsidRPr="00223DB8">
        <w:rPr>
          <w:rFonts w:ascii="Palatino Linotype" w:eastAsia="Palatino Linotype" w:hAnsi="Palatino Linotype" w:cs="Palatino Linotype"/>
        </w:rPr>
        <w:t>.</w:t>
      </w:r>
    </w:p>
    <w:p w:rsidR="00B140F8" w:rsidRPr="00223DB8" w:rsidRDefault="00B140F8" w:rsidP="00B140F8">
      <w:pPr>
        <w:spacing w:before="240" w:after="240"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rPr>
        <w:t>En ese sentido, la ponencia que resolvió considero para ambos recursos de revisión lo siguiente:</w:t>
      </w:r>
    </w:p>
    <w:p w:rsidR="00B140F8" w:rsidRPr="00223DB8" w:rsidRDefault="00B140F8" w:rsidP="00B140F8">
      <w:pPr>
        <w:tabs>
          <w:tab w:val="left" w:pos="4962"/>
        </w:tabs>
        <w:spacing w:after="0" w:line="240" w:lineRule="auto"/>
        <w:contextualSpacing/>
        <w:jc w:val="both"/>
        <w:rPr>
          <w:rFonts w:ascii="Palatino Linotype" w:hAnsi="Palatino Linotype" w:cs="Arial"/>
          <w:bCs/>
          <w:i/>
        </w:rPr>
      </w:pPr>
      <w:r w:rsidRPr="00223DB8">
        <w:rPr>
          <w:rFonts w:ascii="Palatino Linotype" w:eastAsia="Palatino Linotype" w:hAnsi="Palatino Linotype" w:cs="Palatino Linotype"/>
          <w:i/>
        </w:rPr>
        <w:t>“</w:t>
      </w:r>
      <w:r w:rsidRPr="00223DB8">
        <w:rPr>
          <w:rFonts w:ascii="Palatino Linotype" w:hAnsi="Palatino Linotype" w:cs="Arial"/>
          <w:bCs/>
          <w:i/>
          <w:iCs/>
          <w:lang w:val="es-ES" w:eastAsia="es-ES_tradnl"/>
        </w:rPr>
        <w:t>Ahora, de la respuesta aportada, el Sujeto puso el totalidad de estos dos puntos a disposición del Particular en sus oficinas</w:t>
      </w:r>
      <w:r w:rsidRPr="00223DB8">
        <w:rPr>
          <w:rFonts w:ascii="Palatino Linotype" w:hAnsi="Palatino Linotype" w:cs="Arial"/>
          <w:bCs/>
          <w:i/>
        </w:rPr>
        <w:t xml:space="preserve">; al respecto, el artículo 155, fracción V, de la Ley de Transparencia y Acceso a la Información Pública del Estado de México y Municipios, precisa que para presentar una solicitud, la particular podrá señalar </w:t>
      </w:r>
      <w:r w:rsidRPr="00223DB8">
        <w:rPr>
          <w:rFonts w:ascii="Palatino Linotype" w:hAnsi="Palatino Linotype" w:cs="Arial"/>
          <w:b/>
          <w:bCs/>
          <w:i/>
        </w:rPr>
        <w:t>la modalidad en la que prefiere se otorgue el acceso a la información</w:t>
      </w:r>
      <w:r w:rsidRPr="00223DB8">
        <w:rPr>
          <w:rFonts w:ascii="Palatino Linotype" w:hAnsi="Palatino Linotype" w:cs="Arial"/>
          <w:bCs/>
          <w:i/>
        </w:rPr>
        <w:t>, la cual podrá ser verbal, siempre y cuando sea para fines de orientación, mediante consulta directa, mediante la expedición de copias simples o certificadas o la reproducción en cualquier otro medio, incluidos los electrónicos.</w:t>
      </w:r>
    </w:p>
    <w:p w:rsidR="00B140F8" w:rsidRPr="00223DB8" w:rsidRDefault="00B140F8" w:rsidP="00B140F8">
      <w:pPr>
        <w:spacing w:after="0" w:line="240" w:lineRule="auto"/>
        <w:contextualSpacing/>
        <w:jc w:val="both"/>
        <w:rPr>
          <w:rFonts w:ascii="Palatino Linotype" w:hAnsi="Palatino Linotype" w:cs="Arial"/>
          <w:bCs/>
          <w:i/>
        </w:rPr>
      </w:pPr>
    </w:p>
    <w:p w:rsidR="00B140F8" w:rsidRPr="00223DB8" w:rsidRDefault="00B140F8" w:rsidP="00B140F8">
      <w:pPr>
        <w:spacing w:after="0" w:line="240" w:lineRule="auto"/>
        <w:contextualSpacing/>
        <w:jc w:val="both"/>
        <w:rPr>
          <w:rFonts w:ascii="Palatino Linotype" w:hAnsi="Palatino Linotype" w:cs="Arial"/>
          <w:b/>
          <w:bCs/>
          <w:i/>
        </w:rPr>
      </w:pPr>
      <w:r w:rsidRPr="00223DB8">
        <w:rPr>
          <w:rFonts w:ascii="Palatino Linotype" w:hAnsi="Palatino Linotype" w:cs="Arial"/>
          <w:bCs/>
          <w:i/>
        </w:rPr>
        <w:t xml:space="preserve">El artículo 158, dispone que, de manera excepcional, cuando de manera fundada y motivada lo determine el Sujeto Obligado, </w:t>
      </w:r>
      <w:r w:rsidRPr="00223DB8">
        <w:rPr>
          <w:rFonts w:ascii="Palatino Linotype" w:hAnsi="Palatino Linotype" w:cs="Arial"/>
          <w:b/>
          <w:bCs/>
          <w:i/>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B140F8" w:rsidRPr="00223DB8" w:rsidRDefault="00B140F8" w:rsidP="00B140F8">
      <w:pPr>
        <w:spacing w:after="0" w:line="240" w:lineRule="auto"/>
        <w:contextualSpacing/>
        <w:jc w:val="both"/>
        <w:rPr>
          <w:rFonts w:ascii="Palatino Linotype" w:hAnsi="Palatino Linotype" w:cs="Arial"/>
          <w:bCs/>
          <w:i/>
        </w:rPr>
      </w:pPr>
      <w:r w:rsidRPr="00223DB8">
        <w:rPr>
          <w:rFonts w:ascii="Palatino Linotype" w:hAnsi="Palatino Linotype" w:cs="Arial"/>
          <w:bCs/>
          <w:i/>
        </w:rPr>
        <w:t xml:space="preserve">En ese orden de ideas, el artículo 164 de dicho ordenamiento jurídico, prevé que el acceso se dará en la modalidad de entrega y, en su caso, de envío elegidos por al solicitante. </w:t>
      </w:r>
      <w:r w:rsidRPr="00223DB8">
        <w:rPr>
          <w:rFonts w:ascii="Palatino Linotype" w:hAnsi="Palatino Linotype" w:cs="Arial"/>
          <w:b/>
          <w:bCs/>
          <w:i/>
        </w:rPr>
        <w:t>Cuando la información no pueda entregarse o enviarse en la modalidad elegida, el sujeto obligado deberá ofrecer otra u otras modalidades de entrega.</w:t>
      </w:r>
      <w:r w:rsidRPr="00223DB8">
        <w:rPr>
          <w:rFonts w:ascii="Palatino Linotype" w:hAnsi="Palatino Linotype" w:cs="Arial"/>
          <w:bCs/>
          <w:i/>
        </w:rPr>
        <w:t xml:space="preserve"> En cualquier caso, </w:t>
      </w:r>
      <w:r w:rsidRPr="00223DB8">
        <w:rPr>
          <w:rFonts w:ascii="Palatino Linotype" w:hAnsi="Palatino Linotype" w:cs="Arial"/>
          <w:b/>
          <w:bCs/>
          <w:i/>
        </w:rPr>
        <w:t>se deberá fundar y motivar</w:t>
      </w:r>
      <w:r w:rsidRPr="00223DB8">
        <w:rPr>
          <w:rFonts w:ascii="Palatino Linotype" w:hAnsi="Palatino Linotype" w:cs="Arial"/>
          <w:bCs/>
          <w:i/>
        </w:rPr>
        <w:t xml:space="preserve"> la necesidad de ofrecer otras modalidades.</w:t>
      </w:r>
    </w:p>
    <w:p w:rsidR="00B140F8" w:rsidRPr="00223DB8" w:rsidRDefault="00B140F8" w:rsidP="00B140F8">
      <w:pPr>
        <w:spacing w:after="0" w:line="240" w:lineRule="auto"/>
        <w:contextualSpacing/>
        <w:jc w:val="both"/>
        <w:rPr>
          <w:rFonts w:ascii="Palatino Linotype" w:hAnsi="Palatino Linotype" w:cs="Arial"/>
          <w:bCs/>
          <w:i/>
        </w:rPr>
      </w:pPr>
    </w:p>
    <w:p w:rsidR="00B140F8" w:rsidRPr="00223DB8" w:rsidRDefault="00B140F8" w:rsidP="00B140F8">
      <w:pPr>
        <w:spacing w:after="0" w:line="240" w:lineRule="auto"/>
        <w:contextualSpacing/>
        <w:jc w:val="both"/>
        <w:rPr>
          <w:rFonts w:ascii="Palatino Linotype" w:hAnsi="Palatino Linotype" w:cs="Arial"/>
          <w:bCs/>
          <w:i/>
        </w:rPr>
      </w:pPr>
      <w:r w:rsidRPr="00223DB8">
        <w:rPr>
          <w:rFonts w:ascii="Palatino Linotype" w:hAnsi="Palatino Linotype" w:cs="Arial"/>
          <w:bCs/>
          <w:i/>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223DB8">
        <w:rPr>
          <w:rFonts w:ascii="Palatino Linotype" w:hAnsi="Palatino Linotype" w:cs="Arial"/>
          <w:b/>
          <w:bCs/>
          <w:i/>
        </w:rPr>
        <w:t>en la medida de lo posible, en la forma solicitada por el interesado, salvo que exista un impedimento justificado para atenderla</w:t>
      </w:r>
      <w:r w:rsidRPr="00223DB8">
        <w:rPr>
          <w:rFonts w:ascii="Palatino Linotype" w:hAnsi="Palatino Linotype" w:cs="Arial"/>
          <w:bCs/>
          <w:i/>
        </w:rPr>
        <w:t xml:space="preserve">, en cuyo caso, deberán exponerse las razones por las cuales no es posible utilizar el medio de reproducción solicitado; en este sentido, la entrega de la información en una modalidad distinta a la elegida por la particular </w:t>
      </w:r>
      <w:r w:rsidRPr="00223DB8">
        <w:rPr>
          <w:rFonts w:ascii="Palatino Linotype" w:hAnsi="Palatino Linotype" w:cs="Arial"/>
          <w:b/>
          <w:bCs/>
          <w:i/>
        </w:rPr>
        <w:t>sólo procede, en caso de que se acredite la imposibilidad de atenderla.</w:t>
      </w:r>
      <w:r w:rsidRPr="00223DB8">
        <w:rPr>
          <w:rFonts w:ascii="Palatino Linotype" w:hAnsi="Palatino Linotype" w:cs="Arial"/>
          <w:bCs/>
          <w:i/>
        </w:rPr>
        <w:t xml:space="preserve"> </w:t>
      </w:r>
    </w:p>
    <w:p w:rsidR="00B140F8" w:rsidRPr="00223DB8" w:rsidRDefault="00B140F8" w:rsidP="00B140F8">
      <w:pPr>
        <w:spacing w:after="0" w:line="240" w:lineRule="auto"/>
        <w:contextualSpacing/>
        <w:jc w:val="both"/>
        <w:rPr>
          <w:rFonts w:ascii="Palatino Linotype" w:hAnsi="Palatino Linotype" w:cs="Arial"/>
          <w:bCs/>
          <w:i/>
        </w:rPr>
      </w:pPr>
    </w:p>
    <w:p w:rsidR="00B140F8" w:rsidRPr="00223DB8" w:rsidRDefault="00B140F8" w:rsidP="00B140F8">
      <w:pPr>
        <w:spacing w:after="0" w:line="240" w:lineRule="auto"/>
        <w:contextualSpacing/>
        <w:jc w:val="both"/>
        <w:rPr>
          <w:rFonts w:ascii="Palatino Linotype" w:hAnsi="Palatino Linotype" w:cs="Arial"/>
          <w:bCs/>
          <w:i/>
        </w:rPr>
      </w:pPr>
      <w:r w:rsidRPr="00223DB8">
        <w:rPr>
          <w:rFonts w:ascii="Palatino Linotype" w:hAnsi="Palatino Linotype" w:cs="Arial"/>
          <w:bCs/>
          <w:i/>
        </w:rPr>
        <w:t xml:space="preserve">Así, cuando se justifique el impedimento, </w:t>
      </w:r>
      <w:r w:rsidRPr="00223DB8">
        <w:rPr>
          <w:rFonts w:ascii="Palatino Linotype" w:hAnsi="Palatino Linotype" w:cs="Arial"/>
          <w:b/>
          <w:bCs/>
          <w:i/>
        </w:rPr>
        <w:t>los Sujetos Obligados deberán ofrecer al particular otras modalidades de entrega que permita la información</w:t>
      </w:r>
      <w:r w:rsidRPr="00223DB8">
        <w:rPr>
          <w:rFonts w:ascii="Palatino Linotype" w:hAnsi="Palatino Linotype" w:cs="Arial"/>
          <w:bCs/>
          <w:i/>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rsidR="00B140F8" w:rsidRPr="00223DB8" w:rsidRDefault="00B140F8" w:rsidP="00B140F8">
      <w:pPr>
        <w:spacing w:after="0" w:line="240" w:lineRule="auto"/>
        <w:contextualSpacing/>
        <w:jc w:val="both"/>
        <w:rPr>
          <w:rFonts w:ascii="Palatino Linotype" w:hAnsi="Palatino Linotype" w:cs="Arial"/>
          <w:bCs/>
          <w:i/>
        </w:rPr>
      </w:pPr>
    </w:p>
    <w:p w:rsidR="00B140F8" w:rsidRPr="00223DB8" w:rsidRDefault="00B140F8" w:rsidP="00B140F8">
      <w:pPr>
        <w:spacing w:after="0" w:line="240" w:lineRule="auto"/>
        <w:ind w:left="567" w:right="567"/>
        <w:contextualSpacing/>
        <w:jc w:val="both"/>
        <w:rPr>
          <w:rFonts w:ascii="Palatino Linotype" w:hAnsi="Palatino Linotype" w:cs="Arial"/>
          <w:bCs/>
          <w:i/>
        </w:rPr>
      </w:pPr>
      <w:r w:rsidRPr="00223DB8">
        <w:rPr>
          <w:rFonts w:ascii="Palatino Linotype" w:hAnsi="Palatino Linotype" w:cs="Arial"/>
          <w:b/>
          <w:bCs/>
          <w:i/>
        </w:rPr>
        <w:t>“Modalidad de entrega. Procedencia de proporcionar la información solicitada en una diversa a la elegida por el solicitante.</w:t>
      </w:r>
      <w:r w:rsidRPr="00223DB8">
        <w:rPr>
          <w:rFonts w:ascii="Palatino Linotype" w:hAnsi="Palatino Linotype" w:cs="Arial"/>
          <w:bCs/>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rsidR="00B140F8" w:rsidRPr="00223DB8" w:rsidRDefault="00B140F8" w:rsidP="00B140F8">
      <w:pPr>
        <w:spacing w:after="0" w:line="240" w:lineRule="auto"/>
        <w:contextualSpacing/>
        <w:jc w:val="both"/>
        <w:rPr>
          <w:rFonts w:ascii="Palatino Linotype" w:hAnsi="Palatino Linotype" w:cs="Arial"/>
          <w:bCs/>
          <w:i/>
        </w:rPr>
      </w:pPr>
    </w:p>
    <w:p w:rsidR="00B140F8" w:rsidRPr="00223DB8" w:rsidRDefault="00B140F8" w:rsidP="00B140F8">
      <w:pPr>
        <w:spacing w:after="0" w:line="240" w:lineRule="auto"/>
        <w:contextualSpacing/>
        <w:jc w:val="both"/>
        <w:rPr>
          <w:rFonts w:ascii="Palatino Linotype" w:hAnsi="Palatino Linotype" w:cs="Arial"/>
          <w:b/>
          <w:i/>
        </w:rPr>
      </w:pPr>
      <w:r w:rsidRPr="00223DB8">
        <w:rPr>
          <w:rFonts w:ascii="Palatino Linotype" w:hAnsi="Palatino Linotype" w:cs="Arial"/>
          <w:bCs/>
          <w:i/>
        </w:rPr>
        <w:t xml:space="preserve">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223DB8">
        <w:rPr>
          <w:rFonts w:ascii="Palatino Linotype" w:hAnsi="Palatino Linotype" w:cs="Arial"/>
          <w:b/>
          <w:i/>
        </w:rPr>
        <w:t>información en todas las modalidades que lo permitan, procurando reducir los costos de entrega.</w:t>
      </w:r>
    </w:p>
    <w:p w:rsidR="00B140F8" w:rsidRPr="00223DB8" w:rsidRDefault="00B140F8" w:rsidP="00B140F8">
      <w:pPr>
        <w:spacing w:after="0" w:line="240" w:lineRule="auto"/>
        <w:contextualSpacing/>
        <w:jc w:val="both"/>
        <w:rPr>
          <w:rFonts w:ascii="Palatino Linotype" w:hAnsi="Palatino Linotype" w:cs="Arial"/>
          <w:b/>
          <w:i/>
        </w:rPr>
      </w:pPr>
    </w:p>
    <w:p w:rsidR="00B140F8" w:rsidRPr="00223DB8" w:rsidRDefault="00B140F8" w:rsidP="00B140F8">
      <w:pPr>
        <w:spacing w:after="0" w:line="240" w:lineRule="auto"/>
        <w:contextualSpacing/>
        <w:jc w:val="both"/>
        <w:rPr>
          <w:rFonts w:ascii="Palatino Linotype" w:hAnsi="Palatino Linotype" w:cs="Arial"/>
          <w:bCs/>
          <w:i/>
        </w:rPr>
      </w:pPr>
      <w:r w:rsidRPr="00223DB8">
        <w:rPr>
          <w:rFonts w:ascii="Palatino Linotype" w:hAnsi="Palatino Linotype" w:cs="Arial"/>
          <w:bCs/>
          <w:i/>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B140F8" w:rsidRPr="00223DB8" w:rsidRDefault="00B140F8" w:rsidP="00B140F8">
      <w:pPr>
        <w:spacing w:after="0" w:line="240" w:lineRule="auto"/>
        <w:contextualSpacing/>
        <w:jc w:val="both"/>
        <w:rPr>
          <w:rFonts w:ascii="Palatino Linotype" w:hAnsi="Palatino Linotype" w:cs="Arial"/>
          <w:bCs/>
          <w:i/>
        </w:rPr>
      </w:pPr>
    </w:p>
    <w:p w:rsidR="00B140F8" w:rsidRPr="00223DB8" w:rsidRDefault="00B140F8" w:rsidP="00B140F8">
      <w:pPr>
        <w:pStyle w:val="Prrafodelista"/>
        <w:numPr>
          <w:ilvl w:val="0"/>
          <w:numId w:val="8"/>
        </w:numPr>
        <w:jc w:val="both"/>
        <w:rPr>
          <w:rFonts w:ascii="Palatino Linotype" w:hAnsi="Palatino Linotype" w:cs="Arial"/>
          <w:bCs/>
          <w:i/>
          <w:sz w:val="22"/>
          <w:szCs w:val="22"/>
        </w:rPr>
      </w:pPr>
      <w:r w:rsidRPr="00223DB8">
        <w:rPr>
          <w:rFonts w:ascii="Palatino Linotype" w:hAnsi="Palatino Linotype" w:cs="Arial"/>
          <w:bCs/>
          <w:i/>
          <w:sz w:val="22"/>
          <w:szCs w:val="22"/>
        </w:rPr>
        <w:t>Las razones por las cuales la información implicaba un análisis, estudio o procesamiento de datos;</w:t>
      </w:r>
    </w:p>
    <w:p w:rsidR="00B140F8" w:rsidRPr="00223DB8" w:rsidRDefault="00B140F8" w:rsidP="00B140F8">
      <w:pPr>
        <w:pStyle w:val="Prrafodelista"/>
        <w:numPr>
          <w:ilvl w:val="0"/>
          <w:numId w:val="8"/>
        </w:numPr>
        <w:jc w:val="both"/>
        <w:rPr>
          <w:rFonts w:ascii="Palatino Linotype" w:hAnsi="Palatino Linotype" w:cs="Arial"/>
          <w:bCs/>
          <w:i/>
          <w:sz w:val="22"/>
          <w:szCs w:val="22"/>
        </w:rPr>
      </w:pPr>
      <w:r w:rsidRPr="00223DB8">
        <w:rPr>
          <w:rFonts w:ascii="Palatino Linotype" w:hAnsi="Palatino Linotype" w:cs="Arial"/>
          <w:bCs/>
          <w:i/>
          <w:sz w:val="22"/>
          <w:szCs w:val="22"/>
        </w:rPr>
        <w:t>El tiempo no es suficiente para atender la solicitud en la modalidad elegida, y</w:t>
      </w:r>
    </w:p>
    <w:p w:rsidR="00B140F8" w:rsidRPr="00223DB8" w:rsidRDefault="00B140F8" w:rsidP="00B140F8">
      <w:pPr>
        <w:pStyle w:val="Prrafodelista"/>
        <w:numPr>
          <w:ilvl w:val="0"/>
          <w:numId w:val="8"/>
        </w:numPr>
        <w:jc w:val="both"/>
        <w:rPr>
          <w:rFonts w:ascii="Palatino Linotype" w:hAnsi="Palatino Linotype" w:cs="Arial"/>
          <w:bCs/>
          <w:i/>
          <w:sz w:val="22"/>
          <w:szCs w:val="22"/>
        </w:rPr>
      </w:pPr>
      <w:r w:rsidRPr="00223DB8">
        <w:rPr>
          <w:rFonts w:ascii="Palatino Linotype" w:hAnsi="Palatino Linotype" w:cs="Arial"/>
          <w:bCs/>
          <w:i/>
          <w:sz w:val="22"/>
          <w:szCs w:val="22"/>
        </w:rPr>
        <w:t>La cantidad de recursos humanos y materiales con los que cuenta el Sujeto Obligado son insuficientes.</w:t>
      </w:r>
    </w:p>
    <w:p w:rsidR="00B140F8" w:rsidRPr="00223DB8" w:rsidRDefault="00B140F8" w:rsidP="00B140F8">
      <w:pPr>
        <w:spacing w:after="0" w:line="240" w:lineRule="auto"/>
        <w:contextualSpacing/>
        <w:jc w:val="both"/>
        <w:rPr>
          <w:rFonts w:ascii="Palatino Linotype" w:hAnsi="Palatino Linotype" w:cs="Arial"/>
          <w:i/>
          <w:iCs/>
        </w:rPr>
      </w:pPr>
    </w:p>
    <w:p w:rsidR="00B140F8" w:rsidRPr="00223DB8" w:rsidRDefault="00B140F8" w:rsidP="00B140F8">
      <w:pPr>
        <w:spacing w:after="0" w:line="240" w:lineRule="auto"/>
        <w:contextualSpacing/>
        <w:jc w:val="both"/>
        <w:rPr>
          <w:rFonts w:ascii="Palatino Linotype" w:hAnsi="Palatino Linotype" w:cs="Arial"/>
          <w:bCs/>
          <w:i/>
        </w:rPr>
      </w:pPr>
      <w:r w:rsidRPr="00223DB8">
        <w:rPr>
          <w:rFonts w:ascii="Palatino Linotype" w:hAnsi="Palatino Linotype" w:cs="Arial"/>
          <w:i/>
          <w:iCs/>
        </w:rPr>
        <w:t xml:space="preserve">Ahora bien, el Sujeto Obligado, puso a consideración ante su Comité de Transparencia el cambio de modalidad de la entrega de la información, a través de argumentos, que después fueron adoptados por dicho Comité y que, en lo central, </w:t>
      </w:r>
    </w:p>
    <w:p w:rsidR="00B140F8" w:rsidRPr="00223DB8" w:rsidRDefault="00B140F8" w:rsidP="00B140F8">
      <w:pPr>
        <w:spacing w:after="0" w:line="240" w:lineRule="auto"/>
        <w:contextualSpacing/>
        <w:jc w:val="both"/>
        <w:rPr>
          <w:rFonts w:ascii="Palatino Linotype" w:hAnsi="Palatino Linotype" w:cs="Arial"/>
          <w:bCs/>
          <w:i/>
        </w:rPr>
      </w:pPr>
    </w:p>
    <w:p w:rsidR="00B140F8" w:rsidRPr="00223DB8" w:rsidRDefault="00B140F8" w:rsidP="00B140F8">
      <w:pPr>
        <w:pStyle w:val="Prrafodelista"/>
        <w:numPr>
          <w:ilvl w:val="0"/>
          <w:numId w:val="9"/>
        </w:numPr>
        <w:jc w:val="both"/>
        <w:rPr>
          <w:rFonts w:ascii="Palatino Linotype" w:hAnsi="Palatino Linotype" w:cs="Arial"/>
          <w:i/>
          <w:iCs/>
          <w:sz w:val="22"/>
          <w:szCs w:val="22"/>
        </w:rPr>
      </w:pPr>
      <w:r w:rsidRPr="00223DB8">
        <w:rPr>
          <w:rFonts w:ascii="Palatino Linotype" w:hAnsi="Palatino Linotype" w:cs="Arial"/>
          <w:i/>
          <w:iCs/>
          <w:sz w:val="22"/>
          <w:szCs w:val="22"/>
        </w:rPr>
        <w:t>La información que da cuenta de lo solicitado da un total de 8,773 documentos, lo que excede a la capacidad del Sistema de Acceso a la Información Mexiquense (SAIMEX), que no cuenta con la capacidad suficiente para subir la información.</w:t>
      </w:r>
    </w:p>
    <w:p w:rsidR="00B140F8" w:rsidRPr="00223DB8" w:rsidRDefault="00B140F8" w:rsidP="00B140F8">
      <w:pPr>
        <w:spacing w:after="0" w:line="240" w:lineRule="auto"/>
        <w:contextualSpacing/>
        <w:jc w:val="both"/>
        <w:rPr>
          <w:rFonts w:ascii="Palatino Linotype" w:hAnsi="Palatino Linotype" w:cs="Arial"/>
          <w:i/>
          <w:iCs/>
        </w:rPr>
      </w:pPr>
    </w:p>
    <w:p w:rsidR="00B140F8" w:rsidRPr="00223DB8" w:rsidRDefault="00B140F8" w:rsidP="00B140F8">
      <w:pPr>
        <w:spacing w:after="0" w:line="240" w:lineRule="auto"/>
        <w:contextualSpacing/>
        <w:jc w:val="both"/>
        <w:rPr>
          <w:rFonts w:ascii="Palatino Linotype" w:hAnsi="Palatino Linotype" w:cs="Arial"/>
          <w:i/>
          <w:iCs/>
        </w:rPr>
      </w:pPr>
      <w:r w:rsidRPr="00223DB8">
        <w:rPr>
          <w:rFonts w:ascii="Palatino Linotype" w:hAnsi="Palatino Linotype" w:cs="Arial"/>
          <w:i/>
          <w:iCs/>
        </w:rPr>
        <w:t>Cabe precisar que este Instituto, no tiene atribuciones para pronunciarse sobre la veracidad de lo señalado, apoya lo anterior, el Criterio 31/10, emitido por el Pleno del entonces Instituto Federal de Acceso a la Información y Protección de Datos.</w:t>
      </w:r>
    </w:p>
    <w:p w:rsidR="00B140F8" w:rsidRPr="00223DB8" w:rsidRDefault="00B140F8" w:rsidP="00B140F8">
      <w:pPr>
        <w:spacing w:after="0" w:line="240" w:lineRule="auto"/>
        <w:contextualSpacing/>
        <w:jc w:val="both"/>
        <w:rPr>
          <w:rFonts w:ascii="Palatino Linotype" w:hAnsi="Palatino Linotype" w:cs="Arial"/>
          <w:bCs/>
          <w:i/>
        </w:rPr>
      </w:pPr>
    </w:p>
    <w:p w:rsidR="00B140F8" w:rsidRPr="00223DB8" w:rsidRDefault="00B140F8" w:rsidP="00B140F8">
      <w:pPr>
        <w:spacing w:after="0" w:line="240" w:lineRule="auto"/>
        <w:contextualSpacing/>
        <w:jc w:val="both"/>
        <w:rPr>
          <w:rFonts w:ascii="Palatino Linotype" w:hAnsi="Palatino Linotype" w:cs="Arial"/>
          <w:bCs/>
          <w:i/>
        </w:rPr>
      </w:pPr>
      <w:r w:rsidRPr="00223DB8">
        <w:rPr>
          <w:rFonts w:ascii="Palatino Linotype" w:hAnsi="Palatino Linotype" w:cs="Arial"/>
          <w:bCs/>
          <w:i/>
        </w:rPr>
        <w:t>En ese contexto, este Instituto considera que el Sujeto Obligado precisó las razones por las cuales la información solicitada implicaba un análisis, estudio y procesamiento de información, que sobrepasaba las capacidades técnicas del Sistema de Acceso a la Información Mexiquense.</w:t>
      </w:r>
    </w:p>
    <w:p w:rsidR="00B140F8" w:rsidRPr="00223DB8" w:rsidRDefault="00B140F8" w:rsidP="00B140F8">
      <w:pPr>
        <w:spacing w:after="0" w:line="240" w:lineRule="auto"/>
        <w:contextualSpacing/>
        <w:jc w:val="both"/>
        <w:rPr>
          <w:rFonts w:ascii="Palatino Linotype" w:hAnsi="Palatino Linotype" w:cs="Arial"/>
          <w:bCs/>
          <w:i/>
        </w:rPr>
      </w:pPr>
    </w:p>
    <w:p w:rsidR="00B140F8" w:rsidRPr="00223DB8" w:rsidRDefault="00B140F8" w:rsidP="00B140F8">
      <w:pPr>
        <w:spacing w:after="0" w:line="240" w:lineRule="auto"/>
        <w:contextualSpacing/>
        <w:jc w:val="both"/>
        <w:rPr>
          <w:rFonts w:ascii="Palatino Linotype" w:hAnsi="Palatino Linotype" w:cs="Arial"/>
          <w:bCs/>
          <w:i/>
        </w:rPr>
      </w:pPr>
      <w:r w:rsidRPr="00223DB8">
        <w:rPr>
          <w:rFonts w:ascii="Palatino Linotype" w:hAnsi="Palatino Linotype" w:cs="Arial"/>
          <w:bCs/>
          <w:i/>
        </w:rPr>
        <w:t>En ese contexto, caber recordar que el artículo 158 de la Ley de la materia, dispone que cuando la información implique un análisis, estudio o procesamiento de documentos, cuya entrega o reproducción sobrepase las capacidades técnicas, administrativas y humanas del Sujeto Obligado, deberá poner la información a disposición del Solicitante en consulta directa.</w:t>
      </w:r>
    </w:p>
    <w:p w:rsidR="00B140F8" w:rsidRPr="00223DB8" w:rsidRDefault="00B140F8" w:rsidP="00B140F8">
      <w:pPr>
        <w:spacing w:after="0" w:line="240" w:lineRule="auto"/>
        <w:contextualSpacing/>
        <w:jc w:val="both"/>
        <w:rPr>
          <w:rFonts w:ascii="Palatino Linotype" w:hAnsi="Palatino Linotype" w:cs="Arial"/>
          <w:i/>
          <w:iCs/>
        </w:rPr>
      </w:pPr>
      <w:r w:rsidRPr="00223DB8">
        <w:rPr>
          <w:rFonts w:ascii="Palatino Linotype" w:hAnsi="Palatino Linotype" w:cs="Arial"/>
          <w:i/>
          <w:iCs/>
        </w:rPr>
        <w:t>Conforme a lo anterior, se considera que el Sujeto Obligado, acreditó de manera fundada y motivada, el cambio de modalidad, para atender la presente el requerimiento de información, materia del presente; sin embargo, el Organismo Garante Nacional, ha considerado que no resulta suficiente justificar una imposibilidad técnica y humana para acreditar un cambio de modalidad, sino que es necesario demostrar otros impedimentos, como que la información se encontrará en un formato diverso a lo solicitado, que fuera de imposible reproducción en el medio elegido por el Solicitante.</w:t>
      </w:r>
    </w:p>
    <w:p w:rsidR="00B140F8" w:rsidRPr="00223DB8" w:rsidRDefault="00B140F8" w:rsidP="00B140F8">
      <w:pPr>
        <w:spacing w:after="0" w:line="240" w:lineRule="auto"/>
        <w:contextualSpacing/>
        <w:jc w:val="both"/>
        <w:rPr>
          <w:rFonts w:ascii="Palatino Linotype" w:hAnsi="Palatino Linotype" w:cs="Arial"/>
          <w:i/>
          <w:iCs/>
        </w:rPr>
      </w:pPr>
    </w:p>
    <w:p w:rsidR="00B140F8" w:rsidRPr="00223DB8" w:rsidRDefault="00B140F8" w:rsidP="00B140F8">
      <w:pPr>
        <w:spacing w:after="0" w:line="240" w:lineRule="auto"/>
        <w:contextualSpacing/>
        <w:jc w:val="both"/>
        <w:rPr>
          <w:rFonts w:ascii="Palatino Linotype" w:hAnsi="Palatino Linotype" w:cs="Arial"/>
          <w:b/>
          <w:i/>
          <w:iCs/>
          <w:u w:val="single"/>
        </w:rPr>
      </w:pPr>
      <w:r w:rsidRPr="00223DB8">
        <w:rPr>
          <w:rFonts w:ascii="Palatino Linotype" w:hAnsi="Palatino Linotype" w:cs="Arial"/>
          <w:i/>
          <w:iCs/>
        </w:rPr>
        <w:t xml:space="preserve">También, que la información ameritara el cruce de información en los sistemas de datos, entre otros, argumentos que encuentran </w:t>
      </w:r>
      <w:r w:rsidRPr="00223DB8">
        <w:rPr>
          <w:rFonts w:ascii="Palatino Linotype" w:hAnsi="Palatino Linotype" w:cs="Arial"/>
          <w:bCs/>
          <w:i/>
          <w:iCs/>
          <w:lang w:eastAsia="en-US"/>
        </w:rPr>
        <w:t xml:space="preserve">sustento dentro diversas de sus resoluciones </w:t>
      </w:r>
      <w:r w:rsidRPr="00223DB8">
        <w:rPr>
          <w:rFonts w:ascii="Palatino Linotype" w:hAnsi="Palatino Linotype" w:cs="Arial"/>
          <w:i/>
          <w:iCs/>
        </w:rPr>
        <w:t xml:space="preserve">de Recursos de Inconformidad, por enunciar algunas, RIA 136/20, RIA 140/20, RIA 153/20 RIA 237/20, RIA 257/20, RIA 258/20, </w:t>
      </w:r>
      <w:r w:rsidRPr="00223DB8">
        <w:rPr>
          <w:rFonts w:ascii="Palatino Linotype" w:hAnsi="Palatino Linotype" w:cs="Arial"/>
          <w:bCs/>
          <w:i/>
          <w:iCs/>
          <w:lang w:eastAsia="en-US"/>
        </w:rPr>
        <w:t xml:space="preserve">ello con el fin de privilegiar el Principio de Gratuidad y Máxima Publicidad, </w:t>
      </w:r>
      <w:r w:rsidRPr="00223DB8">
        <w:rPr>
          <w:rFonts w:ascii="Palatino Linotype" w:hAnsi="Palatino Linotype" w:cs="Arial"/>
          <w:b/>
          <w:i/>
          <w:iCs/>
          <w:u w:val="single"/>
          <w:lang w:eastAsia="en-US"/>
        </w:rPr>
        <w:t xml:space="preserve">por lo que el Sujeto Obligado debe proporcionar otras modalidades para de la entrega de la información, a través del Sistema de Acceso a la Información Mexiquense (SAIMEX); tales como </w:t>
      </w:r>
      <w:r w:rsidRPr="00223DB8">
        <w:rPr>
          <w:rFonts w:ascii="Palatino Linotype" w:hAnsi="Palatino Linotype" w:cs="Arial"/>
          <w:b/>
          <w:i/>
          <w:iCs/>
          <w:u w:val="single"/>
        </w:rPr>
        <w:t>copia simple o certificada; medios de almacenamiento (USB), e incluso su envió a través de correo certificado previo pago de los costos de reproducción correspondientes.</w:t>
      </w:r>
    </w:p>
    <w:p w:rsidR="00B140F8" w:rsidRPr="00223DB8" w:rsidRDefault="00B140F8" w:rsidP="00B140F8">
      <w:pPr>
        <w:spacing w:after="0" w:line="240" w:lineRule="auto"/>
        <w:contextualSpacing/>
        <w:jc w:val="both"/>
        <w:rPr>
          <w:rFonts w:ascii="Palatino Linotype" w:hAnsi="Palatino Linotype" w:cs="Arial"/>
          <w:bCs/>
          <w:i/>
          <w:highlight w:val="yellow"/>
        </w:rPr>
      </w:pPr>
    </w:p>
    <w:p w:rsidR="00B140F8" w:rsidRPr="00223DB8" w:rsidRDefault="00B140F8" w:rsidP="00B140F8">
      <w:pPr>
        <w:spacing w:after="0" w:line="240" w:lineRule="auto"/>
        <w:contextualSpacing/>
        <w:jc w:val="both"/>
        <w:rPr>
          <w:rFonts w:ascii="Palatino Linotype" w:hAnsi="Palatino Linotype" w:cs="Arial"/>
          <w:bCs/>
          <w:i/>
        </w:rPr>
      </w:pPr>
      <w:r w:rsidRPr="00223DB8">
        <w:rPr>
          <w:rFonts w:ascii="Palatino Linotype" w:hAnsi="Palatino Linotype" w:cs="Arial"/>
          <w:bCs/>
          <w:i/>
        </w:rPr>
        <w:t>Además, no puso a disposición del Particular la información por un plazo mínimo de sesenta días hábiles, a partir de la fecha en que ponga a disposición del Recurrente la información, en términos del segundo párrafo del artículo 166 de la Ley de Transparencia y Acceso a la Información Pública del Estado de México y Municipios</w:t>
      </w:r>
      <w:r w:rsidRPr="00223DB8">
        <w:rPr>
          <w:rFonts w:ascii="Palatino Linotype" w:hAnsi="Palatino Linotype" w:cs="Arial"/>
          <w:bCs/>
          <w:i/>
        </w:rPr>
        <w:t>…” (Sic)</w:t>
      </w:r>
    </w:p>
    <w:p w:rsidR="00B140F8" w:rsidRPr="00223DB8" w:rsidRDefault="00B140F8" w:rsidP="00B140F8">
      <w:pPr>
        <w:spacing w:after="0" w:line="240" w:lineRule="auto"/>
        <w:contextualSpacing/>
        <w:jc w:val="both"/>
        <w:rPr>
          <w:rFonts w:ascii="Palatino Linotype" w:hAnsi="Palatino Linotype" w:cs="Arial"/>
          <w:bCs/>
          <w:i/>
        </w:rPr>
      </w:pPr>
    </w:p>
    <w:p w:rsidR="00B140F8" w:rsidRPr="00223DB8" w:rsidRDefault="00B140F8" w:rsidP="00B140F8">
      <w:pPr>
        <w:spacing w:before="240" w:after="240" w:line="360" w:lineRule="auto"/>
        <w:jc w:val="both"/>
        <w:rPr>
          <w:rFonts w:ascii="Palatino Linotype" w:hAnsi="Palatino Linotype" w:cs="Arial"/>
          <w:bCs/>
        </w:rPr>
      </w:pPr>
      <w:r w:rsidRPr="00223DB8">
        <w:rPr>
          <w:rFonts w:ascii="Palatino Linotype" w:hAnsi="Palatino Linotype" w:cs="Arial"/>
          <w:bCs/>
        </w:rPr>
        <w:t xml:space="preserve">En donde tuvo por acreditada el impedimento para hacer la entrega de la información solicitada a través del SAIMEX; sin embargo, como el Sujeto Obligado no </w:t>
      </w:r>
      <w:r w:rsidR="00223DB8" w:rsidRPr="00223DB8">
        <w:rPr>
          <w:rFonts w:ascii="Palatino Linotype" w:hAnsi="Palatino Linotype" w:cs="Arial"/>
          <w:bCs/>
        </w:rPr>
        <w:t>ofreció</w:t>
      </w:r>
      <w:r w:rsidRPr="00223DB8">
        <w:rPr>
          <w:rFonts w:ascii="Palatino Linotype" w:hAnsi="Palatino Linotype" w:cs="Arial"/>
          <w:bCs/>
        </w:rPr>
        <w:t xml:space="preserve"> otras modalidades </w:t>
      </w:r>
      <w:r w:rsidR="00223DB8" w:rsidRPr="00223DB8">
        <w:rPr>
          <w:rFonts w:ascii="Palatino Linotype" w:hAnsi="Palatino Linotype" w:cs="Arial"/>
          <w:bCs/>
        </w:rPr>
        <w:t xml:space="preserve">de entrega de la información como: </w:t>
      </w:r>
      <w:r w:rsidR="00223DB8" w:rsidRPr="00223DB8">
        <w:rPr>
          <w:rFonts w:ascii="Palatino Linotype" w:hAnsi="Palatino Linotype" w:cs="Arial"/>
          <w:bCs/>
        </w:rPr>
        <w:t>un vínculo electrónico, disco compacto,</w:t>
      </w:r>
      <w:r w:rsidR="00223DB8" w:rsidRPr="00223DB8">
        <w:rPr>
          <w:rFonts w:ascii="Palatino Linotype" w:hAnsi="Palatino Linotype" w:cs="Arial"/>
          <w:bCs/>
        </w:rPr>
        <w:t xml:space="preserve"> dispositivo de almacenamiento</w:t>
      </w:r>
      <w:r w:rsidR="00223DB8" w:rsidRPr="00223DB8">
        <w:rPr>
          <w:rFonts w:ascii="Palatino Linotype" w:hAnsi="Palatino Linotype" w:cs="Arial"/>
          <w:bCs/>
        </w:rPr>
        <w:t>, copias simples o certificadas, con posibilidad de entrega en la Unidad de Transparencia o a domicilio por correo certificado, previo pago de los derechos correspondientes</w:t>
      </w:r>
      <w:r w:rsidR="00223DB8" w:rsidRPr="00223DB8">
        <w:rPr>
          <w:rFonts w:ascii="Palatino Linotype" w:hAnsi="Palatino Linotype" w:cs="Arial"/>
          <w:bCs/>
        </w:rPr>
        <w:t xml:space="preserve">, </w:t>
      </w:r>
      <w:r w:rsidRPr="00223DB8">
        <w:rPr>
          <w:rFonts w:ascii="Palatino Linotype" w:hAnsi="Palatino Linotype" w:cs="Arial"/>
          <w:bCs/>
        </w:rPr>
        <w:t xml:space="preserve">es que considero modificar </w:t>
      </w:r>
      <w:r w:rsidR="00223DB8" w:rsidRPr="00223DB8">
        <w:rPr>
          <w:rFonts w:ascii="Palatino Linotype" w:hAnsi="Palatino Linotype" w:cs="Arial"/>
          <w:bCs/>
        </w:rPr>
        <w:t xml:space="preserve">las respuestas </w:t>
      </w:r>
      <w:r w:rsidRPr="00223DB8">
        <w:rPr>
          <w:rFonts w:ascii="Palatino Linotype" w:hAnsi="Palatino Linotype" w:cs="Arial"/>
          <w:bCs/>
        </w:rPr>
        <w:t xml:space="preserve">y ordenar la información solicitada en ambas solicitudes </w:t>
      </w:r>
      <w:r w:rsidR="00223DB8" w:rsidRPr="00223DB8">
        <w:rPr>
          <w:rFonts w:ascii="Palatino Linotype" w:hAnsi="Palatino Linotype" w:cs="Arial"/>
          <w:bCs/>
        </w:rPr>
        <w:t>en dichas modalidades.</w:t>
      </w:r>
    </w:p>
    <w:p w:rsidR="00223DB8" w:rsidRPr="00223DB8" w:rsidRDefault="00223DB8" w:rsidP="00223DB8">
      <w:pPr>
        <w:spacing w:before="240" w:after="240" w:line="360" w:lineRule="auto"/>
        <w:jc w:val="both"/>
        <w:rPr>
          <w:rFonts w:ascii="Palatino Linotype" w:hAnsi="Palatino Linotype" w:cs="Arial"/>
          <w:bCs/>
        </w:rPr>
      </w:pPr>
      <w:r w:rsidRPr="00223DB8">
        <w:rPr>
          <w:rFonts w:ascii="Palatino Linotype" w:hAnsi="Palatino Linotype" w:cs="Arial"/>
          <w:bCs/>
        </w:rPr>
        <w:t xml:space="preserve">Sin embargo, considero que dichos argumentos sólo aplicaban para la solicitud número </w:t>
      </w:r>
      <w:r w:rsidRPr="00223DB8">
        <w:rPr>
          <w:rFonts w:ascii="Palatino Linotype" w:hAnsi="Palatino Linotype" w:cs="Arial"/>
          <w:bCs/>
        </w:rPr>
        <w:t>00056/DIFTLALNE/IP/2024</w:t>
      </w:r>
      <w:r w:rsidRPr="00223DB8">
        <w:rPr>
          <w:rFonts w:ascii="Palatino Linotype" w:hAnsi="Palatino Linotype" w:cs="Arial"/>
          <w:bCs/>
        </w:rPr>
        <w:t xml:space="preserve"> </w:t>
      </w:r>
      <w:r w:rsidRPr="00223DB8">
        <w:rPr>
          <w:rFonts w:ascii="Palatino Linotype" w:hAnsi="Palatino Linotype" w:cs="Arial"/>
          <w:bCs/>
        </w:rPr>
        <w:t>relacionada al Recurso de Revisión 02886/INFOEM/IP/RR/2024</w:t>
      </w:r>
      <w:r w:rsidRPr="00223DB8">
        <w:rPr>
          <w:rFonts w:ascii="Palatino Linotype" w:hAnsi="Palatino Linotype" w:cs="Arial"/>
          <w:bCs/>
        </w:rPr>
        <w:t xml:space="preserve">, no así respecto de la solicitud </w:t>
      </w:r>
      <w:r w:rsidRPr="00223DB8">
        <w:rPr>
          <w:rFonts w:ascii="Palatino Linotype" w:hAnsi="Palatino Linotype" w:cs="Arial"/>
          <w:bCs/>
        </w:rPr>
        <w:t>00058/DIFTLALNE/IP/2024 relacionada al Recurso de Revisión 02889/INFOEM/IP/RR/2024</w:t>
      </w:r>
      <w:r w:rsidRPr="00223DB8">
        <w:rPr>
          <w:rFonts w:ascii="Palatino Linotype" w:hAnsi="Palatino Linotype" w:cs="Arial"/>
          <w:bCs/>
        </w:rPr>
        <w:t xml:space="preserve">, en razón de que el Sujeto Obligado en su respuesta en ningún momento hizo valer que la entrega de la información superaba las capacidades </w:t>
      </w:r>
      <w:r w:rsidRPr="00223DB8">
        <w:rPr>
          <w:rFonts w:ascii="Palatino Linotype" w:hAnsi="Palatino Linotype" w:cs="Arial"/>
          <w:bCs/>
        </w:rPr>
        <w:t>del Sistema de Acceso a la Información Mexiquense (SAIMEX)</w:t>
      </w:r>
      <w:r w:rsidRPr="00223DB8">
        <w:rPr>
          <w:rFonts w:ascii="Palatino Linotype" w:hAnsi="Palatino Linotype" w:cs="Arial"/>
          <w:bCs/>
        </w:rPr>
        <w:t>.</w:t>
      </w:r>
    </w:p>
    <w:p w:rsidR="00F01F70" w:rsidRPr="00223DB8" w:rsidRDefault="00223DB8" w:rsidP="00223DB8">
      <w:pPr>
        <w:spacing w:before="240" w:after="240" w:line="360" w:lineRule="auto"/>
        <w:jc w:val="both"/>
        <w:rPr>
          <w:rFonts w:ascii="Palatino Linotype" w:hAnsi="Palatino Linotype" w:cs="Arial"/>
          <w:bCs/>
        </w:rPr>
      </w:pPr>
      <w:r w:rsidRPr="00223DB8">
        <w:rPr>
          <w:rFonts w:ascii="Palatino Linotype" w:hAnsi="Palatino Linotype" w:cs="Arial"/>
          <w:bCs/>
        </w:rPr>
        <w:t xml:space="preserve">Por ello, considero que se debió ordenar la entregar la información requerida en la solicitud número </w:t>
      </w:r>
      <w:r w:rsidRPr="00223DB8">
        <w:rPr>
          <w:rFonts w:ascii="Palatino Linotype" w:hAnsi="Palatino Linotype" w:cs="Arial"/>
          <w:bCs/>
        </w:rPr>
        <w:t xml:space="preserve">00058/DIFTLALNE/IP/2024 </w:t>
      </w:r>
      <w:r w:rsidRPr="00223DB8">
        <w:rPr>
          <w:rFonts w:ascii="Palatino Linotype" w:hAnsi="Palatino Linotype" w:cs="Arial"/>
          <w:bCs/>
        </w:rPr>
        <w:t xml:space="preserve">a través del SAIMEX y hacer dicha distinción en el estudio correspondiente. </w:t>
      </w:r>
    </w:p>
    <w:p w:rsidR="008133DF" w:rsidRPr="00223DB8" w:rsidRDefault="00D612B6">
      <w:pPr>
        <w:spacing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rPr>
        <w:t>A mayor abundamiento,  es necesario mencionar, en primer lugar, que, si bien, por economía procesal y con la finalidad de evitar resoluciones contradictorias, el Pleno de este Instituto determinó acumular los Recursos de Revisión a rubro citado, no debe perderse de vista que las solicitudes de información que les dieron origen ingresaron por separado, por lo tanto la respuesta que se brinde a cada una de ellas debe emitirse de manera individual.</w:t>
      </w:r>
    </w:p>
    <w:p w:rsidR="008133DF" w:rsidRPr="00223DB8" w:rsidRDefault="00D612B6">
      <w:pPr>
        <w:spacing w:after="0" w:line="360" w:lineRule="auto"/>
        <w:jc w:val="both"/>
        <w:rPr>
          <w:rFonts w:ascii="Palatino Linotype" w:eastAsia="Palatino Linotype" w:hAnsi="Palatino Linotype" w:cs="Palatino Linotype"/>
        </w:rPr>
      </w:pPr>
      <w:r w:rsidRPr="00223DB8">
        <w:rPr>
          <w:rFonts w:ascii="Palatino Linotype" w:eastAsia="Palatino Linotype" w:hAnsi="Palatino Linotype" w:cs="Palatino Linotype"/>
        </w:rPr>
        <w:t xml:space="preserve">Derivado de los argumentos expuestos, la suscrita considera que los documentos que contienen la información que es del interés de la persona solicitante, no cuentan con las características para sobrepasar las capacidades técnicas del sistema SAIMEX, por lo tanto, no comparto que en la resolución de los recursos de revisión al rubro citados, se hubiera </w:t>
      </w:r>
      <w:r w:rsidR="00223DB8">
        <w:rPr>
          <w:rFonts w:ascii="Palatino Linotype" w:eastAsia="Palatino Linotype" w:hAnsi="Palatino Linotype" w:cs="Palatino Linotype"/>
        </w:rPr>
        <w:t xml:space="preserve">ordenado la información sólo a través de </w:t>
      </w:r>
      <w:r w:rsidR="00223DB8" w:rsidRPr="00767A20">
        <w:rPr>
          <w:rFonts w:ascii="Palatino Linotype" w:eastAsia="Palatino Linotype" w:hAnsi="Palatino Linotype" w:cs="Palatino Linotype"/>
        </w:rPr>
        <w:t xml:space="preserve">un </w:t>
      </w:r>
      <w:r w:rsidR="00223DB8" w:rsidRPr="00223DB8">
        <w:rPr>
          <w:rFonts w:ascii="Palatino Linotype" w:eastAsia="Palatino Linotype" w:hAnsi="Palatino Linotype" w:cs="Palatino Linotype"/>
        </w:rPr>
        <w:t>vínculo electrónico, disco compacto, dispositivo de almacenamiento, consulta directa, copias simples o certificadas, con posibilidad de entrega en la Unidad de Transparencia o a domicilio por correo certificado, previo pago de los derechos correspondientes</w:t>
      </w:r>
      <w:r w:rsidRPr="00223DB8">
        <w:rPr>
          <w:rFonts w:ascii="Palatino Linotype" w:eastAsia="Palatino Linotype" w:hAnsi="Palatino Linotype" w:cs="Palatino Linotype"/>
        </w:rPr>
        <w:t>.</w:t>
      </w:r>
      <w:bookmarkStart w:id="1" w:name="_GoBack"/>
      <w:bookmarkEnd w:id="1"/>
    </w:p>
    <w:p w:rsidR="008133DF" w:rsidRPr="00223DB8" w:rsidRDefault="00723C09">
      <w:pPr>
        <w:spacing w:before="120" w:after="120" w:line="360" w:lineRule="auto"/>
        <w:jc w:val="both"/>
        <w:rPr>
          <w:rFonts w:ascii="Palatino Linotype" w:eastAsia="Palatino Linotype" w:hAnsi="Palatino Linotype" w:cs="Palatino Linotype"/>
          <w:b/>
        </w:rPr>
      </w:pPr>
      <w:r w:rsidRPr="00223DB8">
        <w:rPr>
          <w:rFonts w:ascii="Palatino Linotype" w:eastAsia="Palatino Linotype" w:hAnsi="Palatino Linotype" w:cs="Palatino Linotype"/>
          <w:b/>
          <w:noProof/>
        </w:rPr>
        <mc:AlternateContent>
          <mc:Choice Requires="wps">
            <w:drawing>
              <wp:anchor distT="0" distB="0" distL="114300" distR="114300" simplePos="0" relativeHeight="251659264" behindDoc="0" locked="0" layoutInCell="1" allowOverlap="1">
                <wp:simplePos x="0" y="0"/>
                <wp:positionH relativeFrom="column">
                  <wp:posOffset>102709</wp:posOffset>
                </wp:positionH>
                <wp:positionV relativeFrom="paragraph">
                  <wp:posOffset>101561</wp:posOffset>
                </wp:positionV>
                <wp:extent cx="5340545" cy="4022238"/>
                <wp:effectExtent l="0" t="0" r="31750" b="35560"/>
                <wp:wrapNone/>
                <wp:docPr id="2" name="Conector recto 2"/>
                <wp:cNvGraphicFramePr/>
                <a:graphic xmlns:a="http://schemas.openxmlformats.org/drawingml/2006/main">
                  <a:graphicData uri="http://schemas.microsoft.com/office/word/2010/wordprocessingShape">
                    <wps:wsp>
                      <wps:cNvCnPr/>
                      <wps:spPr>
                        <a:xfrm>
                          <a:off x="0" y="0"/>
                          <a:ext cx="5340545" cy="4022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9CB6A"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8pt" to="428.6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" strokecolor="black [3200]" strokeweight=".5pt">
                <v:stroke joinstyle="miter"/>
              </v:line>
            </w:pict>
          </mc:Fallback>
        </mc:AlternateContent>
      </w:r>
    </w:p>
    <w:p w:rsidR="008133DF" w:rsidRPr="00223DB8" w:rsidRDefault="008133DF">
      <w:pPr>
        <w:spacing w:after="0" w:line="360" w:lineRule="auto"/>
        <w:jc w:val="both"/>
        <w:rPr>
          <w:rFonts w:ascii="Palatino Linotype" w:eastAsia="Palatino Linotype" w:hAnsi="Palatino Linotype" w:cs="Palatino Linotype"/>
          <w:b/>
        </w:rPr>
      </w:pPr>
    </w:p>
    <w:p w:rsidR="008133DF" w:rsidRPr="00223DB8" w:rsidRDefault="008133DF">
      <w:pPr>
        <w:spacing w:before="120" w:after="120" w:line="360" w:lineRule="auto"/>
        <w:jc w:val="both"/>
        <w:rPr>
          <w:rFonts w:ascii="Palatino Linotype" w:eastAsia="Palatino Linotype" w:hAnsi="Palatino Linotype" w:cs="Palatino Linotype"/>
          <w:b/>
        </w:rPr>
        <w:sectPr w:rsidR="008133DF" w:rsidRPr="00223DB8">
          <w:headerReference w:type="default" r:id="rId9"/>
          <w:pgSz w:w="12240" w:h="15840"/>
          <w:pgMar w:top="1871" w:right="1327" w:bottom="2836" w:left="1985" w:header="709" w:footer="586" w:gutter="0"/>
          <w:pgNumType w:start="1"/>
          <w:cols w:space="720"/>
        </w:sectPr>
      </w:pPr>
    </w:p>
    <w:p w:rsidR="008133DF" w:rsidRPr="00223DB8" w:rsidRDefault="008133DF">
      <w:pPr>
        <w:spacing w:before="120" w:after="120" w:line="360" w:lineRule="auto"/>
        <w:jc w:val="both"/>
        <w:rPr>
          <w:rFonts w:ascii="Palatino Linotype" w:eastAsia="Palatino Linotype" w:hAnsi="Palatino Linotype" w:cs="Palatino Linotype"/>
          <w:b/>
        </w:rPr>
      </w:pPr>
    </w:p>
    <w:sectPr w:rsidR="008133DF" w:rsidRPr="00223DB8">
      <w:headerReference w:type="default" r:id="rId10"/>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611" w:rsidRDefault="00834611">
      <w:pPr>
        <w:spacing w:after="0" w:line="240" w:lineRule="auto"/>
      </w:pPr>
      <w:r>
        <w:separator/>
      </w:r>
    </w:p>
  </w:endnote>
  <w:endnote w:type="continuationSeparator" w:id="0">
    <w:p w:rsidR="00834611" w:rsidRDefault="0083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611" w:rsidRDefault="00834611">
      <w:pPr>
        <w:spacing w:after="0" w:line="240" w:lineRule="auto"/>
      </w:pPr>
      <w:r>
        <w:separator/>
      </w:r>
    </w:p>
  </w:footnote>
  <w:footnote w:type="continuationSeparator" w:id="0">
    <w:p w:rsidR="00834611" w:rsidRDefault="00834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95" w:rsidRDefault="00D612B6" w:rsidP="000850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-952495</wp:posOffset>
          </wp:positionH>
          <wp:positionV relativeFrom="paragraph">
            <wp:posOffset>-568956</wp:posOffset>
          </wp:positionV>
          <wp:extent cx="7510628" cy="9883775"/>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simplePos x="0" y="0"/>
              <wp:positionH relativeFrom="column">
                <wp:posOffset>-6464299</wp:posOffset>
              </wp:positionH>
              <wp:positionV relativeFrom="paragraph">
                <wp:posOffset>-5168899</wp:posOffset>
              </wp:positionV>
              <wp:extent cx="17566292" cy="17532772"/>
              <wp:effectExtent l="0" t="0" r="0" b="0"/>
              <wp:wrapNone/>
              <wp:docPr id="31" name="Rectángulo 31"/>
              <wp:cNvGraphicFramePr/>
              <a:graphic xmlns:a="http://schemas.openxmlformats.org/drawingml/2006/main">
                <a:graphicData uri="http://schemas.microsoft.com/office/word/2010/wordprocessingShape">
                  <wps:wsp>
                    <wps:cNvSpPr/>
                    <wps:spPr>
                      <a:xfrm rot="-2966911">
                        <a:off x="429109" y="-20520"/>
                        <a:ext cx="9833784" cy="7601041"/>
                      </a:xfrm>
                      <a:prstGeom prst="rect">
                        <a:avLst/>
                      </a:prstGeom>
                      <a:noFill/>
                      <a:ln>
                        <a:noFill/>
                      </a:ln>
                    </wps:spPr>
                    <wps:txbx>
                      <w:txbxContent>
                        <w:p w:rsidR="008133DF" w:rsidRDefault="00D612B6">
                          <w:pPr>
                            <w:spacing w:before="240" w:after="240" w:line="360" w:lineRule="auto"/>
                            <w:jc w:val="center"/>
                            <w:textDirection w:val="btLr"/>
                          </w:pPr>
                          <w:r>
                            <w:rPr>
                              <w:rFonts w:ascii="Palatino Linotype" w:eastAsia="Palatino Linotype" w:hAnsi="Palatino Linotype" w:cs="Palatino Linotype"/>
                              <w:color w:val="AEAAAA"/>
                              <w:sz w:val="56"/>
                            </w:rPr>
                            <w:t>VOTO DISIDENTE</w:t>
                          </w:r>
                        </w:p>
                      </w:txbxContent>
                    </wps:txbx>
                    <wps:bodyPr spcFirstLastPara="1" wrap="square" lIns="91425" tIns="45700" rIns="91425" bIns="45700" anchor="ctr" anchorCtr="0">
                      <a:noAutofit/>
                    </wps:bodyPr>
                  </wps:wsp>
                </a:graphicData>
              </a:graphic>
            </wp:anchor>
          </w:drawing>
        </mc:Choice>
        <mc:Fallback>
          <w:pict>
            <v:rect id="Rectángulo 31" o:spid="_x0000_s1026" style="position:absolute;left:0;text-align:left;margin-left:-509pt;margin-top:-407pt;width:1383.15pt;height:1380.55pt;rotation:-3240658fd;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" filled="f" stroked="f">
              <v:textbox inset="2.53958mm,1.2694mm,2.53958mm,1.2694mm">
                <w:txbxContent>
                  <w:p w:rsidR="008133DF" w:rsidRDefault="00D612B6">
                    <w:pPr>
                      <w:spacing w:before="240" w:after="240" w:line="360" w:lineRule="auto"/>
                      <w:jc w:val="center"/>
                      <w:textDirection w:val="btLr"/>
                    </w:pPr>
                    <w:r>
                      <w:rPr>
                        <w:rFonts w:ascii="Palatino Linotype" w:eastAsia="Palatino Linotype" w:hAnsi="Palatino Linotype" w:cs="Palatino Linotype"/>
                        <w:color w:val="AEAAAA"/>
                        <w:sz w:val="56"/>
                      </w:rPr>
                      <w:t>VOTO DISIDENTE</w:t>
                    </w:r>
                  </w:p>
                </w:txbxContent>
              </v:textbox>
            </v:rect>
          </w:pict>
        </mc:Fallback>
      </mc:AlternateContent>
    </w:r>
    <w:r w:rsidR="00085095" w:rsidRPr="00085095">
      <w:rPr>
        <w:rFonts w:ascii="Palatino Linotype" w:eastAsia="Palatino Linotype" w:hAnsi="Palatino Linotype" w:cs="Palatino Linotype"/>
        <w:b/>
        <w:color w:val="000000"/>
        <w:sz w:val="20"/>
        <w:szCs w:val="20"/>
      </w:rPr>
      <w:t xml:space="preserve"> </w:t>
    </w:r>
    <w:r w:rsidR="00085095">
      <w:rPr>
        <w:rFonts w:ascii="Palatino Linotype" w:eastAsia="Palatino Linotype" w:hAnsi="Palatino Linotype" w:cs="Palatino Linotype"/>
        <w:b/>
        <w:color w:val="000000"/>
        <w:sz w:val="20"/>
        <w:szCs w:val="20"/>
      </w:rPr>
      <w:t xml:space="preserve">VOTO DISIDENTE </w:t>
    </w:r>
  </w:p>
  <w:p w:rsidR="00085095" w:rsidRDefault="00085095" w:rsidP="0008509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02886</w:t>
    </w:r>
    <w:r>
      <w:rPr>
        <w:rFonts w:ascii="Palatino Linotype" w:eastAsia="Palatino Linotype" w:hAnsi="Palatino Linotype" w:cs="Palatino Linotype"/>
        <w:b/>
        <w:color w:val="000000"/>
        <w:sz w:val="20"/>
        <w:szCs w:val="20"/>
      </w:rPr>
      <w:t>/INFOEM/IP/RR/2024</w:t>
    </w:r>
    <w:r>
      <w:rPr>
        <w:rFonts w:ascii="Palatino Linotype" w:eastAsia="Palatino Linotype" w:hAnsi="Palatino Linotype" w:cs="Palatino Linotype"/>
        <w:b/>
        <w:color w:val="000000"/>
        <w:sz w:val="20"/>
        <w:szCs w:val="20"/>
      </w:rPr>
      <w:t xml:space="preserve"> y acumulado</w:t>
    </w:r>
  </w:p>
  <w:p w:rsidR="00085095" w:rsidRDefault="00085095" w:rsidP="0008509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Pr="00085095">
      <w:rPr>
        <w:rFonts w:ascii="Palatino Linotype" w:eastAsia="Palatino Linotype" w:hAnsi="Palatino Linotype" w:cs="Palatino Linotype"/>
        <w:b/>
        <w:color w:val="000000"/>
        <w:sz w:val="20"/>
        <w:szCs w:val="20"/>
      </w:rPr>
      <w:t>Sistema Municipal para el Desarrollo Integral de la Familia de Tlalnepantla de Baz</w:t>
    </w:r>
  </w:p>
  <w:p w:rsidR="00085095" w:rsidRPr="00085095" w:rsidRDefault="00085095" w:rsidP="000850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Ponente: </w:t>
    </w:r>
    <w:r w:rsidRPr="00085095">
      <w:rPr>
        <w:rFonts w:ascii="Palatino Linotype" w:eastAsia="Palatino Linotype" w:hAnsi="Palatino Linotype" w:cs="Palatino Linotype"/>
        <w:b/>
        <w:color w:val="000000"/>
        <w:sz w:val="20"/>
        <w:szCs w:val="20"/>
      </w:rPr>
      <w:t>Luis Gustavo Parra Noriega</w:t>
    </w:r>
  </w:p>
  <w:p w:rsidR="008133DF" w:rsidRDefault="00D612B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w:t>
    </w:r>
  </w:p>
  <w:p w:rsidR="008133DF" w:rsidRDefault="008133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DF" w:rsidRDefault="008133DF">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rsidR="008133DF" w:rsidRDefault="008133D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7AD2"/>
    <w:multiLevelType w:val="hybridMultilevel"/>
    <w:tmpl w:val="89806F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D70826"/>
    <w:multiLevelType w:val="multilevel"/>
    <w:tmpl w:val="846A3C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AA75B4"/>
    <w:multiLevelType w:val="multilevel"/>
    <w:tmpl w:val="941E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4A765F"/>
    <w:multiLevelType w:val="hybridMultilevel"/>
    <w:tmpl w:val="AE720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46356A"/>
    <w:multiLevelType w:val="multilevel"/>
    <w:tmpl w:val="A2AAE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1D68FF"/>
    <w:multiLevelType w:val="hybridMultilevel"/>
    <w:tmpl w:val="31FE437E"/>
    <w:lvl w:ilvl="0" w:tplc="DC820B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D386A9A"/>
    <w:multiLevelType w:val="multilevel"/>
    <w:tmpl w:val="B5A03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0675F7"/>
    <w:multiLevelType w:val="multilevel"/>
    <w:tmpl w:val="9ED85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40453F"/>
    <w:multiLevelType w:val="multilevel"/>
    <w:tmpl w:val="6D5CF1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2"/>
  </w:num>
  <w:num w:numId="6">
    <w:abstractNumId w:val="7"/>
  </w:num>
  <w:num w:numId="7">
    <w:abstractNumId w:val="5"/>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DF"/>
    <w:rsid w:val="00085095"/>
    <w:rsid w:val="0009267A"/>
    <w:rsid w:val="0018535A"/>
    <w:rsid w:val="00211FF5"/>
    <w:rsid w:val="00223DB8"/>
    <w:rsid w:val="00283355"/>
    <w:rsid w:val="00343A0C"/>
    <w:rsid w:val="004A5375"/>
    <w:rsid w:val="004F03BE"/>
    <w:rsid w:val="005A3A78"/>
    <w:rsid w:val="00723C09"/>
    <w:rsid w:val="00767A20"/>
    <w:rsid w:val="008133DF"/>
    <w:rsid w:val="00834611"/>
    <w:rsid w:val="009923D6"/>
    <w:rsid w:val="00A20C26"/>
    <w:rsid w:val="00B140F8"/>
    <w:rsid w:val="00D612B6"/>
    <w:rsid w:val="00DB3B32"/>
    <w:rsid w:val="00E50CB9"/>
    <w:rsid w:val="00F01F70"/>
    <w:rsid w:val="00F4606E"/>
    <w:rsid w:val="00F75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2A66C1-8023-42CC-872A-46DDCD1C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466E0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38PFuQLTh2Lm/R9gaWySiP5A==">CgMxLjAyCGguZ2pkZ3hzMgloLjN6bnlzaDc4AHIhMUdaRkg0S3BSUmUzNHZDOExtVUZPZ3ZVektwZEhoNDdT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2801</Words>
  <Characters>15409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18174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INFOEM563</cp:lastModifiedBy>
  <cp:revision>5</cp:revision>
  <cp:lastPrinted>2024-01-29T22:15:00Z</cp:lastPrinted>
  <dcterms:created xsi:type="dcterms:W3CDTF">2024-11-15T17:41:00Z</dcterms:created>
  <dcterms:modified xsi:type="dcterms:W3CDTF">2024-11-15T19:57:00Z</dcterms:modified>
</cp:coreProperties>
</file>