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BF31" w14:textId="77777777" w:rsidR="000F60B8" w:rsidRDefault="008107A2">
      <w:pPr>
        <w:spacing w:before="240" w:after="240" w:line="360" w:lineRule="auto"/>
        <w:ind w:right="139"/>
        <w:jc w:val="both"/>
        <w:rPr>
          <w:rFonts w:ascii="Palatino Linotype" w:eastAsia="Palatino Linotype" w:hAnsi="Palatino Linotype" w:cs="Palatino Linotype"/>
          <w:b/>
          <w:sz w:val="24"/>
          <w:szCs w:val="24"/>
        </w:rPr>
      </w:pPr>
      <w:bookmarkStart w:id="0" w:name="_heading=h.gjdgxs" w:colFirst="0" w:colLast="0"/>
      <w:bookmarkEnd w:id="0"/>
      <w:r>
        <w:rPr>
          <w:rFonts w:ascii="Palatino Linotype" w:eastAsia="Palatino Linotype" w:hAnsi="Palatino Linotype" w:cs="Palatino Linotype"/>
          <w:b/>
          <w:sz w:val="24"/>
          <w:szCs w:val="24"/>
        </w:rPr>
        <w:t>VOTO DISIDENTE CONCURRENTE QUE FORMULAN LAS COMISIONADAS GUADALUPE RAMÍREZ PEÑA Y SHARON CRISTINA MORALES MARTÍNEZ, EN RELACIÓN CON LA RESOLUCIÓN DICTADA POR EL PLENO DEL INSTITUTO DE TRANSPARENCIA, ACCESO A LA INFORMACIÓN PÚBLICA Y PROTECCIÓN DE DATOS PERSONALES DEL ESTADO DE MÉXICO Y MUNICIPIOS, EN LA SEGUNDA SESIÓN ORDINARIA CELEBRADA EL VEINTICUATRO DE ENERO DE DOS MIL VEINTICUATRO, EN EL RECURSO DE REVISIÓN 06030/INFOEM/IP/RR/2023.</w:t>
      </w:r>
    </w:p>
    <w:p w14:paraId="1B27A3A1" w14:textId="77777777" w:rsidR="000F60B8" w:rsidRDefault="008107A2">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las que suscriben </w:t>
      </w:r>
      <w:r>
        <w:rPr>
          <w:rFonts w:ascii="Palatino Linotype" w:eastAsia="Palatino Linotype" w:hAnsi="Palatino Linotype" w:cs="Palatino Linotype"/>
          <w:b/>
          <w:sz w:val="24"/>
          <w:szCs w:val="24"/>
        </w:rPr>
        <w:t xml:space="preserve">Guadalupe Ramírez Peña </w:t>
      </w:r>
      <w:r>
        <w:rPr>
          <w:rFonts w:ascii="Palatino Linotype" w:eastAsia="Palatino Linotype" w:hAnsi="Palatino Linotype" w:cs="Palatino Linotype"/>
          <w:sz w:val="24"/>
          <w:szCs w:val="24"/>
        </w:rPr>
        <w:t xml:space="preserve">y </w:t>
      </w:r>
      <w:r>
        <w:rPr>
          <w:rFonts w:ascii="Palatino Linotype" w:eastAsia="Palatino Linotype" w:hAnsi="Palatino Linotype" w:cs="Palatino Linotype"/>
          <w:b/>
          <w:sz w:val="24"/>
          <w:szCs w:val="24"/>
        </w:rPr>
        <w:t xml:space="preserve">Sharon Cristina Morales Martínez, </w:t>
      </w:r>
      <w:r>
        <w:rPr>
          <w:rFonts w:ascii="Palatino Linotype" w:eastAsia="Palatino Linotype" w:hAnsi="Palatino Linotype" w:cs="Palatino Linotype"/>
          <w:sz w:val="24"/>
          <w:szCs w:val="24"/>
        </w:rPr>
        <w:t xml:space="preserve">emiten </w:t>
      </w:r>
      <w:r>
        <w:rPr>
          <w:rFonts w:ascii="Palatino Linotype" w:eastAsia="Palatino Linotype" w:hAnsi="Palatino Linotype" w:cs="Palatino Linotype"/>
          <w:b/>
          <w:sz w:val="24"/>
          <w:szCs w:val="24"/>
        </w:rPr>
        <w:t>Voto Disidente Concurrente</w:t>
      </w:r>
      <w:r>
        <w:rPr>
          <w:rFonts w:ascii="Palatino Linotype" w:eastAsia="Palatino Linotype" w:hAnsi="Palatino Linotype" w:cs="Palatino Linotype"/>
          <w:sz w:val="24"/>
          <w:szCs w:val="24"/>
        </w:rPr>
        <w:t xml:space="preserve"> en contra la resolución dictada en el recurso de revisión </w:t>
      </w:r>
      <w:r>
        <w:rPr>
          <w:rFonts w:ascii="Palatino Linotype" w:eastAsia="Palatino Linotype" w:hAnsi="Palatino Linotype" w:cs="Palatino Linotype"/>
          <w:b/>
          <w:sz w:val="24"/>
          <w:szCs w:val="24"/>
        </w:rPr>
        <w:t xml:space="preserve">06030/INFOEM/IP/RR/2023, </w:t>
      </w:r>
      <w:r>
        <w:rPr>
          <w:rFonts w:ascii="Palatino Linotype" w:eastAsia="Palatino Linotype" w:hAnsi="Palatino Linotype" w:cs="Palatino Linotype"/>
          <w:sz w:val="24"/>
          <w:szCs w:val="24"/>
        </w:rPr>
        <w:t xml:space="preserve">pronunciada con el criterio mayoritario del Pleno de este Instituto ante el proyecto presentado por el </w:t>
      </w:r>
      <w:r>
        <w:rPr>
          <w:rFonts w:ascii="Palatino Linotype" w:eastAsia="Palatino Linotype" w:hAnsi="Palatino Linotype" w:cs="Palatino Linotype"/>
          <w:b/>
          <w:sz w:val="24"/>
          <w:szCs w:val="24"/>
        </w:rPr>
        <w:t>Comisionado Presidente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José Martínez Vilchis</w:t>
      </w:r>
      <w:r>
        <w:rPr>
          <w:rFonts w:ascii="Palatino Linotype" w:eastAsia="Palatino Linotype" w:hAnsi="Palatino Linotype" w:cs="Palatino Linotype"/>
          <w:sz w:val="24"/>
          <w:szCs w:val="24"/>
        </w:rPr>
        <w:t xml:space="preserve">, que es del tenor siguiente: </w:t>
      </w:r>
    </w:p>
    <w:p w14:paraId="5ABD0F62" w14:textId="77777777" w:rsidR="000F60B8" w:rsidRDefault="000F60B8">
      <w:pPr>
        <w:spacing w:before="240" w:after="240" w:line="360" w:lineRule="auto"/>
        <w:ind w:right="139"/>
        <w:jc w:val="both"/>
        <w:rPr>
          <w:rFonts w:ascii="Palatino Linotype" w:eastAsia="Palatino Linotype" w:hAnsi="Palatino Linotype" w:cs="Palatino Linotype"/>
          <w:sz w:val="24"/>
          <w:szCs w:val="24"/>
        </w:rPr>
      </w:pPr>
    </w:p>
    <w:p w14:paraId="22040FC6" w14:textId="77777777" w:rsidR="000F60B8" w:rsidRDefault="000F60B8">
      <w:pPr>
        <w:spacing w:before="240" w:after="240" w:line="360" w:lineRule="auto"/>
        <w:ind w:right="139"/>
        <w:jc w:val="both"/>
        <w:rPr>
          <w:rFonts w:ascii="Palatino Linotype" w:eastAsia="Palatino Linotype" w:hAnsi="Palatino Linotype" w:cs="Palatino Linotype"/>
          <w:sz w:val="24"/>
          <w:szCs w:val="24"/>
        </w:rPr>
      </w:pPr>
    </w:p>
    <w:p w14:paraId="10DDEB5C" w14:textId="77777777" w:rsidR="000F60B8" w:rsidRDefault="000F60B8">
      <w:pPr>
        <w:spacing w:before="240" w:after="240" w:line="360" w:lineRule="auto"/>
        <w:ind w:right="139"/>
        <w:jc w:val="both"/>
        <w:rPr>
          <w:rFonts w:ascii="Palatino Linotype" w:eastAsia="Palatino Linotype" w:hAnsi="Palatino Linotype" w:cs="Palatino Linotype"/>
          <w:sz w:val="24"/>
          <w:szCs w:val="24"/>
        </w:rPr>
      </w:pPr>
    </w:p>
    <w:p w14:paraId="2C9AE664" w14:textId="77777777" w:rsidR="000F60B8" w:rsidRDefault="000F60B8">
      <w:pPr>
        <w:spacing w:after="0" w:line="360" w:lineRule="auto"/>
        <w:jc w:val="both"/>
        <w:rPr>
          <w:rFonts w:ascii="Palatino Linotype" w:eastAsia="Palatino Linotype" w:hAnsi="Palatino Linotype" w:cs="Palatino Linotype"/>
          <w:sz w:val="24"/>
          <w:szCs w:val="24"/>
        </w:rPr>
      </w:pPr>
    </w:p>
    <w:p w14:paraId="4D85461F" w14:textId="77777777" w:rsidR="000F60B8" w:rsidRDefault="008107A2">
      <w:pPr>
        <w:numPr>
          <w:ilvl w:val="0"/>
          <w:numId w:val="1"/>
        </w:numPr>
        <w:spacing w:after="0" w:line="360" w:lineRule="auto"/>
        <w:ind w:left="567" w:hanging="14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Antecedentes.</w:t>
      </w:r>
    </w:p>
    <w:p w14:paraId="0CDFEB28" w14:textId="77777777" w:rsidR="000F60B8" w:rsidRDefault="000F60B8">
      <w:pPr>
        <w:spacing w:after="0" w:line="360" w:lineRule="auto"/>
        <w:ind w:left="567"/>
        <w:jc w:val="both"/>
        <w:rPr>
          <w:rFonts w:ascii="Palatino Linotype" w:eastAsia="Palatino Linotype" w:hAnsi="Palatino Linotype" w:cs="Palatino Linotype"/>
          <w:b/>
          <w:sz w:val="24"/>
          <w:szCs w:val="24"/>
        </w:rPr>
      </w:pPr>
    </w:p>
    <w:p w14:paraId="054D137C" w14:textId="77777777" w:rsidR="000F60B8" w:rsidRDefault="008107A2">
      <w:pPr>
        <w:spacing w:after="12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asunto que nos ocupa, la parte Recurrente solicitó al </w:t>
      </w:r>
      <w:r>
        <w:rPr>
          <w:rFonts w:ascii="Palatino Linotype" w:eastAsia="Palatino Linotype" w:hAnsi="Palatino Linotype" w:cs="Palatino Linotype"/>
          <w:b/>
          <w:sz w:val="24"/>
          <w:szCs w:val="24"/>
        </w:rPr>
        <w:t>Tribunal Estatal de Conciliación y Arbitraje</w:t>
      </w:r>
      <w:r>
        <w:rPr>
          <w:rFonts w:ascii="Palatino Linotype" w:eastAsia="Palatino Linotype" w:hAnsi="Palatino Linotype" w:cs="Palatino Linotype"/>
          <w:sz w:val="24"/>
          <w:szCs w:val="24"/>
        </w:rPr>
        <w:t xml:space="preserve">, en su carácter de Sujeto Obligado, le proporcionara la siguiente información: </w:t>
      </w:r>
    </w:p>
    <w:tbl>
      <w:tblPr>
        <w:tblStyle w:val="a"/>
        <w:tblW w:w="8918" w:type="dxa"/>
        <w:tblInd w:w="0" w:type="dxa"/>
        <w:tblLayout w:type="fixed"/>
        <w:tblLook w:val="0400" w:firstRow="0" w:lastRow="0" w:firstColumn="0" w:lastColumn="0" w:noHBand="0" w:noVBand="1"/>
      </w:tblPr>
      <w:tblGrid>
        <w:gridCol w:w="8918"/>
      </w:tblGrid>
      <w:tr w:rsidR="000F60B8" w14:paraId="567707D6" w14:textId="77777777">
        <w:tc>
          <w:tcPr>
            <w:tcW w:w="8918" w:type="dxa"/>
          </w:tcPr>
          <w:p w14:paraId="78F12721" w14:textId="77777777" w:rsidR="000F60B8" w:rsidRDefault="008107A2">
            <w:pPr>
              <w:numPr>
                <w:ilvl w:val="0"/>
                <w:numId w:val="2"/>
              </w:numPr>
              <w:pBdr>
                <w:top w:val="nil"/>
                <w:left w:val="nil"/>
                <w:bottom w:val="nil"/>
                <w:right w:val="nil"/>
                <w:between w:val="nil"/>
              </w:pBdr>
              <w:spacing w:after="12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Laudos emitidos por la sala auxiliar de Ecatepec de los meses de abril a agosto de dos mil veintitrés. </w:t>
            </w:r>
          </w:p>
        </w:tc>
      </w:tr>
    </w:tbl>
    <w:p w14:paraId="2F74777B" w14:textId="77777777" w:rsidR="000F60B8" w:rsidRDefault="008107A2">
      <w:pPr>
        <w:tabs>
          <w:tab w:val="left" w:pos="7513"/>
        </w:tabs>
        <w:spacing w:before="120" w:after="120" w:line="360" w:lineRule="auto"/>
        <w:ind w:right="-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respuesta, el Sujeto Obligado manifestó que turnó el requerimiento de información al Servidor Público Habilitado competente, sin obtener respuesta. </w:t>
      </w:r>
    </w:p>
    <w:p w14:paraId="22188240" w14:textId="77777777" w:rsidR="000F60B8" w:rsidRDefault="008107A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al rubro indicado, manifestado lo siguiente: </w:t>
      </w:r>
    </w:p>
    <w:p w14:paraId="21499F8D" w14:textId="77777777" w:rsidR="000F60B8" w:rsidRDefault="008107A2">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Acto Impugnado:</w:t>
      </w:r>
    </w:p>
    <w:p w14:paraId="207AB6F2" w14:textId="77777777" w:rsidR="000F60B8" w:rsidRDefault="008107A2">
      <w:pPr>
        <w:spacing w:after="0" w:line="24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rPr>
        <w:t>“</w:t>
      </w:r>
      <w:r>
        <w:rPr>
          <w:rFonts w:ascii="Palatino Linotype" w:eastAsia="Palatino Linotype" w:hAnsi="Palatino Linotype" w:cs="Palatino Linotype"/>
          <w:i/>
          <w:color w:val="000000"/>
        </w:rPr>
        <w:t>No se entrega la información solicitada.” (sic)</w:t>
      </w:r>
    </w:p>
    <w:p w14:paraId="1EC929C6" w14:textId="77777777" w:rsidR="000F60B8" w:rsidRDefault="000F60B8">
      <w:pPr>
        <w:spacing w:after="0" w:line="360" w:lineRule="auto"/>
        <w:jc w:val="both"/>
        <w:rPr>
          <w:rFonts w:ascii="Palatino Linotype" w:eastAsia="Palatino Linotype" w:hAnsi="Palatino Linotype" w:cs="Palatino Linotype"/>
          <w:sz w:val="24"/>
          <w:szCs w:val="24"/>
        </w:rPr>
      </w:pPr>
    </w:p>
    <w:p w14:paraId="26544BD3" w14:textId="77777777" w:rsidR="000F60B8" w:rsidRDefault="008107A2">
      <w:pPr>
        <w:spacing w:after="0" w:line="360" w:lineRule="auto"/>
        <w:jc w:val="both"/>
        <w:rPr>
          <w:rFonts w:ascii="Palatino Linotype" w:eastAsia="Palatino Linotype" w:hAnsi="Palatino Linotype" w:cs="Palatino Linotype"/>
          <w:sz w:val="28"/>
          <w:szCs w:val="28"/>
        </w:rPr>
      </w:pPr>
      <w:r>
        <w:rPr>
          <w:rFonts w:ascii="Palatino Linotype" w:eastAsia="Palatino Linotype" w:hAnsi="Palatino Linotype" w:cs="Palatino Linotype"/>
          <w:b/>
          <w:sz w:val="24"/>
          <w:szCs w:val="24"/>
        </w:rPr>
        <w:t>Razones o motivos de inconformidad:</w:t>
      </w:r>
    </w:p>
    <w:p w14:paraId="0AEDAEA7" w14:textId="77777777" w:rsidR="000F60B8" w:rsidRDefault="008107A2">
      <w:pPr>
        <w:spacing w:after="0" w:line="24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“La Sala Ecatepec omite entregar los laudos emitidos de abril a agosto de 2023, por tanto, se pide que se ordene la entrega de lo solicitado.”</w:t>
      </w:r>
    </w:p>
    <w:p w14:paraId="5B51FDB4" w14:textId="77777777" w:rsidR="000F60B8" w:rsidRDefault="008107A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abierta la etapa de instrucción, se advierte que, tanto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como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fueron omisos en presentar informe justificado y manifestaciones, respectivamente. </w:t>
      </w:r>
    </w:p>
    <w:p w14:paraId="737ED5B4" w14:textId="77777777" w:rsidR="000F60B8" w:rsidRDefault="008107A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las cosas, la mayoría del Pleno de este Instituto consideró que las razones o motivos de inconformidad hechos valer por la parte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resultan parcialmente fundados, y determinó modificar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para ordenar la entrega de lo siguiente:</w:t>
      </w:r>
    </w:p>
    <w:p w14:paraId="63D94922" w14:textId="77777777" w:rsidR="000F60B8" w:rsidRDefault="008107A2">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b/>
          <w:i/>
        </w:rPr>
        <w:t>“SEGUNDO.</w:t>
      </w:r>
      <w:r>
        <w:rPr>
          <w:rFonts w:ascii="Palatino Linotype" w:eastAsia="Palatino Linotype" w:hAnsi="Palatino Linotype" w:cs="Palatino Linotype"/>
          <w:i/>
        </w:rPr>
        <w:t xml:space="preserve"> Se </w:t>
      </w:r>
      <w:r>
        <w:rPr>
          <w:rFonts w:ascii="Palatino Linotype" w:eastAsia="Palatino Linotype" w:hAnsi="Palatino Linotype" w:cs="Palatino Linotype"/>
          <w:b/>
          <w:i/>
        </w:rPr>
        <w:t xml:space="preserve">ORDENA </w:t>
      </w:r>
      <w:r>
        <w:rPr>
          <w:rFonts w:ascii="Palatino Linotype" w:eastAsia="Palatino Linotype" w:hAnsi="Palatino Linotype" w:cs="Palatino Linotype"/>
          <w:i/>
        </w:rPr>
        <w:t>al Sujeto Obligado</w:t>
      </w:r>
      <w:r>
        <w:rPr>
          <w:rFonts w:ascii="Palatino Linotype" w:eastAsia="Palatino Linotype" w:hAnsi="Palatino Linotype" w:cs="Palatino Linotype"/>
          <w:b/>
          <w:i/>
        </w:rPr>
        <w:t xml:space="preserve">, </w:t>
      </w:r>
      <w:r>
        <w:rPr>
          <w:rFonts w:ascii="Palatino Linotype" w:eastAsia="Palatino Linotype" w:hAnsi="Palatino Linotype" w:cs="Palatino Linotype"/>
          <w:i/>
        </w:rPr>
        <w:t>a efecto de que entregue, vía</w:t>
      </w:r>
      <w:r>
        <w:rPr>
          <w:rFonts w:ascii="Palatino Linotype" w:eastAsia="Palatino Linotype" w:hAnsi="Palatino Linotype" w:cs="Palatino Linotype"/>
          <w:b/>
          <w:i/>
        </w:rPr>
        <w:t xml:space="preserve"> </w:t>
      </w:r>
      <w:r>
        <w:rPr>
          <w:rFonts w:ascii="Palatino Linotype" w:eastAsia="Palatino Linotype" w:hAnsi="Palatino Linotype" w:cs="Palatino Linotype"/>
          <w:i/>
        </w:rPr>
        <w:t>Sistema de Acceso a la Información Mexiquense (SAIMEX), en versión pública el soporte documental, en que obre de la Sala Auxiliar de Ecatepec, lo siguiente:</w:t>
      </w:r>
    </w:p>
    <w:p w14:paraId="21D7892D" w14:textId="77777777" w:rsidR="000F60B8" w:rsidRDefault="000F60B8">
      <w:pPr>
        <w:spacing w:after="0" w:line="276" w:lineRule="auto"/>
        <w:ind w:left="851" w:right="706"/>
        <w:jc w:val="both"/>
        <w:rPr>
          <w:rFonts w:ascii="Palatino Linotype" w:eastAsia="Palatino Linotype" w:hAnsi="Palatino Linotype" w:cs="Palatino Linotype"/>
          <w:i/>
        </w:rPr>
      </w:pPr>
    </w:p>
    <w:p w14:paraId="64B6456F" w14:textId="77777777" w:rsidR="000F60B8" w:rsidRDefault="008107A2">
      <w:pPr>
        <w:numPr>
          <w:ilvl w:val="0"/>
          <w:numId w:val="3"/>
        </w:numPr>
        <w:spacing w:after="0" w:line="276" w:lineRule="auto"/>
        <w:ind w:left="851" w:right="706" w:firstLine="0"/>
        <w:jc w:val="both"/>
        <w:rPr>
          <w:rFonts w:ascii="Palatino Linotype" w:eastAsia="Palatino Linotype" w:hAnsi="Palatino Linotype" w:cs="Palatino Linotype"/>
          <w:i/>
        </w:rPr>
      </w:pPr>
      <w:r>
        <w:rPr>
          <w:rFonts w:ascii="Palatino Linotype" w:eastAsia="Palatino Linotype" w:hAnsi="Palatino Linotype" w:cs="Palatino Linotype"/>
          <w:i/>
        </w:rPr>
        <w:t>Los laudos emitidos en el periodo del uno de abril al diecisiete de agosto de dos mil veintitrés.</w:t>
      </w:r>
    </w:p>
    <w:p w14:paraId="3F92951B" w14:textId="77777777" w:rsidR="000F60B8" w:rsidRDefault="000F60B8">
      <w:pPr>
        <w:spacing w:after="0" w:line="360" w:lineRule="auto"/>
        <w:jc w:val="both"/>
        <w:rPr>
          <w:rFonts w:ascii="Palatino Linotype" w:eastAsia="Palatino Linotype" w:hAnsi="Palatino Linotype" w:cs="Palatino Linotype"/>
        </w:rPr>
      </w:pPr>
    </w:p>
    <w:p w14:paraId="756F0838" w14:textId="77777777" w:rsidR="000F60B8" w:rsidRDefault="008107A2">
      <w:pPr>
        <w:spacing w:after="0"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Pr>
          <w:rFonts w:ascii="Palatino Linotype" w:eastAsia="Palatino Linotype" w:hAnsi="Palatino Linotype" w:cs="Palatino Linotype"/>
          <w:b/>
          <w:i/>
        </w:rPr>
        <w:t>Recurrente</w:t>
      </w:r>
      <w:r>
        <w:rPr>
          <w:rFonts w:ascii="Palatino Linotype" w:eastAsia="Palatino Linotype" w:hAnsi="Palatino Linotype" w:cs="Palatino Linotype"/>
          <w:i/>
        </w:rPr>
        <w:t>.</w:t>
      </w:r>
    </w:p>
    <w:p w14:paraId="3F9B3D43" w14:textId="77777777" w:rsidR="000F60B8" w:rsidRDefault="000F60B8">
      <w:pPr>
        <w:spacing w:after="0" w:line="276" w:lineRule="auto"/>
        <w:ind w:left="851" w:right="706"/>
        <w:jc w:val="both"/>
        <w:rPr>
          <w:rFonts w:ascii="Palatino Linotype" w:eastAsia="Palatino Linotype" w:hAnsi="Palatino Linotype" w:cs="Palatino Linotype"/>
          <w:i/>
        </w:rPr>
      </w:pPr>
    </w:p>
    <w:p w14:paraId="418A02FD" w14:textId="77777777" w:rsidR="000F60B8" w:rsidRDefault="008107A2">
      <w:pPr>
        <w:numPr>
          <w:ilvl w:val="0"/>
          <w:numId w:val="1"/>
        </w:numPr>
        <w:pBdr>
          <w:top w:val="nil"/>
          <w:left w:val="nil"/>
          <w:bottom w:val="nil"/>
          <w:right w:val="nil"/>
          <w:between w:val="nil"/>
        </w:pBdr>
        <w:spacing w:before="120" w:after="120" w:line="360" w:lineRule="auto"/>
        <w:ind w:left="567" w:hanging="283"/>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Razones del Voto Disidente. </w:t>
      </w:r>
    </w:p>
    <w:p w14:paraId="66A180F8" w14:textId="77777777" w:rsidR="000F60B8" w:rsidRDefault="008107A2">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Para iniciar la emisión del presente voto, conviene mencionar, que, de manera respetuosa, las suscritas </w:t>
      </w:r>
      <w:r>
        <w:rPr>
          <w:rFonts w:ascii="Palatino Linotype" w:eastAsia="Palatino Linotype" w:hAnsi="Palatino Linotype" w:cs="Palatino Linotype"/>
          <w:b/>
          <w:sz w:val="24"/>
          <w:szCs w:val="24"/>
        </w:rPr>
        <w:t xml:space="preserve">no comparte en su totalidad las consideraciones que fueron vertidas en la presente resolución, </w:t>
      </w:r>
      <w:r>
        <w:rPr>
          <w:rFonts w:ascii="Palatino Linotype" w:eastAsia="Palatino Linotype" w:hAnsi="Palatino Linotype" w:cs="Palatino Linotype"/>
          <w:sz w:val="24"/>
          <w:szCs w:val="24"/>
        </w:rPr>
        <w:t xml:space="preserve">respecto la información que se ordena entregar, vía SAIMEX, lo anterior, en virtud de que se debió analizar lo siguiente: </w:t>
      </w:r>
    </w:p>
    <w:p w14:paraId="5CDD9ADC" w14:textId="2650BACE"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primer término, es importante reiterar que, por criterio mayoritario del Pleno, se ordena entregar de manera general los laudos emitidos por la Sala Auxiliar de </w:t>
      </w:r>
      <w:r>
        <w:rPr>
          <w:rFonts w:ascii="Palatino Linotype" w:eastAsia="Palatino Linotype" w:hAnsi="Palatino Linotype" w:cs="Palatino Linotype"/>
          <w:sz w:val="24"/>
          <w:szCs w:val="24"/>
        </w:rPr>
        <w:lastRenderedPageBreak/>
        <w:t xml:space="preserve">Ecatepec en el periodo solicitado; determinación que no compartimos, ya que esta contiene información relacionada con laudos que no han causado estado, es decir, cabe la posibilidad que se haya interpuesto algún medio de impugnación en contra de los mismos, en otras instancias administrativas o judiciales que por Derecho se les otorgan; por lo que, las suscritas consideran que es información no puede darse a </w:t>
      </w:r>
      <w:r w:rsidRPr="008107A2">
        <w:rPr>
          <w:rFonts w:ascii="Palatino Linotype" w:eastAsia="Palatino Linotype" w:hAnsi="Palatino Linotype" w:cs="Palatino Linotype"/>
          <w:sz w:val="24"/>
          <w:szCs w:val="24"/>
        </w:rPr>
        <w:t>conocer, por actualizarse la causal de reserva, establecida en el artículo 140, fracción VIII y X, de la Ley</w:t>
      </w:r>
      <w:r>
        <w:rPr>
          <w:rFonts w:ascii="Palatino Linotype" w:eastAsia="Palatino Linotype" w:hAnsi="Palatino Linotype" w:cs="Palatino Linotype"/>
          <w:sz w:val="24"/>
          <w:szCs w:val="24"/>
        </w:rPr>
        <w:t xml:space="preserve"> de Transparencia y Acceso a la Información Pública del Estado de México y Municipios, toda vez que, puede tratarse de expedientes judiciales, que aún no ha quedado firmes (homólogo al artículo 113, fracción XI de la Ley General de Transparencia y Acceso a la Información Pública), que precisa lo siguiente: </w:t>
      </w:r>
    </w:p>
    <w:p w14:paraId="3C8AD1EC"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14:paraId="34A42912"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 a VII. </w:t>
      </w:r>
    </w:p>
    <w:p w14:paraId="18C86551"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VIII. Vulnere la conducción de los </w:t>
      </w:r>
      <w:r w:rsidRPr="008107A2">
        <w:rPr>
          <w:rFonts w:ascii="Palatino Linotype" w:eastAsia="Palatino Linotype" w:hAnsi="Palatino Linotype" w:cs="Palatino Linotype"/>
          <w:b/>
          <w:bCs/>
          <w:i/>
          <w:u w:val="single"/>
        </w:rPr>
        <w:t>expedientes judiciales</w:t>
      </w:r>
      <w:r>
        <w:rPr>
          <w:rFonts w:ascii="Palatino Linotype" w:eastAsia="Palatino Linotype" w:hAnsi="Palatino Linotype" w:cs="Palatino Linotype"/>
          <w:i/>
        </w:rPr>
        <w:t xml:space="preserve"> o de los procedimientos administrativos seguidos en forma de juicio, en tanto no hayan quedado firmes </w:t>
      </w:r>
    </w:p>
    <w:p w14:paraId="5AE39CBB"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690096A3"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569FC9D9" w14:textId="77777777" w:rsidR="000F60B8" w:rsidRDefault="000F60B8">
      <w:pPr>
        <w:spacing w:line="276" w:lineRule="auto"/>
        <w:ind w:left="851" w:right="706"/>
        <w:jc w:val="both"/>
        <w:rPr>
          <w:rFonts w:ascii="Palatino Linotype" w:eastAsia="Palatino Linotype" w:hAnsi="Palatino Linotype" w:cs="Palatino Linotype"/>
          <w:i/>
          <w:sz w:val="24"/>
          <w:szCs w:val="24"/>
        </w:rPr>
      </w:pPr>
    </w:p>
    <w:p w14:paraId="4B0F737B"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Por su parte, en los Lineamientos Generales en materia de clasificación y desclasificación de la información, así como para la elaboración de versiones públicas, prevén lo siguiente: </w:t>
      </w:r>
    </w:p>
    <w:p w14:paraId="2ACE13DF"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Trigésimo</w:t>
      </w:r>
      <w:r>
        <w:rPr>
          <w:rFonts w:ascii="Palatino Linotype" w:eastAsia="Palatino Linotype" w:hAnsi="Palatino Linotype" w:cs="Palatino Linotype"/>
          <w:i/>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3EDD11DA"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 La existencia de un juicio o procedimiento administrativo materialmente jurisdiccional, que se encuentre en trámite, y </w:t>
      </w:r>
    </w:p>
    <w:p w14:paraId="4202A8BE"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II. Que la información solicitada se refiera a actuaciones, diligencias o constancias propias del procedimiento. Para los efectos del primer párrafo de este numeral, se considera procedimiento seguido en forma de juicio a aquel formalmente administrativo, pero materialmente jurisdiccional; esto es, en el que concurran los siguientes elementos: </w:t>
      </w:r>
    </w:p>
    <w:p w14:paraId="7B1064F9"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3EFEB080"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2. Que se cumplan las formalidades esenciales del procedimiento. </w:t>
      </w:r>
    </w:p>
    <w:p w14:paraId="4BC5E4B5"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No serán objeto de reserva las resoluciones interlocutorias o definitivas que se dicten dentro de los procedimientos o con las que se concluya el mismo. En estos casos deberá otorgarse acceso a la resolución en versión pública, testando la información clasificada…” </w:t>
      </w:r>
    </w:p>
    <w:p w14:paraId="01E3D52A" w14:textId="77777777" w:rsidR="000F60B8" w:rsidRDefault="000F60B8">
      <w:pPr>
        <w:spacing w:line="360" w:lineRule="auto"/>
        <w:ind w:right="84"/>
        <w:jc w:val="both"/>
        <w:rPr>
          <w:rFonts w:ascii="Palatino Linotype" w:eastAsia="Palatino Linotype" w:hAnsi="Palatino Linotype" w:cs="Palatino Linotype"/>
        </w:rPr>
      </w:pPr>
    </w:p>
    <w:p w14:paraId="1C7564D5"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contexto, de la normatividad citada, se desprende que el supuesto de clasificación invocado prevé como información reservada, a aquella que vulnere la </w:t>
      </w:r>
      <w:r>
        <w:rPr>
          <w:rFonts w:ascii="Palatino Linotype" w:eastAsia="Palatino Linotype" w:hAnsi="Palatino Linotype" w:cs="Palatino Linotype"/>
          <w:sz w:val="24"/>
          <w:szCs w:val="24"/>
        </w:rPr>
        <w:lastRenderedPageBreak/>
        <w:t xml:space="preserve">conducción de los procedimientos en trámite, en tanto no hayan causado estado. Por lo cual, para considerar que se actualiza dicha causal es necesario que se configuren los siguientes elementos: </w:t>
      </w:r>
    </w:p>
    <w:p w14:paraId="5EA9F82D"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La existencia de un procedimiento judicial o administrativo, que se encuentre en trámite, y </w:t>
      </w:r>
    </w:p>
    <w:p w14:paraId="39A2BB0D"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2) Que la información solicitada se refiera a actuaciones, diligencias o constancias propias del procedimiento. </w:t>
      </w:r>
    </w:p>
    <w:p w14:paraId="32EEC05C"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Bajo esa perspectiva, las suscritas consideramos que es de suma importancia señalar que, la Ponencia Resolutora debió de haber reservado la información concerniente a los laudos que fueron recurribles y aún no se encuentran firmes o aún no han causado estado; toda vez que, ordenar de manera general los laudos del periodo comprendido del uno de abril al diecisiete de agosto de dos mil veintitrés., generaría una afectación al debido proceso.</w:t>
      </w:r>
    </w:p>
    <w:p w14:paraId="0C564CB6"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No pasa desapercibido, que los laudos pueden ser recurridos ante las instancias correspondientes; por lo que, se actualiza el principio de definitividad, el cual exigen para la procedencia del juicio de Amparo Directo, que se agoten previamente los recursos ordinarios procedentes en contra de la sentencia o de la resolución que pone fin al juicio, tal como lo precisa la Constitución Política de los Estados Unidos Mexicanos, a saber: </w:t>
      </w:r>
    </w:p>
    <w:p w14:paraId="65C999F0" w14:textId="77777777" w:rsidR="000F60B8" w:rsidRDefault="000F60B8">
      <w:pPr>
        <w:spacing w:line="360" w:lineRule="auto"/>
        <w:ind w:right="84"/>
        <w:jc w:val="both"/>
        <w:rPr>
          <w:rFonts w:ascii="Palatino Linotype" w:eastAsia="Palatino Linotype" w:hAnsi="Palatino Linotype" w:cs="Palatino Linotype"/>
          <w:sz w:val="24"/>
          <w:szCs w:val="24"/>
        </w:rPr>
      </w:pPr>
    </w:p>
    <w:p w14:paraId="02237265"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107</w:t>
      </w:r>
      <w:r>
        <w:rPr>
          <w:rFonts w:ascii="Palatino Linotype" w:eastAsia="Palatino Linotype" w:hAnsi="Palatino Linotype" w:cs="Palatino Linotype"/>
          <w:i/>
        </w:rPr>
        <w:t xml:space="preserve">. Las controversias de que habla el artículo 103 de esta Constitución, con excepción de aquellas en materia electoral, se sujetarán a los procedimientos que determine la ley reglamentaria, de acuerdo con las bases siguientes: </w:t>
      </w:r>
    </w:p>
    <w:p w14:paraId="24E836E1"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 </w:t>
      </w:r>
    </w:p>
    <w:p w14:paraId="7B8E1354"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III. Cuando se reclamen actos de tribunales judiciales, administrativos o del trabajo, el amparo sólo procederá en los casos siguientes: </w:t>
      </w:r>
    </w:p>
    <w:p w14:paraId="14887A33"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a) Contra sentencias definitivas, laudos y resoluciones que pongan fin al juicio, ya sea que la violación se cometa en ellos o que, cometida durante el procedimiento, afecte las defensas del quejoso trascendiendo al resultado del fallo. En relación con el amparo al que se refiere este inciso y la fracción V de este artículo, el Tribunal Colegiado de Circuito deberá decidir respecto de todas las violaciones procesales que se hicieron valer y aquéllas que, cuando proceda, advierta en suplencia de la queja, y fijará los términos precisos en que deberá pronunciarse la nueva resolución. 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 </w:t>
      </w:r>
    </w:p>
    <w:p w14:paraId="52C4B398"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La parte que haya obtenido sentencia favorable y la que tenga interés jurídico en que subsista el acto reclamado, podrá presentar amparo en forma adhesiva al que promueva cualquiera de las partes que intervinieron en el juicio del que emana el acto reclamado. La ley determinará la forma y términos en que deberá promoverse. 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 </w:t>
      </w:r>
    </w:p>
    <w:p w14:paraId="5F2AA97B"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Este requisito no será exigible en amparos contra actos que afecten derechos de menores o incapaces, </w:t>
      </w:r>
      <w:r>
        <w:rPr>
          <w:rFonts w:ascii="Palatino Linotype" w:eastAsia="Palatino Linotype" w:hAnsi="Palatino Linotype" w:cs="Palatino Linotype"/>
          <w:i/>
        </w:rPr>
        <w:lastRenderedPageBreak/>
        <w:t xml:space="preserve">al estado civil, o al orden o estabilidad de la familia, ni en los de naturaleza penal promovidos por el sentenciado; </w:t>
      </w:r>
    </w:p>
    <w:p w14:paraId="02B4B6AB"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V. El amparo contra sentencias definitivas, laudos o resoluciones que pongan fin al juicio se promoverá ante el Tribunal Colegiado de Circuito competente de conformidad con la ley, en los casos siguientes: </w:t>
      </w:r>
    </w:p>
    <w:p w14:paraId="69D06F92"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a) al c) </w:t>
      </w:r>
    </w:p>
    <w:p w14:paraId="7C552FBF"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d) 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14:paraId="6B159EF5" w14:textId="77777777" w:rsidR="000F60B8" w:rsidRDefault="000F60B8">
      <w:pPr>
        <w:spacing w:line="360" w:lineRule="auto"/>
        <w:ind w:right="84"/>
        <w:jc w:val="both"/>
        <w:rPr>
          <w:rFonts w:ascii="Palatino Linotype" w:eastAsia="Palatino Linotype" w:hAnsi="Palatino Linotype" w:cs="Palatino Linotype"/>
          <w:sz w:val="24"/>
          <w:szCs w:val="24"/>
        </w:rPr>
      </w:pPr>
    </w:p>
    <w:p w14:paraId="377FFE7D"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Correlativo a lo anterior, resulta fundamental traer a colación lo que prevé la Ley de Amparo, Reglamentaria de los artículos 103 y 107 de la Constitución Política de los Estados Unidos Mexicanos, dispone: </w:t>
      </w:r>
    </w:p>
    <w:p w14:paraId="4452C106"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b/>
          <w:i/>
        </w:rPr>
        <w:t>“Artículo 170</w:t>
      </w:r>
      <w:r>
        <w:rPr>
          <w:rFonts w:ascii="Palatino Linotype" w:eastAsia="Palatino Linotype" w:hAnsi="Palatino Linotype" w:cs="Palatino Linotype"/>
          <w:i/>
        </w:rPr>
        <w:t xml:space="preserve">. El juicio de amparo directo procede: </w:t>
      </w:r>
    </w:p>
    <w:p w14:paraId="35C3E530"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 Contra sentencias definitivas, laudos y resoluciones que pongan fin al juicio, dictadas por tribunales judiciales, administrativos, agrarios o del trabajo, ya sea que la violación se cometa en ellos, o </w:t>
      </w:r>
      <w:proofErr w:type="gramStart"/>
      <w:r>
        <w:rPr>
          <w:rFonts w:ascii="Palatino Linotype" w:eastAsia="Palatino Linotype" w:hAnsi="Palatino Linotype" w:cs="Palatino Linotype"/>
          <w:i/>
        </w:rPr>
        <w:t>que</w:t>
      </w:r>
      <w:proofErr w:type="gramEnd"/>
      <w:r>
        <w:rPr>
          <w:rFonts w:ascii="Palatino Linotype" w:eastAsia="Palatino Linotype" w:hAnsi="Palatino Linotype" w:cs="Palatino Linotype"/>
          <w:i/>
        </w:rPr>
        <w:t xml:space="preserve"> cometida durante el procedimiento, afecte las defensas del quejoso trascendiendo al resultado del fallo. </w:t>
      </w:r>
    </w:p>
    <w:p w14:paraId="373C2C65"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Se entenderá por sentencias definitivas o laudos, los que decidan el juicio en lo principal; por resoluciones que pongan fin al juicio, las que sin decidirlo en lo principal lo den por concluido. En materia penal, las sentencias condenatorias, absolutorias y de sobreseimiento, podrán ser impugnadas por la víctima u ofendido del delito. </w:t>
      </w:r>
    </w:p>
    <w:p w14:paraId="1A7FDCE2"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Para la procedencia del juicio deberán agotarse previamente los recursos ordinarios que se establezcan en la ley de la materia, por virtud de los cuales aquellas sentencias </w:t>
      </w:r>
      <w:r>
        <w:rPr>
          <w:rFonts w:ascii="Palatino Linotype" w:eastAsia="Palatino Linotype" w:hAnsi="Palatino Linotype" w:cs="Palatino Linotype"/>
          <w:i/>
        </w:rPr>
        <w:lastRenderedPageBreak/>
        <w:t xml:space="preserve">definitivas o laudos y resoluciones puedan ser modificados o revocados, salvo el caso en que la ley permita la renuncia de los recursos. </w:t>
      </w:r>
    </w:p>
    <w:p w14:paraId="36499ACD"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Cuando dentro del juicio surjan cuestiones sobre constitucionalidad de normas generales que sean de reparación posible por no afectar derechos sustantivos ni constituir violaciones procesales relevantes, sólo podrán hacerse valer en el amparo directo que proceda contra la resolución definitiva. </w:t>
      </w:r>
    </w:p>
    <w:p w14:paraId="40C47600"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Para efectos de esta Ley, el juicio se inicia con la presentación de la demanda. En materia penal el proceso comienza con la audiencia inicial ante el Juez de control;</w:t>
      </w:r>
    </w:p>
    <w:p w14:paraId="4BEFBB6F" w14:textId="77777777" w:rsidR="000F60B8" w:rsidRDefault="000F60B8">
      <w:pPr>
        <w:spacing w:line="360" w:lineRule="auto"/>
        <w:ind w:right="84"/>
        <w:jc w:val="both"/>
        <w:rPr>
          <w:rFonts w:ascii="Palatino Linotype" w:eastAsia="Palatino Linotype" w:hAnsi="Palatino Linotype" w:cs="Palatino Linotype"/>
          <w:sz w:val="24"/>
          <w:szCs w:val="24"/>
        </w:rPr>
      </w:pPr>
    </w:p>
    <w:p w14:paraId="46F67E92"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Luego entonces de acuerdo a la legislación antes citada se desprende que los laudos, son un juicio en lo principal, que puede ser recurrible ante otra instancia, no obstante, retomando la jerarquía normativa implica, por tanto, que la Constitución Política de los Estados Unidos Mexicanos, es superior a cualquier otra norma jurídica, o una norma de rango inferior no puede contradecir una de rango superior, por lo que, se cita lo que prevé en su artículo 6to que a la letra señala: </w:t>
      </w:r>
    </w:p>
    <w:p w14:paraId="79627A6E"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6o</w:t>
      </w:r>
      <w:r>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51FFD488"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5E8947EF"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w:t>
      </w:r>
      <w:r>
        <w:rPr>
          <w:rFonts w:ascii="Palatino Linotype" w:eastAsia="Palatino Linotype" w:hAnsi="Palatino Linotype" w:cs="Palatino Linotype"/>
          <w:i/>
        </w:rPr>
        <w:lastRenderedPageBreak/>
        <w:t>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631B3A8"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los argumentos antes expuestos, es factible sostener que el propósito primario de la causal de reserva es lograr el eficaz mantenimiento de los procesos jurisdiccionales en todas sus etapas, específicamente por cuanto a la integración del expediente judicial (documental y decisoria) desde su apertura hasta su total solución (cause estado) en el entendido de que, en principio, en ese lapso, el proyecto de resolución y, en general, las constancias que obran en el expediente sólo atañen a quienes son parte de la Litis. </w:t>
      </w:r>
    </w:p>
    <w:p w14:paraId="7714E0EF" w14:textId="42499C4A"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conclusión, de las suscritas, consideramos que únicamente se debió ordenar los laudos que causaron estado, ello en atención a lo previsto por el artículo 73, fracción II de la Ley General de Transparencia y Acceso a la Información Pública, el cual dispone que, dentro de las Obligaciones de Transparencia Comunes, se encuentra la publicación de la versión pública de todas las sentencias emitidas, en ese sentido, al respecto el artículo en comento señala lo siguiente: </w:t>
      </w:r>
    </w:p>
    <w:p w14:paraId="3FC25743"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b/>
          <w:i/>
        </w:rPr>
        <w:t>Artículo 73.</w:t>
      </w:r>
      <w:r>
        <w:rPr>
          <w:rFonts w:ascii="Palatino Linotype" w:eastAsia="Palatino Linotype" w:hAnsi="Palatino Linotype" w:cs="Palatino Linotype"/>
          <w:i/>
        </w:rPr>
        <w:t xml:space="preserve"> Además de lo señalado en el artículo 70 de la presente Ley, los sujetos obligados de los Poderes Judiciales Federal y de las Entidades Federativas deberán poner a disposición del público y actualizar la siguiente información: </w:t>
      </w:r>
    </w:p>
    <w:p w14:paraId="1D9A737E"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 … </w:t>
      </w:r>
    </w:p>
    <w:p w14:paraId="494D6D8F"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II. Las versiones públicas de todas las sentencias emitidas; </w:t>
      </w:r>
    </w:p>
    <w:p w14:paraId="3A70D70C"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III. a V. </w:t>
      </w:r>
    </w:p>
    <w:p w14:paraId="15F6C7DF" w14:textId="77777777" w:rsidR="000F60B8" w:rsidRDefault="000F60B8">
      <w:pPr>
        <w:spacing w:line="360" w:lineRule="auto"/>
        <w:ind w:right="84"/>
        <w:jc w:val="both"/>
        <w:rPr>
          <w:rFonts w:ascii="Palatino Linotype" w:eastAsia="Palatino Linotype" w:hAnsi="Palatino Linotype" w:cs="Palatino Linotype"/>
          <w:sz w:val="24"/>
          <w:szCs w:val="24"/>
        </w:rPr>
      </w:pPr>
    </w:p>
    <w:p w14:paraId="375E67B1"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Del mismo modo, el artículo 96, fracción II de la Ley de Transparencia y Acceso a la Información Pública del Estado de México y Municipios establece </w:t>
      </w:r>
      <w:proofErr w:type="gramStart"/>
      <w:r>
        <w:rPr>
          <w:rFonts w:ascii="Palatino Linotype" w:eastAsia="Palatino Linotype" w:hAnsi="Palatino Linotype" w:cs="Palatino Linotype"/>
          <w:sz w:val="24"/>
          <w:szCs w:val="24"/>
        </w:rPr>
        <w:t>que</w:t>
      </w:r>
      <w:proofErr w:type="gramEnd"/>
      <w:r>
        <w:rPr>
          <w:rFonts w:ascii="Palatino Linotype" w:eastAsia="Palatino Linotype" w:hAnsi="Palatino Linotype" w:cs="Palatino Linotype"/>
          <w:sz w:val="24"/>
          <w:szCs w:val="24"/>
        </w:rPr>
        <w:t xml:space="preserve"> dentro de las Obligaciones de Transparencia Común, se encuentra la publicación de la versión pública de las sentencias, tal como se logra advertir:</w:t>
      </w:r>
    </w:p>
    <w:p w14:paraId="517FBBA4"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b/>
          <w:i/>
        </w:rPr>
        <w:t>“Artículo 96.</w:t>
      </w:r>
      <w:r>
        <w:rPr>
          <w:rFonts w:ascii="Palatino Linotype" w:eastAsia="Palatino Linotype" w:hAnsi="Palatino Linotype" w:cs="Palatino Linotype"/>
          <w:i/>
        </w:rPr>
        <w:t xml:space="preserve"> Además de las obligaciones de transparencia común a que se refiere el Capítulo II de este Título, el Poder Judicial Local y el Tribunal de lo Contencioso Administrativo del Estado de México, deberán poner a disposición del público y actualizar la siguiente información: </w:t>
      </w:r>
    </w:p>
    <w:p w14:paraId="2C4E6E2D"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 </w:t>
      </w:r>
    </w:p>
    <w:p w14:paraId="57E587E4"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II. Las versiones públicas de las sentencias que sean de interés público; </w:t>
      </w:r>
    </w:p>
    <w:p w14:paraId="1B9B23FA" w14:textId="77777777" w:rsidR="000F60B8" w:rsidRDefault="008107A2">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IV a VII.” </w:t>
      </w:r>
    </w:p>
    <w:p w14:paraId="41443181" w14:textId="77777777"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Robustece lo anterior, lo dispuesto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señala:</w:t>
      </w:r>
    </w:p>
    <w:p w14:paraId="645DE34D" w14:textId="1CFD9B13" w:rsidR="000F60B8" w:rsidRDefault="008107A2" w:rsidP="008107A2">
      <w:pPr>
        <w:spacing w:line="360"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i/>
        </w:rPr>
        <w:t>“XXXVI.</w:t>
      </w:r>
      <w:r>
        <w:rPr>
          <w:rFonts w:ascii="Palatino Linotype" w:eastAsia="Palatino Linotype" w:hAnsi="Palatino Linotype" w:cs="Palatino Linotype"/>
          <w:i/>
        </w:rPr>
        <w:t xml:space="preserve"> Las resoluciones </w:t>
      </w:r>
      <w:r>
        <w:rPr>
          <w:rFonts w:ascii="Palatino Linotype" w:eastAsia="Palatino Linotype" w:hAnsi="Palatino Linotype" w:cs="Palatino Linotype"/>
          <w:b/>
          <w:i/>
        </w:rPr>
        <w:t>y laudos</w:t>
      </w:r>
      <w:r>
        <w:rPr>
          <w:rFonts w:ascii="Palatino Linotype" w:eastAsia="Palatino Linotype" w:hAnsi="Palatino Linotype" w:cs="Palatino Linotype"/>
          <w:i/>
        </w:rPr>
        <w:t xml:space="preserve"> que se emitan en procesos o procedimientos seguidos en forma de juicio. </w:t>
      </w:r>
    </w:p>
    <w:p w14:paraId="00E5DE1D" w14:textId="77777777" w:rsidR="000F60B8" w:rsidRPr="008107A2" w:rsidRDefault="008107A2">
      <w:pPr>
        <w:spacing w:line="276" w:lineRule="auto"/>
        <w:ind w:left="851" w:right="848"/>
        <w:jc w:val="both"/>
        <w:rPr>
          <w:rFonts w:ascii="Palatino Linotype" w:eastAsia="Palatino Linotype" w:hAnsi="Palatino Linotype" w:cs="Palatino Linotype"/>
          <w:i/>
        </w:rPr>
      </w:pPr>
      <w:r w:rsidRPr="008107A2">
        <w:rPr>
          <w:rFonts w:ascii="Palatino Linotype" w:eastAsia="Palatino Linotype" w:hAnsi="Palatino Linotype" w:cs="Palatino Linotype"/>
          <w:i/>
        </w:rPr>
        <w:lastRenderedPageBreak/>
        <w:t xml:space="preserve">Todos los sujetos obligados que, derivado de sus atribuciones emitan resoluciones y/o laudos derivados de procesos judiciales, administrativos o arbitrales; publicarán de manera trimestral las determinaciones emitidas en procesos o procedimientos seguidos en forma de juicio. </w:t>
      </w:r>
    </w:p>
    <w:p w14:paraId="0D86A98C" w14:textId="77777777" w:rsidR="000F60B8" w:rsidRPr="008107A2" w:rsidRDefault="008107A2">
      <w:pPr>
        <w:spacing w:line="276" w:lineRule="auto"/>
        <w:ind w:left="851" w:right="848"/>
        <w:jc w:val="both"/>
        <w:rPr>
          <w:rFonts w:ascii="Palatino Linotype" w:eastAsia="Palatino Linotype" w:hAnsi="Palatino Linotype" w:cs="Palatino Linotype"/>
          <w:i/>
        </w:rPr>
      </w:pPr>
      <w:r w:rsidRPr="008107A2">
        <w:rPr>
          <w:rFonts w:ascii="Palatino Linotype" w:eastAsia="Palatino Linotype" w:hAnsi="Palatino Linotype" w:cs="Palatino Linotype"/>
          <w:i/>
        </w:rPr>
        <w:t>Es importante considerar que los laudos son las resoluciones que ponen fin a los procedimientos en materia laboral o de arbitraje, por ello se consideran resoluciones distintas a las judiciales y administrativas.</w:t>
      </w:r>
    </w:p>
    <w:p w14:paraId="02231D61" w14:textId="77777777" w:rsidR="000F60B8" w:rsidRPr="008107A2" w:rsidRDefault="008107A2">
      <w:pPr>
        <w:spacing w:line="276" w:lineRule="auto"/>
        <w:ind w:left="851" w:right="706"/>
        <w:jc w:val="both"/>
        <w:rPr>
          <w:rFonts w:ascii="Palatino Linotype" w:eastAsia="Palatino Linotype" w:hAnsi="Palatino Linotype" w:cs="Palatino Linotype"/>
          <w:i/>
        </w:rPr>
      </w:pPr>
      <w:r w:rsidRPr="008107A2">
        <w:rPr>
          <w:rFonts w:ascii="Palatino Linotype" w:eastAsia="Palatino Linotype" w:hAnsi="Palatino Linotype" w:cs="Palatino Linotype"/>
          <w:i/>
        </w:rPr>
        <w:t xml:space="preserve">Los sujetos obligados que, derivado de sus atribuciones, no emitan resoluciones y/o laudos de tipo judicial, jurisdiccional o arbitral, deberán especificarlo mediante una nota fundamentada, motivada y actualizada al periodo que corresponda, que señale claramente que no generan información al respecto toda vez que no llevan procesos de ninguno de estos tres tipos. … </w:t>
      </w:r>
    </w:p>
    <w:p w14:paraId="182AD617"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Se publicará la información de las resoluciones y/o laudos que hayan causado estado o ejecutoria. </w:t>
      </w:r>
    </w:p>
    <w:p w14:paraId="3E63E2E6"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Para efectos del cumplimiento de esta fracción, de manera general, se entenderán por resoluciones definitivas que queden firmes, aquéllas que: </w:t>
      </w:r>
    </w:p>
    <w:p w14:paraId="19045CAC"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 No admitan en su contra recurso ordinario alguno; </w:t>
      </w:r>
    </w:p>
    <w:p w14:paraId="5763FCD0"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 Tengan categoría de cosa juzgada. (sentencias firmes, ejecutorias, poseen autoridad de cosa juzgada, es decir, son aquellas que fueron consentidas por las partes, o bien contra las que no concede la ley ningún recurso ordinario o, por último, las sentencias dictadas en segunda instancia). </w:t>
      </w:r>
    </w:p>
    <w:p w14:paraId="31E69899"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Se vuelvan irrevocables: </w:t>
      </w:r>
    </w:p>
    <w:p w14:paraId="7678E1AC"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 Por haberse consentido expresamente; </w:t>
      </w:r>
    </w:p>
    <w:p w14:paraId="16767740"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 Por no haberse impugnado oportunamente; </w:t>
      </w:r>
    </w:p>
    <w:p w14:paraId="59C99E27"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xml:space="preserve">• Por haberse desistido el apelante de su recurso; </w:t>
      </w:r>
    </w:p>
    <w:p w14:paraId="26C51815" w14:textId="77777777" w:rsidR="000F60B8" w:rsidRPr="008107A2" w:rsidRDefault="008107A2">
      <w:pPr>
        <w:spacing w:line="276" w:lineRule="auto"/>
        <w:ind w:left="851" w:right="706"/>
        <w:jc w:val="both"/>
        <w:rPr>
          <w:rFonts w:ascii="Palatino Linotype" w:eastAsia="Palatino Linotype" w:hAnsi="Palatino Linotype" w:cs="Palatino Linotype"/>
          <w:b/>
          <w:i/>
        </w:rPr>
      </w:pPr>
      <w:r w:rsidRPr="008107A2">
        <w:rPr>
          <w:rFonts w:ascii="Palatino Linotype" w:eastAsia="Palatino Linotype" w:hAnsi="Palatino Linotype" w:cs="Palatino Linotype"/>
          <w:b/>
          <w:i/>
        </w:rPr>
        <w:t>• Por no expresar agravios; o</w:t>
      </w:r>
    </w:p>
    <w:p w14:paraId="7239B644" w14:textId="77777777" w:rsidR="000F60B8" w:rsidRPr="008107A2" w:rsidRDefault="008107A2">
      <w:pPr>
        <w:spacing w:line="276" w:lineRule="auto"/>
        <w:ind w:left="851" w:right="706"/>
        <w:jc w:val="both"/>
        <w:rPr>
          <w:rFonts w:ascii="Palatino Linotype" w:eastAsia="Palatino Linotype" w:hAnsi="Palatino Linotype" w:cs="Palatino Linotype"/>
          <w:i/>
        </w:rPr>
      </w:pPr>
      <w:r w:rsidRPr="008107A2">
        <w:rPr>
          <w:rFonts w:ascii="Palatino Linotype" w:eastAsia="Palatino Linotype" w:hAnsi="Palatino Linotype" w:cs="Palatino Linotype"/>
          <w:b/>
          <w:i/>
        </w:rPr>
        <w:lastRenderedPageBreak/>
        <w:t>• Por haber el superior confirmado la sentencia del inferior, ésta última es susceptible de ser impugnada por la vía del amparo</w:t>
      </w:r>
      <w:r w:rsidRPr="008107A2">
        <w:rPr>
          <w:rFonts w:ascii="Palatino Linotype" w:eastAsia="Palatino Linotype" w:hAnsi="Palatino Linotype" w:cs="Palatino Linotype"/>
          <w:i/>
        </w:rPr>
        <w:t xml:space="preserve">. </w:t>
      </w:r>
    </w:p>
    <w:p w14:paraId="2B124A56" w14:textId="77777777" w:rsidR="000F60B8" w:rsidRPr="008107A2" w:rsidRDefault="008107A2">
      <w:pPr>
        <w:spacing w:line="276" w:lineRule="auto"/>
        <w:ind w:left="851" w:right="706"/>
        <w:jc w:val="both"/>
        <w:rPr>
          <w:rFonts w:ascii="Palatino Linotype" w:eastAsia="Palatino Linotype" w:hAnsi="Palatino Linotype" w:cs="Palatino Linotype"/>
          <w:i/>
        </w:rPr>
      </w:pPr>
      <w:r w:rsidRPr="008107A2">
        <w:rPr>
          <w:rFonts w:ascii="Palatino Linotype" w:eastAsia="Palatino Linotype" w:hAnsi="Palatino Linotype" w:cs="Palatino Linotype"/>
          <w:i/>
        </w:rPr>
        <w:t xml:space="preserve">Además, se publicará el número de expediente y cuando el número de resolución sea distinto al expediente se especificarán ambos. </w:t>
      </w:r>
    </w:p>
    <w:p w14:paraId="77BA93FD" w14:textId="77777777" w:rsidR="000F60B8" w:rsidRPr="008107A2" w:rsidRDefault="008107A2">
      <w:pPr>
        <w:spacing w:line="276" w:lineRule="auto"/>
        <w:ind w:left="851" w:right="706"/>
        <w:jc w:val="both"/>
        <w:rPr>
          <w:rFonts w:ascii="Palatino Linotype" w:eastAsia="Palatino Linotype" w:hAnsi="Palatino Linotype" w:cs="Palatino Linotype"/>
          <w:i/>
        </w:rPr>
      </w:pPr>
      <w:r w:rsidRPr="008107A2">
        <w:rPr>
          <w:rFonts w:ascii="Palatino Linotype" w:eastAsia="Palatino Linotype" w:hAnsi="Palatino Linotype" w:cs="Palatino Linotype"/>
          <w:i/>
        </w:rPr>
        <w:t xml:space="preserve">En su caso, los sujetos obligados incluirán una nota fundamentada, motivada y actualizada al periodo que corresponda, señalando las razones por las cuales no se puede publicar el número de expediente, de resolución u otro dato de los requeridos en esta fracción. </w:t>
      </w:r>
    </w:p>
    <w:p w14:paraId="4BCC4D71" w14:textId="77777777" w:rsidR="000F60B8" w:rsidRPr="008107A2" w:rsidRDefault="008107A2">
      <w:pPr>
        <w:spacing w:line="276" w:lineRule="auto"/>
        <w:ind w:left="851" w:right="706"/>
        <w:jc w:val="both"/>
        <w:rPr>
          <w:rFonts w:ascii="Palatino Linotype" w:eastAsia="Palatino Linotype" w:hAnsi="Palatino Linotype" w:cs="Palatino Linotype"/>
          <w:i/>
        </w:rPr>
      </w:pPr>
      <w:r w:rsidRPr="008107A2">
        <w:rPr>
          <w:rFonts w:ascii="Palatino Linotype" w:eastAsia="Palatino Linotype" w:hAnsi="Palatino Linotype" w:cs="Palatino Linotype"/>
          <w:i/>
        </w:rPr>
        <w:t>Asimismo, se incluirá un hipervínculo a la versión pública de la resolución y, con la finalidad de que las personas puedan complementar la información que el sujeto obligado publique, se vinculará a los boletines oficiales o medios de difusión homólogos, utilizados por los organismos encargados de emitir resoluciones jurisdiccionales...”</w:t>
      </w:r>
    </w:p>
    <w:p w14:paraId="6DE49988" w14:textId="77777777" w:rsidR="008107A2" w:rsidRDefault="008107A2">
      <w:pPr>
        <w:spacing w:line="360" w:lineRule="auto"/>
        <w:ind w:right="84"/>
        <w:jc w:val="both"/>
        <w:rPr>
          <w:rFonts w:ascii="Palatino Linotype" w:eastAsia="Palatino Linotype" w:hAnsi="Palatino Linotype" w:cs="Palatino Linotype"/>
          <w:sz w:val="24"/>
          <w:szCs w:val="24"/>
        </w:rPr>
      </w:pPr>
      <w:bookmarkStart w:id="1" w:name="_heading=h.3znysh7" w:colFirst="0" w:colLast="0"/>
      <w:bookmarkEnd w:id="1"/>
    </w:p>
    <w:p w14:paraId="2B5120BE" w14:textId="0C4FD680"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Disposición jurídica de la cual se desprende que los Sujetos Obligados, sólo publicaran los </w:t>
      </w:r>
      <w:r>
        <w:rPr>
          <w:rFonts w:ascii="Palatino Linotype" w:eastAsia="Palatino Linotype" w:hAnsi="Palatino Linotype" w:cs="Palatino Linotype"/>
          <w:sz w:val="24"/>
          <w:szCs w:val="24"/>
          <w:u w:val="single"/>
        </w:rPr>
        <w:t>laudos que hayan causado estado o ejecutoria</w:t>
      </w:r>
      <w:r>
        <w:rPr>
          <w:rFonts w:ascii="Palatino Linotype" w:eastAsia="Palatino Linotype" w:hAnsi="Palatino Linotype" w:cs="Palatino Linotype"/>
          <w:sz w:val="24"/>
          <w:szCs w:val="24"/>
        </w:rPr>
        <w:t xml:space="preserve">. </w:t>
      </w:r>
    </w:p>
    <w:p w14:paraId="6261F329" w14:textId="100ABA20" w:rsidR="000F60B8" w:rsidRDefault="008107A2">
      <w:pPr>
        <w:spacing w:line="360" w:lineRule="auto"/>
        <w:ind w:right="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así, que, por las consideraciones señaladas, las Suscitas emiten VOTO DISIDENTE CONCURRENTE, pues se debió privilegiar la reserva de los laudos que no han causado estado, a efecto de no vulnerar el debido proceso.</w:t>
      </w:r>
    </w:p>
    <w:p w14:paraId="62BA5970" w14:textId="77777777" w:rsidR="000F60B8" w:rsidRDefault="000F60B8">
      <w:pPr>
        <w:spacing w:line="200" w:lineRule="auto"/>
        <w:rPr>
          <w:sz w:val="24"/>
          <w:szCs w:val="24"/>
        </w:rPr>
      </w:pPr>
    </w:p>
    <w:p w14:paraId="22060CF5" w14:textId="77777777" w:rsidR="000F60B8" w:rsidRDefault="000F60B8">
      <w:pPr>
        <w:spacing w:before="120" w:after="120" w:line="360" w:lineRule="auto"/>
        <w:jc w:val="both"/>
        <w:rPr>
          <w:rFonts w:ascii="Palatino Linotype" w:eastAsia="Palatino Linotype" w:hAnsi="Palatino Linotype" w:cs="Palatino Linotype"/>
          <w:b/>
          <w:sz w:val="24"/>
          <w:szCs w:val="24"/>
        </w:rPr>
      </w:pPr>
    </w:p>
    <w:p w14:paraId="5D2BE2BA" w14:textId="77777777" w:rsidR="000F60B8" w:rsidRDefault="000F60B8">
      <w:pPr>
        <w:spacing w:before="120" w:after="120" w:line="360" w:lineRule="auto"/>
        <w:jc w:val="both"/>
        <w:rPr>
          <w:rFonts w:ascii="Palatino Linotype" w:eastAsia="Palatino Linotype" w:hAnsi="Palatino Linotype" w:cs="Palatino Linotype"/>
          <w:b/>
          <w:sz w:val="24"/>
          <w:szCs w:val="24"/>
        </w:rPr>
        <w:sectPr w:rsidR="000F60B8">
          <w:headerReference w:type="default" r:id="rId8"/>
          <w:footerReference w:type="default" r:id="rId9"/>
          <w:pgSz w:w="12240" w:h="15840"/>
          <w:pgMar w:top="1871" w:right="1327" w:bottom="2836" w:left="1985" w:header="709" w:footer="586" w:gutter="0"/>
          <w:pgNumType w:start="1"/>
          <w:cols w:space="720"/>
        </w:sectPr>
      </w:pPr>
    </w:p>
    <w:p w14:paraId="77A5DD99" w14:textId="77777777" w:rsidR="000F60B8" w:rsidRDefault="000F60B8">
      <w:pPr>
        <w:spacing w:before="120" w:after="120" w:line="360" w:lineRule="auto"/>
        <w:jc w:val="both"/>
        <w:rPr>
          <w:rFonts w:ascii="Palatino Linotype" w:eastAsia="Palatino Linotype" w:hAnsi="Palatino Linotype" w:cs="Palatino Linotype"/>
          <w:b/>
          <w:sz w:val="24"/>
          <w:szCs w:val="24"/>
        </w:rPr>
      </w:pPr>
    </w:p>
    <w:sectPr w:rsidR="000F60B8">
      <w:headerReference w:type="default" r:id="rId10"/>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B1C9" w14:textId="77777777" w:rsidR="00074AD6" w:rsidRDefault="00074AD6">
      <w:pPr>
        <w:spacing w:after="0" w:line="240" w:lineRule="auto"/>
      </w:pPr>
      <w:r>
        <w:separator/>
      </w:r>
    </w:p>
  </w:endnote>
  <w:endnote w:type="continuationSeparator" w:id="0">
    <w:p w14:paraId="19CE117D" w14:textId="77777777" w:rsidR="00074AD6" w:rsidRDefault="0007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0651" w14:textId="77777777" w:rsidR="00F20538" w:rsidRDefault="00F20538" w:rsidP="00F20538">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color w:val="000000"/>
        <w:sz w:val="20"/>
        <w:szCs w:val="20"/>
      </w:rPr>
      <w:t>14</w:t>
    </w:r>
    <w:r>
      <w:rPr>
        <w:rFonts w:ascii="Times New Roman" w:eastAsia="Times New Roman" w:hAnsi="Times New Roman" w:cs="Times New Roman"/>
        <w:b/>
        <w:color w:val="000000"/>
        <w:sz w:val="20"/>
        <w:szCs w:val="20"/>
      </w:rPr>
      <w:fldChar w:fldCharType="end"/>
    </w:r>
  </w:p>
  <w:p w14:paraId="359B80A9" w14:textId="77777777" w:rsidR="00F20538" w:rsidRDefault="00F205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FA7B" w14:textId="77777777" w:rsidR="00074AD6" w:rsidRDefault="00074AD6">
      <w:pPr>
        <w:spacing w:after="0" w:line="240" w:lineRule="auto"/>
      </w:pPr>
      <w:r>
        <w:separator/>
      </w:r>
    </w:p>
  </w:footnote>
  <w:footnote w:type="continuationSeparator" w:id="0">
    <w:p w14:paraId="2DA915F8" w14:textId="77777777" w:rsidR="00074AD6" w:rsidRDefault="0007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E173" w14:textId="77777777" w:rsidR="000F60B8" w:rsidRDefault="008107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 CONCURRENTE</w:t>
    </w:r>
    <w:r>
      <w:rPr>
        <w:noProof/>
      </w:rPr>
      <w:drawing>
        <wp:anchor distT="0" distB="0" distL="0" distR="0" simplePos="0" relativeHeight="251658240" behindDoc="1" locked="0" layoutInCell="1" hidden="0" allowOverlap="1" wp14:anchorId="697971AB" wp14:editId="730A9DBC">
          <wp:simplePos x="0" y="0"/>
          <wp:positionH relativeFrom="column">
            <wp:posOffset>-952495</wp:posOffset>
          </wp:positionH>
          <wp:positionV relativeFrom="paragraph">
            <wp:posOffset>-568956</wp:posOffset>
          </wp:positionV>
          <wp:extent cx="7510628" cy="9883775"/>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795235B9" wp14:editId="61E3E0EF">
              <wp:simplePos x="0" y="0"/>
              <wp:positionH relativeFrom="column">
                <wp:posOffset>-6464299</wp:posOffset>
              </wp:positionH>
              <wp:positionV relativeFrom="paragraph">
                <wp:posOffset>-5168899</wp:posOffset>
              </wp:positionV>
              <wp:extent cx="17566292" cy="17532772"/>
              <wp:effectExtent l="0" t="0" r="0" b="0"/>
              <wp:wrapNone/>
              <wp:docPr id="28" name="Rectángulo 28"/>
              <wp:cNvGraphicFramePr/>
              <a:graphic xmlns:a="http://schemas.openxmlformats.org/drawingml/2006/main">
                <a:graphicData uri="http://schemas.microsoft.com/office/word/2010/wordprocessingShape">
                  <wps:wsp>
                    <wps:cNvSpPr/>
                    <wps:spPr>
                      <a:xfrm rot="-2966911">
                        <a:off x="429109" y="-20520"/>
                        <a:ext cx="9833784" cy="7601041"/>
                      </a:xfrm>
                      <a:prstGeom prst="rect">
                        <a:avLst/>
                      </a:prstGeom>
                      <a:noFill/>
                      <a:ln>
                        <a:noFill/>
                      </a:ln>
                    </wps:spPr>
                    <wps:txbx>
                      <w:txbxContent>
                        <w:p w14:paraId="7E390BDC" w14:textId="77777777" w:rsidR="000F60B8" w:rsidRDefault="008107A2">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wps:txbx>
                    <wps:bodyPr spcFirstLastPara="1" wrap="square" lIns="91425" tIns="45700" rIns="91425" bIns="45700" anchor="ctr" anchorCtr="0">
                      <a:noAutofit/>
                    </wps:bodyPr>
                  </wps:wsp>
                </a:graphicData>
              </a:graphic>
            </wp:anchor>
          </w:drawing>
        </mc:Choice>
        <mc:Fallback>
          <w:pict>
            <v:rect w14:anchorId="795235B9" id="Rectángulo 28" o:spid="_x0000_s1026" style="position:absolute;left:0;text-align:left;margin-left:-509pt;margin-top:-407pt;width:1383.15pt;height:1380.55pt;rotation:-3240658fd;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" filled="f" stroked="f">
              <v:textbox inset="2.53958mm,1.2694mm,2.53958mm,1.2694mm">
                <w:txbxContent>
                  <w:p w14:paraId="7E390BDC" w14:textId="77777777" w:rsidR="000F60B8" w:rsidRDefault="008107A2">
                    <w:pPr>
                      <w:spacing w:before="240" w:after="240" w:line="360" w:lineRule="auto"/>
                      <w:jc w:val="center"/>
                      <w:textDirection w:val="btLr"/>
                    </w:pPr>
                    <w:r>
                      <w:rPr>
                        <w:rFonts w:ascii="Palatino Linotype" w:eastAsia="Palatino Linotype" w:hAnsi="Palatino Linotype" w:cs="Palatino Linotype"/>
                        <w:color w:val="AEAAAA"/>
                        <w:sz w:val="56"/>
                      </w:rPr>
                      <w:t>VOTO DISIDENTE</w:t>
                    </w:r>
                  </w:p>
                </w:txbxContent>
              </v:textbox>
            </v:rect>
          </w:pict>
        </mc:Fallback>
      </mc:AlternateContent>
    </w:r>
  </w:p>
  <w:p w14:paraId="70ACC055" w14:textId="77777777" w:rsidR="000F60B8" w:rsidRDefault="008107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06030/INFOEM/IP/RR/2023. </w:t>
    </w:r>
  </w:p>
  <w:p w14:paraId="2E5B68A1" w14:textId="77777777" w:rsidR="000F60B8" w:rsidRDefault="000F60B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03C9A3C3" w14:textId="77777777" w:rsidR="000F60B8" w:rsidRDefault="000F60B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699C16F3" w14:textId="77777777" w:rsidR="000F60B8" w:rsidRDefault="000F60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D483" w14:textId="77777777" w:rsidR="000F60B8" w:rsidRDefault="000F60B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p w14:paraId="296482BA" w14:textId="77777777" w:rsidR="000F60B8" w:rsidRDefault="000F60B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D8"/>
    <w:multiLevelType w:val="multilevel"/>
    <w:tmpl w:val="3B0C84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EF1C1C"/>
    <w:multiLevelType w:val="multilevel"/>
    <w:tmpl w:val="0A1E7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9E601E"/>
    <w:multiLevelType w:val="multilevel"/>
    <w:tmpl w:val="30548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3636796">
    <w:abstractNumId w:val="0"/>
  </w:num>
  <w:num w:numId="2" w16cid:durableId="981927218">
    <w:abstractNumId w:val="1"/>
  </w:num>
  <w:num w:numId="3" w16cid:durableId="45567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B8"/>
    <w:rsid w:val="00074AD6"/>
    <w:rsid w:val="000F60B8"/>
    <w:rsid w:val="003E2C5A"/>
    <w:rsid w:val="004072F6"/>
    <w:rsid w:val="008107A2"/>
    <w:rsid w:val="00EC53CA"/>
    <w:rsid w:val="00F20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930C"/>
  <w15:docId w15:val="{BD05A2BC-8619-4987-A3FD-3C201CE4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466E0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GxuxvKZ2X09mXAr05NlUz3AFQ==">CgMxLjAyCGguZ2pkZ3hzMgloLjN6bnlzaDc4AHIhMUprazJiSlYyYV8xNkdpanJWY3l4Yk9YSVM0UjBKWXdJ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3059</Words>
  <Characters>16827</Characters>
  <Application>Microsoft Office Word</Application>
  <DocSecurity>0</DocSecurity>
  <Lines>140</Lines>
  <Paragraphs>39</Paragraphs>
  <ScaleCrop>false</ScaleCrop>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inf03m619@outlook.com</cp:lastModifiedBy>
  <cp:revision>3</cp:revision>
  <cp:lastPrinted>2024-01-29T18:11:00Z</cp:lastPrinted>
  <dcterms:created xsi:type="dcterms:W3CDTF">2024-01-29T18:09:00Z</dcterms:created>
  <dcterms:modified xsi:type="dcterms:W3CDTF">2024-01-29T18:13:00Z</dcterms:modified>
</cp:coreProperties>
</file>