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0DA" w:rsidRDefault="00EA4356">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VOTO </w:t>
      </w:r>
      <w:r>
        <w:rPr>
          <w:rFonts w:ascii="Palatino Linotype" w:eastAsia="Palatino Linotype" w:hAnsi="Palatino Linotype" w:cs="Palatino Linotype"/>
          <w:b/>
          <w:color w:val="000000"/>
          <w:sz w:val="24"/>
          <w:szCs w:val="24"/>
        </w:rPr>
        <w:t>DISIDENTE</w:t>
      </w:r>
      <w:r>
        <w:rPr>
          <w:rFonts w:ascii="Palatino Linotype" w:eastAsia="Palatino Linotype" w:hAnsi="Palatino Linotype" w:cs="Palatino Linotype"/>
          <w:b/>
          <w:sz w:val="24"/>
          <w:szCs w:val="24"/>
        </w:rPr>
        <w:t xml:space="preserve"> QUE FORMULA LA COMISIONADA GUADALUPE RAMÍREZ PEÑA, EN RELACIÓN CON LA RESOLUCIÓN DICTADA POR EL PLENO DEL INSTITUTO DE TRANSPARENCIA, ACCESO A LA INFORMACIÓN PÚBLICA Y PROTECCIÓN DE DATOS PERSONALES DEL ESTADO DE MÉXICO Y MUNICIPIOS, EN LA TRIGÉSIMA OCTAV</w:t>
      </w:r>
      <w:r>
        <w:rPr>
          <w:rFonts w:ascii="Palatino Linotype" w:eastAsia="Palatino Linotype" w:hAnsi="Palatino Linotype" w:cs="Palatino Linotype"/>
          <w:b/>
          <w:sz w:val="24"/>
          <w:szCs w:val="24"/>
        </w:rPr>
        <w:t xml:space="preserve">A SESIÓN ORDINARIA DEL SEIS DE NOVIEMBRE DE DOS MIL VEINTICUATRO, EN EL RECURSO DE REVISIÓN 03435/INFOEM/IP/RR/2024. </w:t>
      </w:r>
    </w:p>
    <w:p w:rsidR="00F440DA" w:rsidRDefault="00F440DA">
      <w:pPr>
        <w:spacing w:after="0" w:line="360" w:lineRule="auto"/>
        <w:jc w:val="both"/>
        <w:rPr>
          <w:rFonts w:ascii="Palatino Linotype" w:eastAsia="Palatino Linotype" w:hAnsi="Palatino Linotype" w:cs="Palatino Linotype"/>
          <w:b/>
          <w:sz w:val="24"/>
          <w:szCs w:val="24"/>
        </w:rPr>
      </w:pPr>
      <w:bookmarkStart w:id="0" w:name="_heading=h.gjdgxs" w:colFirst="0" w:colLast="0"/>
      <w:bookmarkEnd w:id="0"/>
    </w:p>
    <w:p w:rsidR="00F440DA" w:rsidRDefault="00EA4356">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 fundamento en lo dispuesto por el artículo 14, fracciones X y XI, del Reglamento del Instituto de Transparencia, Acceso a la Informac</w:t>
      </w:r>
      <w:r>
        <w:rPr>
          <w:rFonts w:ascii="Palatino Linotype" w:eastAsia="Palatino Linotype" w:hAnsi="Palatino Linotype" w:cs="Palatino Linotype"/>
          <w:sz w:val="24"/>
          <w:szCs w:val="24"/>
        </w:rPr>
        <w:t xml:space="preserve">ión Pública y Protección de Datos Personales del Estado de México, la que suscribe emite </w:t>
      </w:r>
      <w:r>
        <w:rPr>
          <w:rFonts w:ascii="Palatino Linotype" w:eastAsia="Palatino Linotype" w:hAnsi="Palatino Linotype" w:cs="Palatino Linotype"/>
          <w:b/>
        </w:rPr>
        <w:t>VOTO DISIDENTE</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respecto a la resolución dictada en el recurso de revisión número </w:t>
      </w:r>
      <w:r>
        <w:rPr>
          <w:rFonts w:ascii="Palatino Linotype" w:eastAsia="Palatino Linotype" w:hAnsi="Palatino Linotype" w:cs="Palatino Linotype"/>
          <w:b/>
          <w:sz w:val="24"/>
          <w:szCs w:val="24"/>
        </w:rPr>
        <w:t xml:space="preserve">03435/INFOEM/IP/RR/2024, </w:t>
      </w:r>
      <w:r>
        <w:rPr>
          <w:rFonts w:ascii="Palatino Linotype" w:eastAsia="Palatino Linotype" w:hAnsi="Palatino Linotype" w:cs="Palatino Linotype"/>
          <w:sz w:val="24"/>
          <w:szCs w:val="24"/>
        </w:rPr>
        <w:t>pronunciada por el Pleno de este Instituto ante el proyecto p</w:t>
      </w:r>
      <w:r>
        <w:rPr>
          <w:rFonts w:ascii="Palatino Linotype" w:eastAsia="Palatino Linotype" w:hAnsi="Palatino Linotype" w:cs="Palatino Linotype"/>
          <w:sz w:val="24"/>
          <w:szCs w:val="24"/>
        </w:rPr>
        <w:t>resentado por el Comisionado José Martínez Vilchis, el cual se formuló, conforme al tenor siguiente:</w:t>
      </w:r>
    </w:p>
    <w:p w:rsidR="00F440DA" w:rsidRDefault="00F440DA">
      <w:pPr>
        <w:spacing w:after="0" w:line="360" w:lineRule="auto"/>
        <w:ind w:right="142"/>
        <w:jc w:val="both"/>
        <w:rPr>
          <w:rFonts w:ascii="Palatino Linotype" w:eastAsia="Palatino Linotype" w:hAnsi="Palatino Linotype" w:cs="Palatino Linotype"/>
          <w:sz w:val="24"/>
          <w:szCs w:val="24"/>
        </w:rPr>
      </w:pPr>
    </w:p>
    <w:p w:rsidR="00F440DA" w:rsidRDefault="00EA4356">
      <w:pPr>
        <w:spacing w:after="0" w:line="360" w:lineRule="auto"/>
        <w:ind w:left="567" w:right="142"/>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 Antecedentes.</w:t>
      </w:r>
    </w:p>
    <w:p w:rsidR="00F440DA" w:rsidRDefault="00F440DA">
      <w:pPr>
        <w:spacing w:after="0" w:line="360" w:lineRule="auto"/>
        <w:ind w:left="567" w:right="142"/>
        <w:jc w:val="both"/>
        <w:rPr>
          <w:rFonts w:ascii="Palatino Linotype" w:eastAsia="Palatino Linotype" w:hAnsi="Palatino Linotype" w:cs="Palatino Linotype"/>
          <w:b/>
          <w:sz w:val="24"/>
          <w:szCs w:val="24"/>
        </w:rPr>
      </w:pPr>
    </w:p>
    <w:p w:rsidR="00F440DA" w:rsidRDefault="00EA4356">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quedó debidamente asentado en la resolución, materia del presente voto la persona solicitante requirió de la Dirección General de P</w:t>
      </w:r>
      <w:r>
        <w:rPr>
          <w:rFonts w:ascii="Palatino Linotype" w:eastAsia="Palatino Linotype" w:hAnsi="Palatino Linotype" w:cs="Palatino Linotype"/>
          <w:sz w:val="24"/>
          <w:szCs w:val="24"/>
        </w:rPr>
        <w:t xml:space="preserve">rotección al Colono, el soporte documental de lo siguiente: </w:t>
      </w:r>
    </w:p>
    <w:p w:rsidR="00F440DA" w:rsidRDefault="00EA435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1. Estudios, investigaciones y criterios tomados en consideración para cambiar de residencia al organismo;</w:t>
      </w:r>
    </w:p>
    <w:p w:rsidR="00F440DA" w:rsidRDefault="00EA435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2. Nombre del Organismo que se encuentra atendiendo los asuntos que atendía la Dirección</w:t>
      </w:r>
      <w:r>
        <w:rPr>
          <w:rFonts w:ascii="Palatino Linotype" w:eastAsia="Palatino Linotype" w:hAnsi="Palatino Linotype" w:cs="Palatino Linotype"/>
          <w:color w:val="000000"/>
          <w:sz w:val="24"/>
          <w:szCs w:val="24"/>
        </w:rPr>
        <w:t xml:space="preserve"> General de Protección al Colono;</w:t>
      </w:r>
    </w:p>
    <w:p w:rsidR="00F440DA" w:rsidRDefault="00EA435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3. Nombre de todos los servidores públicos que lo integran;</w:t>
      </w:r>
    </w:p>
    <w:p w:rsidR="00F440DA" w:rsidRDefault="00EA435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4. Total de personas que ha atendido cada servidor público de enero a mayo del año 2024</w:t>
      </w:r>
    </w:p>
    <w:p w:rsidR="00F440DA" w:rsidRDefault="00EA435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5. Nombre del titular del organismo, grado de estudios y experiencia labor</w:t>
      </w:r>
      <w:r>
        <w:rPr>
          <w:rFonts w:ascii="Palatino Linotype" w:eastAsia="Palatino Linotype" w:hAnsi="Palatino Linotype" w:cs="Palatino Linotype"/>
          <w:color w:val="000000"/>
          <w:sz w:val="24"/>
          <w:szCs w:val="24"/>
        </w:rPr>
        <w:t>al que tiene por la cual asume el cargo de tal dependencia.</w:t>
      </w:r>
    </w:p>
    <w:p w:rsidR="00F440DA" w:rsidRDefault="00F440D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F440DA" w:rsidRDefault="00EA4356">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xml:space="preserve"> emitió su respuesta de la siguiente forma:</w:t>
      </w:r>
    </w:p>
    <w:p w:rsidR="00F440DA" w:rsidRDefault="00F440DA">
      <w:pPr>
        <w:spacing w:after="0" w:line="360" w:lineRule="auto"/>
        <w:ind w:right="142"/>
        <w:jc w:val="both"/>
        <w:rPr>
          <w:rFonts w:ascii="Palatino Linotype" w:eastAsia="Palatino Linotype" w:hAnsi="Palatino Linotype" w:cs="Palatino Linotype"/>
          <w:sz w:val="24"/>
          <w:szCs w:val="24"/>
        </w:rPr>
      </w:pPr>
    </w:p>
    <w:p w:rsidR="00F440DA" w:rsidRDefault="00EA4356">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Servidor Público Habilitado de la Dirección General de Justicia Cotidiana y Protección al Colono informó que el actual Gobierno e</w:t>
      </w:r>
      <w:r>
        <w:rPr>
          <w:rFonts w:ascii="Palatino Linotype" w:eastAsia="Palatino Linotype" w:hAnsi="Palatino Linotype" w:cs="Palatino Linotype"/>
          <w:sz w:val="24"/>
          <w:szCs w:val="24"/>
        </w:rPr>
        <w:t>ntre sus políticas que rigen su actuar se encuentra el eje rector denominado “Estado de Derecho y Austeridad”; asimismo señaló que la actual Dirección General de Justicia Cotidiana y Protección al Colono, al igual que la entonces Dirección de Justicia Coti</w:t>
      </w:r>
      <w:r>
        <w:rPr>
          <w:rFonts w:ascii="Palatino Linotype" w:eastAsia="Palatino Linotype" w:hAnsi="Palatino Linotype" w:cs="Palatino Linotype"/>
          <w:sz w:val="24"/>
          <w:szCs w:val="24"/>
        </w:rPr>
        <w:t>diana, se fusionaron estos dos organismos, por lo que actualmente es la DIRECCIÓN GENERAL DE JUSTICIA COTIDIANA Y PROTECCIÓN AL COLONO.</w:t>
      </w:r>
    </w:p>
    <w:p w:rsidR="00F440DA" w:rsidRDefault="00F440DA">
      <w:pPr>
        <w:spacing w:after="0" w:line="360" w:lineRule="auto"/>
        <w:ind w:right="-93"/>
        <w:jc w:val="both"/>
        <w:rPr>
          <w:rFonts w:ascii="Palatino Linotype" w:eastAsia="Palatino Linotype" w:hAnsi="Palatino Linotype" w:cs="Palatino Linotype"/>
          <w:sz w:val="24"/>
          <w:szCs w:val="24"/>
        </w:rPr>
      </w:pPr>
    </w:p>
    <w:p w:rsidR="00F440DA" w:rsidRDefault="00EA4356">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El Servidor Público Habilitado de la Dirección General de Justicia Cotidiana y Protección al Colono informó que con fecha 20 de diciembre de dos mil veintitrés, en el “Periódico Oficial” se publicó el Reglamento Interior de la Consejería Jurídica, el cual </w:t>
      </w:r>
      <w:r>
        <w:rPr>
          <w:rFonts w:ascii="Palatino Linotype" w:eastAsia="Palatino Linotype" w:hAnsi="Palatino Linotype" w:cs="Palatino Linotype"/>
          <w:sz w:val="24"/>
          <w:szCs w:val="24"/>
        </w:rPr>
        <w:t xml:space="preserve">en su artículo cuarto, inciso e) establece: </w:t>
      </w:r>
    </w:p>
    <w:p w:rsidR="00F440DA" w:rsidRDefault="00F440DA">
      <w:pPr>
        <w:spacing w:after="0" w:line="360" w:lineRule="auto"/>
        <w:ind w:right="-93"/>
        <w:jc w:val="both"/>
        <w:rPr>
          <w:rFonts w:ascii="Palatino Linotype" w:eastAsia="Palatino Linotype" w:hAnsi="Palatino Linotype" w:cs="Palatino Linotype"/>
          <w:sz w:val="24"/>
          <w:szCs w:val="24"/>
        </w:rPr>
      </w:pPr>
    </w:p>
    <w:p w:rsidR="00F440DA" w:rsidRDefault="00EA4356">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Artículo 4. Para el estudio, planeación y atención de los asuntos de su competencia, al frente de la Consejería estará una persona titular quien, se auxiliará de las siguientes unidades administrativas:</w:t>
      </w:r>
    </w:p>
    <w:p w:rsidR="00F440DA" w:rsidRDefault="00EA4356">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F440DA" w:rsidRDefault="00EA4356">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e. Dirección General de Justicia Cotidiana y Protección al Colono;</w:t>
      </w:r>
    </w:p>
    <w:p w:rsidR="00F440DA" w:rsidRDefault="00EA4356">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Además informó que el Transitorio CUARTO, en la que parte que interesa, establece:</w:t>
      </w:r>
    </w:p>
    <w:p w:rsidR="00F440DA" w:rsidRDefault="00EA4356">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 CUARTO. Las referencias realizadas en disposiciones jurídicas y en cualquier tipo de documentación a la S</w:t>
      </w:r>
      <w:r>
        <w:rPr>
          <w:rFonts w:ascii="Palatino Linotype" w:eastAsia="Palatino Linotype" w:hAnsi="Palatino Linotype" w:cs="Palatino Linotype"/>
          <w:i/>
        </w:rPr>
        <w:t xml:space="preserve">ubsecretaría de Justicia y a la Subsecretaría Jurídica y de Derechos Humanos se entenderán hechas a la </w:t>
      </w:r>
      <w:proofErr w:type="spellStart"/>
      <w:r>
        <w:rPr>
          <w:rFonts w:ascii="Palatino Linotype" w:eastAsia="Palatino Linotype" w:hAnsi="Palatino Linotype" w:cs="Palatino Linotype"/>
          <w:i/>
        </w:rPr>
        <w:t>Subconsejería</w:t>
      </w:r>
      <w:proofErr w:type="spellEnd"/>
      <w:r>
        <w:rPr>
          <w:rFonts w:ascii="Palatino Linotype" w:eastAsia="Palatino Linotype" w:hAnsi="Palatino Linotype" w:cs="Palatino Linotype"/>
          <w:i/>
        </w:rPr>
        <w:t xml:space="preserve"> Jurídica y de Derechos Ciudadanos; las realizadas a la Dirección General de Justicia Cotidiana y a la Dirección General de Protección al Co</w:t>
      </w:r>
      <w:r>
        <w:rPr>
          <w:rFonts w:ascii="Palatino Linotype" w:eastAsia="Palatino Linotype" w:hAnsi="Palatino Linotype" w:cs="Palatino Linotype"/>
          <w:i/>
        </w:rPr>
        <w:t>lono, se entenderán hechas a la Dirección General de Justicia Cotidiana y Protección al Colono…</w:t>
      </w:r>
    </w:p>
    <w:p w:rsidR="00F440DA" w:rsidRDefault="00EA4356">
      <w:pPr>
        <w:spacing w:after="0" w:line="276" w:lineRule="auto"/>
        <w:ind w:left="851"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Los recursos financieros, humanos, materiales y presupuestales de las unidades administrativas señaladas serán transferidos a partir de la entrada en vigor del </w:t>
      </w:r>
      <w:r>
        <w:rPr>
          <w:rFonts w:ascii="Palatino Linotype" w:eastAsia="Palatino Linotype" w:hAnsi="Palatino Linotype" w:cs="Palatino Linotype"/>
          <w:i/>
        </w:rPr>
        <w:t>presente Reglamento, en los términos del párrafo anterior.</w:t>
      </w:r>
    </w:p>
    <w:p w:rsidR="00F440DA" w:rsidRDefault="00F440DA">
      <w:pPr>
        <w:spacing w:after="0" w:line="276" w:lineRule="auto"/>
        <w:ind w:right="-91"/>
        <w:jc w:val="both"/>
        <w:rPr>
          <w:rFonts w:ascii="Palatino Linotype" w:eastAsia="Palatino Linotype" w:hAnsi="Palatino Linotype" w:cs="Palatino Linotype"/>
          <w:i/>
          <w:sz w:val="24"/>
          <w:szCs w:val="24"/>
        </w:rPr>
      </w:pPr>
    </w:p>
    <w:p w:rsidR="00F440DA" w:rsidRDefault="00EA4356">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la Unidad Administrativa que se encuentra atendiendo los asuntos que atendían la Dirección General de Protección al Colono es la </w:t>
      </w:r>
      <w:r>
        <w:rPr>
          <w:rFonts w:ascii="Palatino Linotype" w:eastAsia="Palatino Linotype" w:hAnsi="Palatino Linotype" w:cs="Palatino Linotype"/>
          <w:sz w:val="24"/>
          <w:szCs w:val="24"/>
        </w:rPr>
        <w:lastRenderedPageBreak/>
        <w:t xml:space="preserve">DIRECCIÓN GENERAL DE JUSTICIA COTIDIANA Y PROTECCIÓN AL </w:t>
      </w:r>
      <w:r>
        <w:rPr>
          <w:rFonts w:ascii="Palatino Linotype" w:eastAsia="Palatino Linotype" w:hAnsi="Palatino Linotype" w:cs="Palatino Linotype"/>
          <w:sz w:val="24"/>
          <w:szCs w:val="24"/>
        </w:rPr>
        <w:t>COLONO.</w:t>
      </w:r>
    </w:p>
    <w:p w:rsidR="00F440DA" w:rsidRDefault="00F440DA">
      <w:pPr>
        <w:spacing w:after="0" w:line="360" w:lineRule="auto"/>
        <w:ind w:right="-93"/>
        <w:jc w:val="both"/>
        <w:rPr>
          <w:rFonts w:ascii="Palatino Linotype" w:eastAsia="Palatino Linotype" w:hAnsi="Palatino Linotype" w:cs="Palatino Linotype"/>
          <w:sz w:val="24"/>
          <w:szCs w:val="24"/>
        </w:rPr>
      </w:pPr>
    </w:p>
    <w:p w:rsidR="00F440DA" w:rsidRDefault="00EA4356">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Servidor Público Habilitado de la Dirección General de Justicia Cotidiana y Protección al Colono remitió listado de los servidores públicos que integran el organismo y un remitió listado de los servidores públicos que se desempeñan en esa unida</w:t>
      </w:r>
      <w:r>
        <w:rPr>
          <w:rFonts w:ascii="Palatino Linotype" w:eastAsia="Palatino Linotype" w:hAnsi="Palatino Linotype" w:cs="Palatino Linotype"/>
          <w:sz w:val="24"/>
          <w:szCs w:val="24"/>
        </w:rPr>
        <w:t xml:space="preserve">d administrativa y atienden al público. </w:t>
      </w:r>
    </w:p>
    <w:p w:rsidR="00F440DA" w:rsidRDefault="00F440DA">
      <w:pPr>
        <w:spacing w:after="0" w:line="360" w:lineRule="auto"/>
        <w:ind w:right="-93"/>
        <w:jc w:val="both"/>
        <w:rPr>
          <w:rFonts w:ascii="Palatino Linotype" w:eastAsia="Palatino Linotype" w:hAnsi="Palatino Linotype" w:cs="Palatino Linotype"/>
          <w:sz w:val="24"/>
          <w:szCs w:val="24"/>
        </w:rPr>
      </w:pPr>
    </w:p>
    <w:p w:rsidR="00F440DA" w:rsidRDefault="00EA4356">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Servidor Público Habilitado de la Dirección General de Justicia Cotidiana y Protección al Colono informó que el C. Gabino Mondragón Trujillo, es actualmente el Encargado del Despacho de la Dirección General de J</w:t>
      </w:r>
      <w:r>
        <w:rPr>
          <w:rFonts w:ascii="Palatino Linotype" w:eastAsia="Palatino Linotype" w:hAnsi="Palatino Linotype" w:cs="Palatino Linotype"/>
          <w:sz w:val="24"/>
          <w:szCs w:val="24"/>
        </w:rPr>
        <w:t>usticia Cotidiana y Protección al Colono, asimismo remitió la ficha curricular del servidor público referido, a través de la cual se advierte su grado de estudios como Licenciado en Contaduría Pública y Maestría en Políticas Anticorrupción y Licenciatura e</w:t>
      </w:r>
      <w:r>
        <w:rPr>
          <w:rFonts w:ascii="Palatino Linotype" w:eastAsia="Palatino Linotype" w:hAnsi="Palatino Linotype" w:cs="Palatino Linotype"/>
          <w:sz w:val="24"/>
          <w:szCs w:val="24"/>
        </w:rPr>
        <w:t>n Derecho concluida, asimismo su experiencia laboral</w:t>
      </w:r>
    </w:p>
    <w:p w:rsidR="00F440DA" w:rsidRDefault="00F440DA">
      <w:pPr>
        <w:spacing w:after="0" w:line="360" w:lineRule="auto"/>
        <w:ind w:right="-93"/>
        <w:jc w:val="both"/>
        <w:rPr>
          <w:rFonts w:ascii="Palatino Linotype" w:eastAsia="Palatino Linotype" w:hAnsi="Palatino Linotype" w:cs="Palatino Linotype"/>
        </w:rPr>
      </w:pPr>
    </w:p>
    <w:p w:rsidR="00F440DA" w:rsidRDefault="00EA4356">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Bajo tales argumentos,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interpuso el medio de impugnación de la siguiente forma:</w:t>
      </w:r>
    </w:p>
    <w:p w:rsidR="00F440DA" w:rsidRDefault="00F440DA">
      <w:pPr>
        <w:spacing w:after="0" w:line="360" w:lineRule="auto"/>
        <w:ind w:right="-234"/>
        <w:jc w:val="both"/>
        <w:rPr>
          <w:rFonts w:ascii="Palatino Linotype" w:eastAsia="Palatino Linotype" w:hAnsi="Palatino Linotype" w:cs="Palatino Linotype"/>
          <w:b/>
          <w:color w:val="000000"/>
          <w:sz w:val="24"/>
          <w:szCs w:val="24"/>
        </w:rPr>
      </w:pPr>
    </w:p>
    <w:p w:rsidR="00F440DA" w:rsidRDefault="00EA4356">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Acto Impugnado:</w:t>
      </w:r>
    </w:p>
    <w:p w:rsidR="00F440DA" w:rsidRDefault="00EA4356">
      <w:pPr>
        <w:tabs>
          <w:tab w:val="left" w:pos="8222"/>
        </w:tabs>
        <w:spacing w:before="240" w:after="24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“La información que proporciona el servidor público es ambiguo, por lo que no da respuesta a lo solicitado” [sic]</w:t>
      </w:r>
    </w:p>
    <w:p w:rsidR="00F440DA" w:rsidRDefault="00EA4356">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Razones o Motivos de Inconformidad</w:t>
      </w:r>
      <w:r>
        <w:rPr>
          <w:rFonts w:ascii="Palatino Linotype" w:eastAsia="Palatino Linotype" w:hAnsi="Palatino Linotype" w:cs="Palatino Linotype"/>
          <w:i/>
          <w:color w:val="000000"/>
          <w:sz w:val="24"/>
          <w:szCs w:val="24"/>
        </w:rPr>
        <w:t>:</w:t>
      </w:r>
    </w:p>
    <w:p w:rsidR="00F440DA" w:rsidRDefault="00EA4356">
      <w:pPr>
        <w:spacing w:before="240" w:after="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i/>
          <w:color w:val="000000"/>
        </w:rPr>
        <w:t>No me proporciona la información requerida” [sic]</w:t>
      </w:r>
    </w:p>
    <w:p w:rsidR="00F440DA" w:rsidRDefault="00F440DA">
      <w:pPr>
        <w:spacing w:after="0" w:line="360" w:lineRule="auto"/>
        <w:ind w:right="-93"/>
        <w:jc w:val="both"/>
        <w:rPr>
          <w:rFonts w:ascii="Palatino Linotype" w:eastAsia="Palatino Linotype" w:hAnsi="Palatino Linotype" w:cs="Palatino Linotype"/>
          <w:sz w:val="24"/>
          <w:szCs w:val="24"/>
        </w:rPr>
      </w:pPr>
    </w:p>
    <w:p w:rsidR="00F440DA" w:rsidRDefault="00EA4356">
      <w:pPr>
        <w:spacing w:after="0" w:line="360" w:lineRule="auto"/>
        <w:jc w:val="both"/>
        <w:rPr>
          <w:rFonts w:ascii="Palatino Linotype" w:eastAsia="Palatino Linotype" w:hAnsi="Palatino Linotype" w:cs="Palatino Linotype"/>
          <w:color w:val="FF0000"/>
          <w:sz w:val="24"/>
          <w:szCs w:val="24"/>
        </w:rPr>
      </w:pPr>
      <w:r>
        <w:rPr>
          <w:rFonts w:ascii="Palatino Linotype" w:eastAsia="Palatino Linotype" w:hAnsi="Palatino Linotype" w:cs="Palatino Linotype"/>
          <w:sz w:val="24"/>
          <w:szCs w:val="24"/>
        </w:rPr>
        <w:t xml:space="preserve">Durante la etapa de manifestaciones,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resultó omiso de rendir su Informe Justificado y </w:t>
      </w:r>
      <w:r>
        <w:rPr>
          <w:rFonts w:ascii="Palatino Linotype" w:eastAsia="Palatino Linotype" w:hAnsi="Palatino Linotype" w:cs="Palatino Linotype"/>
          <w:b/>
          <w:sz w:val="24"/>
          <w:szCs w:val="24"/>
        </w:rPr>
        <w:t xml:space="preserve">LA PARTE RECURRENTE </w:t>
      </w:r>
      <w:r>
        <w:rPr>
          <w:rFonts w:ascii="Palatino Linotype" w:eastAsia="Palatino Linotype" w:hAnsi="Palatino Linotype" w:cs="Palatino Linotype"/>
          <w:sz w:val="24"/>
          <w:szCs w:val="24"/>
        </w:rPr>
        <w:t xml:space="preserve">también resultó omiso de emitir sus manifestaciones conforme a derecho le corresponde. </w:t>
      </w:r>
    </w:p>
    <w:p w:rsidR="00F440DA" w:rsidRDefault="00F440DA">
      <w:pPr>
        <w:spacing w:after="0" w:line="360" w:lineRule="auto"/>
        <w:jc w:val="both"/>
        <w:rPr>
          <w:rFonts w:ascii="Palatino Linotype" w:eastAsia="Palatino Linotype" w:hAnsi="Palatino Linotype" w:cs="Palatino Linotype"/>
        </w:rPr>
      </w:pPr>
    </w:p>
    <w:p w:rsidR="00F440DA" w:rsidRDefault="00EA43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esta tesitura, derivado del análisis efectuado, el instituto</w:t>
      </w:r>
      <w:r>
        <w:t xml:space="preserve"> </w:t>
      </w:r>
      <w:r>
        <w:rPr>
          <w:rFonts w:ascii="Palatino Linotype" w:eastAsia="Palatino Linotype" w:hAnsi="Palatino Linotype" w:cs="Palatino Linotype"/>
          <w:sz w:val="24"/>
          <w:szCs w:val="24"/>
        </w:rPr>
        <w:t>determinó MODIFICAR la respuesta y ORDENAR lo siguiente:</w:t>
      </w:r>
    </w:p>
    <w:p w:rsidR="00F440DA" w:rsidRDefault="00F440D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F440DA" w:rsidRDefault="00EA4356">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“SEGUNDO. Se ordena al Sujeto Obligado, haga entrega al Recurrente en términos del Considerando CUARTO de la presente resolución, a través del Sistema de Acceso a la Información Mexiquense (SAIMEX),</w:t>
      </w:r>
      <w:r>
        <w:rPr>
          <w:rFonts w:ascii="Palatino Linotype" w:eastAsia="Palatino Linotype" w:hAnsi="Palatino Linotype" w:cs="Palatino Linotype"/>
          <w:i/>
        </w:rPr>
        <w:t xml:space="preserve"> de ser procedente en versión pública, de lo siguiente:</w:t>
      </w:r>
    </w:p>
    <w:p w:rsidR="00F440DA" w:rsidRDefault="00F440DA">
      <w:pPr>
        <w:spacing w:after="0" w:line="276" w:lineRule="auto"/>
        <w:ind w:left="851" w:right="709"/>
        <w:jc w:val="both"/>
        <w:rPr>
          <w:rFonts w:ascii="Palatino Linotype" w:eastAsia="Palatino Linotype" w:hAnsi="Palatino Linotype" w:cs="Palatino Linotype"/>
          <w:i/>
        </w:rPr>
      </w:pPr>
    </w:p>
    <w:p w:rsidR="00F440DA" w:rsidRDefault="00EA4356">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1.</w:t>
      </w:r>
      <w:r>
        <w:rPr>
          <w:rFonts w:ascii="Palatino Linotype" w:eastAsia="Palatino Linotype" w:hAnsi="Palatino Linotype" w:cs="Palatino Linotype"/>
          <w:i/>
        </w:rPr>
        <w:tab/>
      </w:r>
      <w:r>
        <w:rPr>
          <w:rFonts w:ascii="Palatino Linotype" w:eastAsia="Palatino Linotype" w:hAnsi="Palatino Linotype" w:cs="Palatino Linotype"/>
          <w:i/>
        </w:rPr>
        <w:t>Documentos donde consten estudios, investigaciones y criterios tomados en consideración para cambiar de residencia la Dirección General de Justicia Cotidiana y Protección al Colono y la Dirección de Justicia Cotidiana.</w:t>
      </w:r>
    </w:p>
    <w:p w:rsidR="00F440DA" w:rsidRDefault="00EA4356">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2.</w:t>
      </w:r>
      <w:r>
        <w:rPr>
          <w:rFonts w:ascii="Palatino Linotype" w:eastAsia="Palatino Linotype" w:hAnsi="Palatino Linotype" w:cs="Palatino Linotype"/>
          <w:i/>
        </w:rPr>
        <w:tab/>
        <w:t>Documento donde conste el grado de</w:t>
      </w:r>
      <w:r>
        <w:rPr>
          <w:rFonts w:ascii="Palatino Linotype" w:eastAsia="Palatino Linotype" w:hAnsi="Palatino Linotype" w:cs="Palatino Linotype"/>
          <w:i/>
        </w:rPr>
        <w:t xml:space="preserve"> estudios del Encargado del Despacho de la Dirección General de Justicia Cotidiana y Protección al Colono, referidos en respuesta.</w:t>
      </w:r>
    </w:p>
    <w:p w:rsidR="00F440DA" w:rsidRDefault="00EA4356">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Como sustento de la versión pública, se deberá entregar el Acuerdo del Comité de Transparencia correspondiente, en términos d</w:t>
      </w:r>
      <w:r>
        <w:rPr>
          <w:rFonts w:ascii="Palatino Linotype" w:eastAsia="Palatino Linotype" w:hAnsi="Palatino Linotype" w:cs="Palatino Linotype"/>
          <w:i/>
        </w:rPr>
        <w:t>el artículo 49, fracción VIII y 132 fracción II, de la Ley de Transparencia y Acceso a la Información Pública del Estado de México y Municipios, en el que funde y motive las razones sobre los datos que se supriman o eliminen dentro del soporte documental r</w:t>
      </w:r>
      <w:r>
        <w:rPr>
          <w:rFonts w:ascii="Palatino Linotype" w:eastAsia="Palatino Linotype" w:hAnsi="Palatino Linotype" w:cs="Palatino Linotype"/>
          <w:i/>
        </w:rPr>
        <w:t>espectivo y se ponga a disposición del Recurrente.”</w:t>
      </w:r>
    </w:p>
    <w:p w:rsidR="00F440DA" w:rsidRDefault="00F440DA">
      <w:pPr>
        <w:spacing w:after="0" w:line="360" w:lineRule="auto"/>
        <w:ind w:right="-93"/>
        <w:jc w:val="both"/>
        <w:rPr>
          <w:rFonts w:ascii="Palatino Linotype" w:eastAsia="Palatino Linotype" w:hAnsi="Palatino Linotype" w:cs="Palatino Linotype"/>
        </w:rPr>
      </w:pPr>
    </w:p>
    <w:p w:rsidR="00F440DA" w:rsidRDefault="00EA4356">
      <w:pPr>
        <w:spacing w:after="0" w:line="360" w:lineRule="auto"/>
        <w:ind w:right="142"/>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 Razones del Voto Particular.</w:t>
      </w:r>
    </w:p>
    <w:p w:rsidR="00F440DA" w:rsidRDefault="00F440DA">
      <w:pPr>
        <w:spacing w:after="0" w:line="360" w:lineRule="auto"/>
        <w:ind w:right="142"/>
        <w:jc w:val="both"/>
        <w:rPr>
          <w:rFonts w:ascii="Palatino Linotype" w:eastAsia="Palatino Linotype" w:hAnsi="Palatino Linotype" w:cs="Palatino Linotype"/>
          <w:b/>
          <w:sz w:val="24"/>
          <w:szCs w:val="24"/>
        </w:rPr>
      </w:pPr>
    </w:p>
    <w:p w:rsidR="00F440DA" w:rsidRDefault="00EA435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iniciar la emisión del presente voto, conviene mencionar, que, de manera respetuosa, la suscrita no comparte que se ordenen los documentos donde consten estudios, i</w:t>
      </w:r>
      <w:r>
        <w:rPr>
          <w:rFonts w:ascii="Palatino Linotype" w:eastAsia="Palatino Linotype" w:hAnsi="Palatino Linotype" w:cs="Palatino Linotype"/>
          <w:sz w:val="24"/>
          <w:szCs w:val="24"/>
        </w:rPr>
        <w:t>nvestigaciones y criterios tomados en consideración para cambiar de residencia la Dirección General de Justicia Cotidiana y Protección al Colono y la Dirección de Justicia Cotidiana y el documento donde conste el grado de estudios del Encargado del Despach</w:t>
      </w:r>
      <w:r>
        <w:rPr>
          <w:rFonts w:ascii="Palatino Linotype" w:eastAsia="Palatino Linotype" w:hAnsi="Palatino Linotype" w:cs="Palatino Linotype"/>
          <w:sz w:val="24"/>
          <w:szCs w:val="24"/>
        </w:rPr>
        <w:t>o de la Dirección General de Justicia Cotidiana y Protección al Colono, referidos en respuesta, por lo siguientes motivos:</w:t>
      </w:r>
    </w:p>
    <w:p w:rsidR="00F440DA" w:rsidRDefault="00F440DA">
      <w:pPr>
        <w:spacing w:after="0" w:line="360" w:lineRule="auto"/>
        <w:jc w:val="both"/>
        <w:rPr>
          <w:rFonts w:ascii="Palatino Linotype" w:eastAsia="Palatino Linotype" w:hAnsi="Palatino Linotype" w:cs="Palatino Linotype"/>
          <w:sz w:val="24"/>
          <w:szCs w:val="24"/>
        </w:rPr>
      </w:pPr>
    </w:p>
    <w:p w:rsidR="00F440DA" w:rsidRDefault="00EA4356">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Respecto a los</w:t>
      </w:r>
      <w:r>
        <w:rPr>
          <w:b/>
          <w:color w:val="000000"/>
        </w:rPr>
        <w:t xml:space="preserve"> </w:t>
      </w:r>
      <w:r>
        <w:rPr>
          <w:rFonts w:ascii="Palatino Linotype" w:eastAsia="Palatino Linotype" w:hAnsi="Palatino Linotype" w:cs="Palatino Linotype"/>
          <w:b/>
          <w:color w:val="000000"/>
          <w:sz w:val="24"/>
          <w:szCs w:val="24"/>
        </w:rPr>
        <w:t>estudios, investigaciones y criterios:</w:t>
      </w:r>
    </w:p>
    <w:p w:rsidR="00F440DA" w:rsidRDefault="00F440DA">
      <w:pPr>
        <w:spacing w:after="0" w:line="360" w:lineRule="auto"/>
        <w:jc w:val="both"/>
        <w:rPr>
          <w:rFonts w:ascii="Palatino Linotype" w:eastAsia="Palatino Linotype" w:hAnsi="Palatino Linotype" w:cs="Palatino Linotype"/>
          <w:sz w:val="24"/>
          <w:szCs w:val="24"/>
        </w:rPr>
      </w:pPr>
    </w:p>
    <w:p w:rsidR="00F440DA" w:rsidRDefault="00EA435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 bien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señaló que el actual Gobierno entre sus políticas que rigen su actuar se encuentra el eje rector denominado “Estado de Derecho y Austeridad”, cabe señalar que dicho documento forma parte </w:t>
      </w:r>
      <w:r>
        <w:rPr>
          <w:rFonts w:ascii="Palatino Linotype" w:eastAsia="Palatino Linotype" w:hAnsi="Palatino Linotype" w:cs="Palatino Linotype"/>
          <w:sz w:val="24"/>
          <w:szCs w:val="24"/>
        </w:rPr>
        <w:lastRenderedPageBreak/>
        <w:t>del Plan de Desarrollo del Estado de México 2023-2029, como se advier</w:t>
      </w:r>
      <w:r>
        <w:rPr>
          <w:rFonts w:ascii="Palatino Linotype" w:eastAsia="Palatino Linotype" w:hAnsi="Palatino Linotype" w:cs="Palatino Linotype"/>
          <w:sz w:val="24"/>
          <w:szCs w:val="24"/>
        </w:rPr>
        <w:t>te a continuación:</w:t>
      </w:r>
    </w:p>
    <w:p w:rsidR="00F440DA" w:rsidRDefault="00F440DA">
      <w:pPr>
        <w:spacing w:after="0" w:line="360" w:lineRule="auto"/>
        <w:jc w:val="both"/>
        <w:rPr>
          <w:rFonts w:ascii="Palatino Linotype" w:eastAsia="Palatino Linotype" w:hAnsi="Palatino Linotype" w:cs="Palatino Linotype"/>
          <w:sz w:val="24"/>
          <w:szCs w:val="24"/>
        </w:rPr>
      </w:pPr>
    </w:p>
    <w:p w:rsidR="00F440DA" w:rsidRDefault="00EA435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0" distB="0" distL="0" distR="0">
            <wp:extent cx="4925112" cy="1952898"/>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25112" cy="1952898"/>
                    </a:xfrm>
                    <a:prstGeom prst="rect">
                      <a:avLst/>
                    </a:prstGeom>
                    <a:ln/>
                  </pic:spPr>
                </pic:pic>
              </a:graphicData>
            </a:graphic>
          </wp:inline>
        </w:drawing>
      </w:r>
    </w:p>
    <w:p w:rsidR="00F440DA" w:rsidRDefault="00F440DA">
      <w:pPr>
        <w:spacing w:after="0" w:line="360" w:lineRule="auto"/>
        <w:jc w:val="both"/>
        <w:rPr>
          <w:rFonts w:ascii="Palatino Linotype" w:eastAsia="Palatino Linotype" w:hAnsi="Palatino Linotype" w:cs="Palatino Linotype"/>
          <w:sz w:val="24"/>
          <w:szCs w:val="24"/>
        </w:rPr>
      </w:pPr>
    </w:p>
    <w:p w:rsidR="00F440DA" w:rsidRDefault="00EA435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También lo es, que de una revisión al documento, no se logra advertir que este se da cuenta de lo solicitado. </w:t>
      </w:r>
    </w:p>
    <w:p w:rsidR="00F440DA" w:rsidRDefault="00F440DA">
      <w:pPr>
        <w:spacing w:after="0" w:line="360" w:lineRule="auto"/>
        <w:jc w:val="both"/>
        <w:rPr>
          <w:rFonts w:ascii="Palatino Linotype" w:eastAsia="Palatino Linotype" w:hAnsi="Palatino Linotype" w:cs="Palatino Linotype"/>
          <w:sz w:val="24"/>
          <w:szCs w:val="24"/>
        </w:rPr>
      </w:pPr>
    </w:p>
    <w:p w:rsidR="00F440DA" w:rsidRPr="00B46808" w:rsidRDefault="00EA4356">
      <w:pPr>
        <w:spacing w:after="0" w:line="360" w:lineRule="auto"/>
        <w:jc w:val="both"/>
        <w:rPr>
          <w:rFonts w:ascii="Palatino Linotype" w:eastAsia="Palatino Linotype" w:hAnsi="Palatino Linotype" w:cs="Palatino Linotype"/>
          <w:sz w:val="24"/>
          <w:szCs w:val="24"/>
          <w:highlight w:val="red"/>
        </w:rPr>
      </w:pPr>
      <w:r w:rsidRPr="00B46808">
        <w:rPr>
          <w:rFonts w:ascii="Palatino Linotype" w:eastAsia="Palatino Linotype" w:hAnsi="Palatino Linotype" w:cs="Palatino Linotype"/>
          <w:sz w:val="24"/>
          <w:szCs w:val="24"/>
        </w:rPr>
        <w:t>En este sentido, si bien e</w:t>
      </w:r>
      <w:r w:rsidR="00B46808" w:rsidRPr="00B46808">
        <w:rPr>
          <w:rFonts w:ascii="Palatino Linotype" w:eastAsia="Palatino Linotype" w:hAnsi="Palatino Linotype" w:cs="Palatino Linotype"/>
          <w:sz w:val="24"/>
          <w:szCs w:val="24"/>
        </w:rPr>
        <w:t>n la resolución se señala que, s</w:t>
      </w:r>
      <w:r w:rsidR="00B46808" w:rsidRPr="00B46808">
        <w:rPr>
          <w:rFonts w:ascii="Palatino Linotype" w:eastAsia="Palatino Linotype" w:hAnsi="Palatino Linotype" w:cs="Palatino Linotype"/>
          <w:sz w:val="24"/>
          <w:szCs w:val="24"/>
        </w:rPr>
        <w:t xml:space="preserve">i bien </w:t>
      </w:r>
      <w:r w:rsidR="00B46808" w:rsidRPr="00B46808">
        <w:rPr>
          <w:rFonts w:ascii="Palatino Linotype" w:eastAsia="Palatino Linotype" w:hAnsi="Palatino Linotype" w:cs="Palatino Linotype"/>
          <w:b/>
          <w:sz w:val="24"/>
          <w:szCs w:val="24"/>
        </w:rPr>
        <w:t xml:space="preserve">EL SUJETO OBLIGADO </w:t>
      </w:r>
      <w:r w:rsidR="00B46808" w:rsidRPr="00B46808">
        <w:rPr>
          <w:rFonts w:ascii="Palatino Linotype" w:eastAsia="Palatino Linotype" w:hAnsi="Palatino Linotype" w:cs="Palatino Linotype"/>
          <w:sz w:val="24"/>
          <w:szCs w:val="24"/>
        </w:rPr>
        <w:t>señaló que respecto a los estudios, investigaciones</w:t>
      </w:r>
      <w:r w:rsidR="00B46808" w:rsidRPr="007E5ADD">
        <w:rPr>
          <w:rFonts w:ascii="Palatino Linotype" w:eastAsia="Palatino Linotype" w:hAnsi="Palatino Linotype" w:cs="Palatino Linotype"/>
          <w:sz w:val="24"/>
          <w:szCs w:val="24"/>
        </w:rPr>
        <w:t xml:space="preserve"> y criterios tomados en consideración para cambiar de residencia al organismo</w:t>
      </w:r>
      <w:r w:rsidR="00B46808">
        <w:rPr>
          <w:rFonts w:ascii="Palatino Linotype" w:eastAsia="Palatino Linotype" w:hAnsi="Palatino Linotype" w:cs="Palatino Linotype"/>
          <w:sz w:val="24"/>
          <w:szCs w:val="24"/>
        </w:rPr>
        <w:t xml:space="preserve">, el actual Gobierno entre sus políticas que rigen su actuar se encuentra el eje rector denominado “Estado de Derecho y Austeridad”, </w:t>
      </w:r>
      <w:r>
        <w:rPr>
          <w:rFonts w:ascii="Palatino Linotype" w:eastAsia="Palatino Linotype" w:hAnsi="Palatino Linotype" w:cs="Palatino Linotype"/>
          <w:sz w:val="24"/>
          <w:szCs w:val="24"/>
        </w:rPr>
        <w:t xml:space="preserve">lo cierto es que no se logra advertir la fuente obligacional para generar, poseer o administrar estudios, investigaciones y criterios tomados en consideración para cambiar </w:t>
      </w:r>
      <w:r>
        <w:rPr>
          <w:rFonts w:ascii="Palatino Linotype" w:eastAsia="Palatino Linotype" w:hAnsi="Palatino Linotype" w:cs="Palatino Linotype"/>
          <w:sz w:val="24"/>
          <w:szCs w:val="24"/>
        </w:rPr>
        <w:lastRenderedPageBreak/>
        <w:t>de residencia la Dirección General de Justicia Cotidiana y Protección al Colono y la</w:t>
      </w:r>
      <w:r>
        <w:rPr>
          <w:rFonts w:ascii="Palatino Linotype" w:eastAsia="Palatino Linotype" w:hAnsi="Palatino Linotype" w:cs="Palatino Linotype"/>
          <w:sz w:val="24"/>
          <w:szCs w:val="24"/>
        </w:rPr>
        <w:t xml:space="preserve"> Dirección de Justicia Cotidiana. </w:t>
      </w:r>
    </w:p>
    <w:p w:rsidR="00F440DA" w:rsidRDefault="00F440DA">
      <w:pPr>
        <w:spacing w:after="0" w:line="360" w:lineRule="auto"/>
        <w:ind w:right="-93"/>
        <w:jc w:val="both"/>
        <w:rPr>
          <w:rFonts w:ascii="Palatino Linotype" w:eastAsia="Palatino Linotype" w:hAnsi="Palatino Linotype" w:cs="Palatino Linotype"/>
          <w:b/>
          <w:sz w:val="24"/>
          <w:szCs w:val="24"/>
        </w:rPr>
      </w:pPr>
    </w:p>
    <w:p w:rsidR="00F440DA" w:rsidRDefault="00EA4356">
      <w:pPr>
        <w:spacing w:after="0" w:line="360" w:lineRule="auto"/>
        <w:ind w:right="-93"/>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este sentido conviene señalar que los sujetos obligados deben atender las solicitudes de información en términos de lo establecido en los artículos 12, segundo párrafo, y 24, último párrafo, de la Ley de Transparencia</w:t>
      </w:r>
      <w:r>
        <w:rPr>
          <w:rFonts w:ascii="Palatino Linotype" w:eastAsia="Palatino Linotype" w:hAnsi="Palatino Linotype" w:cs="Palatino Linotype"/>
          <w:color w:val="000000"/>
          <w:sz w:val="24"/>
          <w:szCs w:val="24"/>
        </w:rPr>
        <w:t xml:space="preserve"> y Acceso a la Información Pública del Estado de México y Municipios, que son del tenor siguiente:</w:t>
      </w:r>
    </w:p>
    <w:p w:rsidR="00F440DA" w:rsidRDefault="00F440DA">
      <w:pPr>
        <w:spacing w:after="0" w:line="360" w:lineRule="auto"/>
        <w:ind w:right="-93"/>
        <w:jc w:val="both"/>
        <w:rPr>
          <w:rFonts w:ascii="Palatino Linotype" w:eastAsia="Palatino Linotype" w:hAnsi="Palatino Linotype" w:cs="Palatino Linotype"/>
          <w:color w:val="000000"/>
          <w:sz w:val="24"/>
          <w:szCs w:val="24"/>
        </w:rPr>
      </w:pPr>
    </w:p>
    <w:p w:rsidR="00F440DA" w:rsidRDefault="00EA4356">
      <w:pPr>
        <w:spacing w:after="0" w:line="276" w:lineRule="auto"/>
        <w:ind w:left="567" w:right="618"/>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12.</w:t>
      </w:r>
      <w:r>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w:t>
      </w:r>
      <w:r>
        <w:rPr>
          <w:rFonts w:ascii="Palatino Linotype" w:eastAsia="Palatino Linotype" w:hAnsi="Palatino Linotype" w:cs="Palatino Linotype"/>
          <w:i/>
          <w:color w:val="000000"/>
        </w:rPr>
        <w:t>minos de las disposiciones jurídicas aplicables.</w:t>
      </w:r>
    </w:p>
    <w:p w:rsidR="00F440DA" w:rsidRDefault="00F440DA">
      <w:pPr>
        <w:spacing w:after="0" w:line="276" w:lineRule="auto"/>
        <w:ind w:left="567" w:right="618"/>
        <w:jc w:val="both"/>
        <w:rPr>
          <w:rFonts w:ascii="Palatino Linotype" w:eastAsia="Palatino Linotype" w:hAnsi="Palatino Linotype" w:cs="Palatino Linotype"/>
          <w:i/>
          <w:color w:val="000000"/>
        </w:rPr>
      </w:pPr>
    </w:p>
    <w:p w:rsidR="00F440DA" w:rsidRDefault="00EA4356">
      <w:pPr>
        <w:spacing w:after="0" w:line="276" w:lineRule="auto"/>
        <w:ind w:left="567" w:right="618"/>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u w:val="single"/>
        </w:rPr>
        <w:t xml:space="preserve">Los sujetos obligados sólo proporcionarán la información pública que se les requiera y que obre en sus archivos </w:t>
      </w:r>
      <w:r>
        <w:rPr>
          <w:rFonts w:ascii="Palatino Linotype" w:eastAsia="Palatino Linotype" w:hAnsi="Palatino Linotype" w:cs="Palatino Linotype"/>
          <w:i/>
          <w:color w:val="000000"/>
          <w:u w:val="single"/>
        </w:rPr>
        <w:t>y en el estado en que ésta se encuentre.</w:t>
      </w:r>
      <w:r>
        <w:rPr>
          <w:rFonts w:ascii="Palatino Linotype" w:eastAsia="Palatino Linotype" w:hAnsi="Palatino Linotype" w:cs="Palatino Linotype"/>
          <w:i/>
          <w:color w:val="000000"/>
        </w:rPr>
        <w:t xml:space="preserve"> La obligación de proporcionar información </w:t>
      </w:r>
      <w:r>
        <w:rPr>
          <w:rFonts w:ascii="Palatino Linotype" w:eastAsia="Palatino Linotype" w:hAnsi="Palatino Linotype" w:cs="Palatino Linotype"/>
          <w:b/>
          <w:i/>
          <w:color w:val="000000"/>
          <w:u w:val="single"/>
        </w:rPr>
        <w:t>no comprend</w:t>
      </w:r>
      <w:r>
        <w:rPr>
          <w:rFonts w:ascii="Palatino Linotype" w:eastAsia="Palatino Linotype" w:hAnsi="Palatino Linotype" w:cs="Palatino Linotype"/>
          <w:b/>
          <w:i/>
          <w:color w:val="000000"/>
          <w:u w:val="single"/>
        </w:rPr>
        <w:t>e el procesamiento de la misma, ni el presentarla conforme al interés del solicitante; no estarán obligados a generarla,</w:t>
      </w:r>
      <w:r>
        <w:rPr>
          <w:rFonts w:ascii="Palatino Linotype" w:eastAsia="Palatino Linotype" w:hAnsi="Palatino Linotype" w:cs="Palatino Linotype"/>
          <w:i/>
          <w:color w:val="000000"/>
        </w:rPr>
        <w:t xml:space="preserve"> resumirla, efectuar cálculos o practicar investigaciones.</w:t>
      </w:r>
    </w:p>
    <w:p w:rsidR="00F440DA" w:rsidRDefault="00F440DA">
      <w:pPr>
        <w:spacing w:after="0" w:line="276" w:lineRule="auto"/>
        <w:ind w:left="567" w:right="618"/>
        <w:jc w:val="both"/>
        <w:rPr>
          <w:rFonts w:ascii="Palatino Linotype" w:eastAsia="Palatino Linotype" w:hAnsi="Palatino Linotype" w:cs="Palatino Linotype"/>
          <w:b/>
          <w:i/>
          <w:color w:val="000000"/>
        </w:rPr>
      </w:pPr>
    </w:p>
    <w:p w:rsidR="00F440DA" w:rsidRDefault="00EA4356">
      <w:pPr>
        <w:spacing w:after="0" w:line="276" w:lineRule="auto"/>
        <w:ind w:left="567" w:right="618"/>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24.</w:t>
      </w:r>
      <w:r>
        <w:rPr>
          <w:rFonts w:ascii="Palatino Linotype" w:eastAsia="Palatino Linotype" w:hAnsi="Palatino Linotype" w:cs="Palatino Linotype"/>
          <w:i/>
          <w:color w:val="000000"/>
        </w:rPr>
        <w:t xml:space="preserve"> Para el cumplimiento de los objetivos de esta Ley, los sujetos obligados deberán cumplir con las siguientes obligaciones, según corresponda, de acuerdo a su naturaleza:</w:t>
      </w:r>
    </w:p>
    <w:p w:rsidR="00F440DA" w:rsidRDefault="00EA4356">
      <w:pPr>
        <w:spacing w:after="0" w:line="276" w:lineRule="auto"/>
        <w:ind w:left="567"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rsidR="00F440DA" w:rsidRDefault="00EA4356">
      <w:pPr>
        <w:spacing w:after="0" w:line="276" w:lineRule="auto"/>
        <w:ind w:left="567" w:right="618"/>
        <w:jc w:val="both"/>
        <w:rPr>
          <w:rFonts w:ascii="Palatino Linotype" w:eastAsia="Palatino Linotype" w:hAnsi="Palatino Linotype" w:cs="Palatino Linotype"/>
          <w:b/>
          <w:i/>
          <w:color w:val="000000"/>
          <w:u w:val="single"/>
        </w:rPr>
      </w:pPr>
      <w:r>
        <w:rPr>
          <w:rFonts w:ascii="Palatino Linotype" w:eastAsia="Palatino Linotype" w:hAnsi="Palatino Linotype" w:cs="Palatino Linotype"/>
          <w:i/>
          <w:color w:val="000000"/>
        </w:rPr>
        <w:t xml:space="preserve">Los sujetos obligados </w:t>
      </w:r>
      <w:r>
        <w:rPr>
          <w:rFonts w:ascii="Palatino Linotype" w:eastAsia="Palatino Linotype" w:hAnsi="Palatino Linotype" w:cs="Palatino Linotype"/>
          <w:b/>
          <w:i/>
          <w:color w:val="000000"/>
          <w:u w:val="single"/>
        </w:rPr>
        <w:t>solo proporcionarán la información pública que generen, admin</w:t>
      </w:r>
      <w:r>
        <w:rPr>
          <w:rFonts w:ascii="Palatino Linotype" w:eastAsia="Palatino Linotype" w:hAnsi="Palatino Linotype" w:cs="Palatino Linotype"/>
          <w:b/>
          <w:i/>
          <w:color w:val="000000"/>
          <w:u w:val="single"/>
        </w:rPr>
        <w:t xml:space="preserve">istren o posean en el ejercicio de sus atribuciones. </w:t>
      </w:r>
      <w:r>
        <w:rPr>
          <w:rFonts w:ascii="Palatino Linotype" w:eastAsia="Palatino Linotype" w:hAnsi="Palatino Linotype" w:cs="Palatino Linotype"/>
          <w:color w:val="000000"/>
        </w:rPr>
        <w:t>“</w:t>
      </w:r>
    </w:p>
    <w:p w:rsidR="00F440DA" w:rsidRDefault="00F440DA">
      <w:pPr>
        <w:spacing w:after="0" w:line="360" w:lineRule="auto"/>
        <w:ind w:left="567" w:right="616"/>
        <w:jc w:val="both"/>
        <w:rPr>
          <w:rFonts w:ascii="Palatino Linotype" w:eastAsia="Palatino Linotype" w:hAnsi="Palatino Linotype" w:cs="Palatino Linotype"/>
          <w:color w:val="000000"/>
          <w:sz w:val="24"/>
          <w:szCs w:val="24"/>
        </w:rPr>
      </w:pPr>
    </w:p>
    <w:p w:rsidR="00F440DA" w:rsidRDefault="00EA4356">
      <w:pP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Lo anterior, tiene sustento y se robustece con el Criterio número 03/17 emitido por el Instituto Nacional de Transparencia, Acceso a la Información y Protección de Datos Personales (INAI), que se inse</w:t>
      </w:r>
      <w:r>
        <w:rPr>
          <w:rFonts w:ascii="Palatino Linotype" w:eastAsia="Palatino Linotype" w:hAnsi="Palatino Linotype" w:cs="Palatino Linotype"/>
          <w:color w:val="000000"/>
          <w:sz w:val="24"/>
          <w:szCs w:val="24"/>
        </w:rPr>
        <w:t>rta a continuación:</w:t>
      </w:r>
    </w:p>
    <w:p w:rsidR="00F440DA" w:rsidRDefault="00F440DA">
      <w:pPr>
        <w:spacing w:after="0" w:line="360" w:lineRule="auto"/>
        <w:ind w:left="567" w:right="616"/>
        <w:jc w:val="both"/>
        <w:rPr>
          <w:rFonts w:ascii="Palatino Linotype" w:eastAsia="Palatino Linotype" w:hAnsi="Palatino Linotype" w:cs="Palatino Linotype"/>
          <w:color w:val="000000"/>
          <w:sz w:val="24"/>
          <w:szCs w:val="24"/>
        </w:rPr>
      </w:pPr>
    </w:p>
    <w:p w:rsidR="00F440DA" w:rsidRDefault="00EA4356" w:rsidP="00B46808">
      <w:pPr>
        <w:spacing w:after="0" w:line="276" w:lineRule="auto"/>
        <w:ind w:left="567"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“No existe obligación de elaborar documentos ad hoc para atender las solicitudes de acceso a la información. </w:t>
      </w:r>
      <w:r>
        <w:rPr>
          <w:rFonts w:ascii="Palatino Linotype" w:eastAsia="Palatino Linotype" w:hAnsi="Palatino Linotype" w:cs="Palatino Linotype"/>
          <w:i/>
          <w:color w:val="000000"/>
        </w:rPr>
        <w:t>Los artículos 129 de la Ley General de Transparencia y Acceso a la Información Pública y 130, párrafo cuarto, de la Ley Federa</w:t>
      </w:r>
      <w:r>
        <w:rPr>
          <w:rFonts w:ascii="Palatino Linotype" w:eastAsia="Palatino Linotype" w:hAnsi="Palatino Linotype" w:cs="Palatino Linotype"/>
          <w:i/>
          <w:color w:val="000000"/>
        </w:rPr>
        <w:t>l de Transparencia y Acceso a la Información Pública, señalan que los sujetos obligados deberán otorgar acceso a los documentos que se encuentren en sus archivos o que estén obligados a documentar, de acuerdo con sus facultades, competencias o funciones, c</w:t>
      </w:r>
      <w:r>
        <w:rPr>
          <w:rFonts w:ascii="Palatino Linotype" w:eastAsia="Palatino Linotype" w:hAnsi="Palatino Linotype" w:cs="Palatino Linotype"/>
          <w:i/>
          <w:color w:val="000000"/>
        </w:rPr>
        <w:t>onforme a las características físicas de la información o del lugar donde se encuentre. Por lo anterior, los sujetos obligados deben garantizar el derecho de acceso a la información del particular, proporcionando la información con la que cuentan en el for</w:t>
      </w:r>
      <w:r>
        <w:rPr>
          <w:rFonts w:ascii="Palatino Linotype" w:eastAsia="Palatino Linotype" w:hAnsi="Palatino Linotype" w:cs="Palatino Linotype"/>
          <w:i/>
          <w:color w:val="000000"/>
        </w:rPr>
        <w:t>mato en que la misma obre en sus archivos; sin necesidad de elaborar documentos ad hoc para atender las solicitudes de información.</w:t>
      </w:r>
    </w:p>
    <w:p w:rsidR="00F440DA" w:rsidRDefault="00F440DA" w:rsidP="00B46808">
      <w:pPr>
        <w:spacing w:after="0" w:line="276" w:lineRule="auto"/>
        <w:ind w:left="567" w:right="618"/>
        <w:contextualSpacing/>
        <w:jc w:val="both"/>
        <w:rPr>
          <w:rFonts w:ascii="Palatino Linotype" w:eastAsia="Palatino Linotype" w:hAnsi="Palatino Linotype" w:cs="Palatino Linotype"/>
          <w:b/>
          <w:i/>
          <w:color w:val="000000"/>
        </w:rPr>
      </w:pPr>
    </w:p>
    <w:p w:rsidR="00F440DA" w:rsidRDefault="00EA4356" w:rsidP="00B46808">
      <w:pPr>
        <w:spacing w:after="0" w:line="276" w:lineRule="auto"/>
        <w:ind w:left="567" w:right="618"/>
        <w:contextualSpacing/>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Resoluciones:</w:t>
      </w:r>
    </w:p>
    <w:p w:rsidR="00F440DA" w:rsidRDefault="00EA4356" w:rsidP="00B46808">
      <w:pPr>
        <w:numPr>
          <w:ilvl w:val="0"/>
          <w:numId w:val="3"/>
        </w:numPr>
        <w:spacing w:after="0" w:line="276" w:lineRule="auto"/>
        <w:ind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RRA 0050/16.</w:t>
      </w:r>
      <w:r>
        <w:rPr>
          <w:rFonts w:ascii="Palatino Linotype" w:eastAsia="Palatino Linotype" w:hAnsi="Palatino Linotype" w:cs="Palatino Linotype"/>
          <w:i/>
          <w:color w:val="000000"/>
        </w:rPr>
        <w:t xml:space="preserve"> Instituto Nacional para la Evaluación de la Educación. 13 julio de 2016. Por unanimidad. Comisio</w:t>
      </w:r>
      <w:r>
        <w:rPr>
          <w:rFonts w:ascii="Palatino Linotype" w:eastAsia="Palatino Linotype" w:hAnsi="Palatino Linotype" w:cs="Palatino Linotype"/>
          <w:i/>
          <w:color w:val="000000"/>
        </w:rPr>
        <w:t>nado Ponente: Francisco Javier Acuña Llamas.</w:t>
      </w:r>
    </w:p>
    <w:p w:rsidR="00F440DA" w:rsidRDefault="00EA4356" w:rsidP="00B46808">
      <w:pPr>
        <w:numPr>
          <w:ilvl w:val="0"/>
          <w:numId w:val="3"/>
        </w:numPr>
        <w:spacing w:after="0" w:line="276" w:lineRule="auto"/>
        <w:ind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RRA 0310/16. </w:t>
      </w:r>
      <w:r>
        <w:rPr>
          <w:rFonts w:ascii="Palatino Linotype" w:eastAsia="Palatino Linotype" w:hAnsi="Palatino Linotype" w:cs="Palatino Linotype"/>
          <w:i/>
          <w:color w:val="000000"/>
        </w:rPr>
        <w:t>Instituto Nacional de Transparencia, Acceso a la Información y Protección de Datos Personales. 10 de agosto de 2016. Por unanimidad. Comisionada Ponente. Areli Cano Guadiana.</w:t>
      </w:r>
    </w:p>
    <w:p w:rsidR="00F440DA" w:rsidRDefault="00EA4356" w:rsidP="00B46808">
      <w:pPr>
        <w:numPr>
          <w:ilvl w:val="0"/>
          <w:numId w:val="3"/>
        </w:numPr>
        <w:spacing w:after="0" w:line="276" w:lineRule="auto"/>
        <w:ind w:right="618"/>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RRA 1889/16. </w:t>
      </w:r>
      <w:r>
        <w:rPr>
          <w:rFonts w:ascii="Palatino Linotype" w:eastAsia="Palatino Linotype" w:hAnsi="Palatino Linotype" w:cs="Palatino Linotype"/>
          <w:i/>
          <w:color w:val="000000"/>
        </w:rPr>
        <w:t>Secretaría</w:t>
      </w:r>
      <w:r>
        <w:rPr>
          <w:rFonts w:ascii="Palatino Linotype" w:eastAsia="Palatino Linotype" w:hAnsi="Palatino Linotype" w:cs="Palatino Linotype"/>
          <w:i/>
          <w:color w:val="000000"/>
        </w:rPr>
        <w:t xml:space="preserve"> de Hacienda y Crédito Público. 05 de octubre de 2016. Por unanimidad. Comisionada Ponente. Ximena Puente de la Mora.”</w:t>
      </w:r>
    </w:p>
    <w:p w:rsidR="00F440DA" w:rsidRDefault="00F440DA">
      <w:pPr>
        <w:spacing w:after="0" w:line="360" w:lineRule="auto"/>
        <w:ind w:left="567" w:right="616"/>
        <w:jc w:val="both"/>
        <w:rPr>
          <w:rFonts w:ascii="Palatino Linotype" w:eastAsia="Palatino Linotype" w:hAnsi="Palatino Linotype" w:cs="Palatino Linotype"/>
          <w:color w:val="000000"/>
          <w:sz w:val="24"/>
          <w:szCs w:val="24"/>
        </w:rPr>
      </w:pPr>
    </w:p>
    <w:p w:rsidR="00F440DA" w:rsidRDefault="00EA4356">
      <w:pP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Así, y de conformidad con lo antes señalado,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sólo proporcionará la información que obra en sus archivos, lo que a </w:t>
      </w:r>
      <w:r>
        <w:rPr>
          <w:rFonts w:ascii="Palatino Linotype" w:eastAsia="Palatino Linotype" w:hAnsi="Palatino Linotype" w:cs="Palatino Linotype"/>
          <w:i/>
          <w:color w:val="000000"/>
          <w:sz w:val="24"/>
          <w:szCs w:val="24"/>
        </w:rPr>
        <w:t>contrario sensu</w:t>
      </w:r>
      <w:r>
        <w:rPr>
          <w:rFonts w:ascii="Palatino Linotype" w:eastAsia="Palatino Linotype" w:hAnsi="Palatino Linotype" w:cs="Palatino Linotype"/>
          <w:color w:val="000000"/>
          <w:sz w:val="24"/>
          <w:szCs w:val="24"/>
        </w:rPr>
        <w:t xml:space="preserve"> significa que no se está obligado a proporcionar lo que no obre en sus archivos. </w:t>
      </w:r>
    </w:p>
    <w:p w:rsidR="00F440DA" w:rsidRDefault="00F440DA">
      <w:pPr>
        <w:spacing w:after="0" w:line="360" w:lineRule="auto"/>
        <w:ind w:right="49"/>
        <w:jc w:val="both"/>
        <w:rPr>
          <w:rFonts w:ascii="Palatino Linotype" w:eastAsia="Palatino Linotype" w:hAnsi="Palatino Linotype" w:cs="Palatino Linotype"/>
          <w:color w:val="000000"/>
          <w:sz w:val="24"/>
          <w:szCs w:val="24"/>
        </w:rPr>
      </w:pPr>
    </w:p>
    <w:p w:rsidR="00482539" w:rsidRDefault="00EA4356">
      <w:pP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este sentido al no establecerse la fuente obligacional dentro de</w:t>
      </w:r>
      <w:r>
        <w:rPr>
          <w:rFonts w:ascii="Palatino Linotype" w:eastAsia="Palatino Linotype" w:hAnsi="Palatino Linotype" w:cs="Palatino Linotype"/>
          <w:sz w:val="24"/>
          <w:szCs w:val="24"/>
        </w:rPr>
        <w:t xml:space="preserve"> la resolución que resuelve el </w:t>
      </w:r>
      <w:r>
        <w:rPr>
          <w:rFonts w:ascii="Palatino Linotype" w:eastAsia="Palatino Linotype" w:hAnsi="Palatino Linotype" w:cs="Palatino Linotype"/>
          <w:color w:val="000000"/>
          <w:sz w:val="24"/>
          <w:szCs w:val="24"/>
        </w:rPr>
        <w:t>recurso de revisión que dio origen al presente voto en el q</w:t>
      </w:r>
      <w:r>
        <w:rPr>
          <w:rFonts w:ascii="Palatino Linotype" w:eastAsia="Palatino Linotype" w:hAnsi="Palatino Linotype" w:cs="Palatino Linotype"/>
          <w:color w:val="000000"/>
          <w:sz w:val="24"/>
          <w:szCs w:val="24"/>
        </w:rPr>
        <w:t xml:space="preserve">ue se advierta que </w:t>
      </w:r>
      <w:r>
        <w:rPr>
          <w:rFonts w:ascii="Palatino Linotype" w:eastAsia="Palatino Linotype" w:hAnsi="Palatino Linotype" w:cs="Palatino Linotype"/>
          <w:b/>
          <w:color w:val="000000"/>
          <w:sz w:val="24"/>
          <w:szCs w:val="24"/>
        </w:rPr>
        <w:t xml:space="preserve">EL SUJETO OBLIGADO </w:t>
      </w:r>
      <w:r>
        <w:rPr>
          <w:rFonts w:ascii="Palatino Linotype" w:eastAsia="Palatino Linotype" w:hAnsi="Palatino Linotype" w:cs="Palatino Linotype"/>
          <w:sz w:val="24"/>
          <w:szCs w:val="24"/>
        </w:rPr>
        <w:t xml:space="preserve">cuenta </w:t>
      </w:r>
      <w:r>
        <w:rPr>
          <w:rFonts w:ascii="Palatino Linotype" w:eastAsia="Palatino Linotype" w:hAnsi="Palatino Linotype" w:cs="Palatino Linotype"/>
          <w:color w:val="000000"/>
          <w:sz w:val="24"/>
          <w:szCs w:val="24"/>
        </w:rPr>
        <w:t>con funciones y atribuciones par</w:t>
      </w:r>
      <w:r>
        <w:rPr>
          <w:rFonts w:ascii="Palatino Linotype" w:eastAsia="Palatino Linotype" w:hAnsi="Palatino Linotype" w:cs="Palatino Linotype"/>
          <w:sz w:val="24"/>
          <w:szCs w:val="24"/>
        </w:rPr>
        <w:t>a que obren en sus archivos los</w:t>
      </w:r>
      <w:r>
        <w:rPr>
          <w:rFonts w:ascii="Palatino Linotype" w:eastAsia="Palatino Linotype" w:hAnsi="Palatino Linotype" w:cs="Palatino Linotype"/>
          <w:color w:val="000000"/>
          <w:sz w:val="24"/>
          <w:szCs w:val="24"/>
        </w:rPr>
        <w:t xml:space="preserve"> documentos donde consten </w:t>
      </w:r>
      <w:r>
        <w:rPr>
          <w:rFonts w:ascii="Palatino Linotype" w:eastAsia="Palatino Linotype" w:hAnsi="Palatino Linotype" w:cs="Palatino Linotype"/>
          <w:sz w:val="24"/>
          <w:szCs w:val="24"/>
        </w:rPr>
        <w:t xml:space="preserve">específicamente </w:t>
      </w:r>
      <w:r>
        <w:rPr>
          <w:rFonts w:ascii="Palatino Linotype" w:eastAsia="Palatino Linotype" w:hAnsi="Palatino Linotype" w:cs="Palatino Linotype"/>
          <w:color w:val="000000"/>
          <w:sz w:val="24"/>
          <w:szCs w:val="24"/>
        </w:rPr>
        <w:t>los estudios, investigaciones y criterios tomados en consideración para cambiar de residencia la Dirección</w:t>
      </w:r>
      <w:r>
        <w:rPr>
          <w:rFonts w:ascii="Palatino Linotype" w:eastAsia="Palatino Linotype" w:hAnsi="Palatino Linotype" w:cs="Palatino Linotype"/>
          <w:color w:val="000000"/>
          <w:sz w:val="24"/>
          <w:szCs w:val="24"/>
        </w:rPr>
        <w:t xml:space="preserve"> General de Justicia Cotidiana y Protección al Colono y la</w:t>
      </w:r>
      <w:r w:rsidR="00482539">
        <w:rPr>
          <w:rFonts w:ascii="Palatino Linotype" w:eastAsia="Palatino Linotype" w:hAnsi="Palatino Linotype" w:cs="Palatino Linotype"/>
          <w:color w:val="000000"/>
          <w:sz w:val="24"/>
          <w:szCs w:val="24"/>
        </w:rPr>
        <w:t xml:space="preserve"> Dirección de Justicia Cotidiana, no se logra observar que cuente con congruencia este punto de la solicitud, de conformidad a lo siguiente:</w:t>
      </w:r>
    </w:p>
    <w:p w:rsidR="00482539" w:rsidRDefault="00482539">
      <w:pPr>
        <w:spacing w:after="0" w:line="360" w:lineRule="auto"/>
        <w:ind w:right="49"/>
        <w:jc w:val="both"/>
        <w:rPr>
          <w:rFonts w:ascii="Palatino Linotype" w:eastAsia="Palatino Linotype" w:hAnsi="Palatino Linotype" w:cs="Palatino Linotype"/>
          <w:color w:val="000000"/>
          <w:sz w:val="24"/>
          <w:szCs w:val="24"/>
        </w:rPr>
      </w:pPr>
    </w:p>
    <w:p w:rsidR="00482539" w:rsidRDefault="00482539" w:rsidP="00482539">
      <w:pPr>
        <w:shd w:val="clear" w:color="auto" w:fill="FFFFFF"/>
        <w:spacing w:before="100" w:beforeAutospacing="1" w:after="100" w:afterAutospacing="1" w:line="276" w:lineRule="auto"/>
        <w:ind w:left="851" w:right="567"/>
        <w:contextualSpacing/>
        <w:jc w:val="both"/>
        <w:rPr>
          <w:rFonts w:ascii="Palatino Linotype" w:eastAsia="Times New Roman" w:hAnsi="Palatino Linotype"/>
          <w:b/>
          <w:bCs/>
          <w:i/>
          <w:color w:val="212529"/>
          <w:szCs w:val="23"/>
        </w:rPr>
      </w:pPr>
      <w:r w:rsidRPr="00482539">
        <w:rPr>
          <w:rFonts w:ascii="Palatino Linotype" w:eastAsia="Times New Roman" w:hAnsi="Palatino Linotype"/>
          <w:b/>
          <w:bCs/>
          <w:i/>
          <w:color w:val="212529"/>
          <w:szCs w:val="23"/>
        </w:rPr>
        <w:t>Regi</w:t>
      </w:r>
      <w:r>
        <w:rPr>
          <w:rFonts w:ascii="Palatino Linotype" w:eastAsia="Times New Roman" w:hAnsi="Palatino Linotype"/>
          <w:b/>
          <w:bCs/>
          <w:i/>
          <w:color w:val="212529"/>
          <w:szCs w:val="23"/>
        </w:rPr>
        <w:t xml:space="preserve">stro digital: 272666 Instancia: Tercera Sala Sexta Época Materia(s): Común </w:t>
      </w:r>
      <w:r w:rsidRPr="00482539">
        <w:rPr>
          <w:rFonts w:ascii="Palatino Linotype" w:eastAsia="Times New Roman" w:hAnsi="Palatino Linotype"/>
          <w:b/>
          <w:bCs/>
          <w:i/>
          <w:color w:val="212529"/>
          <w:szCs w:val="23"/>
        </w:rPr>
        <w:t>Fuente: Seman</w:t>
      </w:r>
      <w:r>
        <w:rPr>
          <w:rFonts w:ascii="Palatino Linotype" w:eastAsia="Times New Roman" w:hAnsi="Palatino Linotype"/>
          <w:b/>
          <w:bCs/>
          <w:i/>
          <w:color w:val="212529"/>
          <w:szCs w:val="23"/>
        </w:rPr>
        <w:t xml:space="preserve">ario Judicial de la Federación. </w:t>
      </w:r>
      <w:r w:rsidRPr="00482539">
        <w:rPr>
          <w:rFonts w:ascii="Palatino Linotype" w:eastAsia="Times New Roman" w:hAnsi="Palatino Linotype"/>
          <w:b/>
          <w:bCs/>
          <w:i/>
          <w:color w:val="212529"/>
          <w:szCs w:val="23"/>
        </w:rPr>
        <w:t>Volum</w:t>
      </w:r>
      <w:r>
        <w:rPr>
          <w:rFonts w:ascii="Palatino Linotype" w:eastAsia="Times New Roman" w:hAnsi="Palatino Linotype"/>
          <w:b/>
          <w:bCs/>
          <w:i/>
          <w:color w:val="212529"/>
          <w:szCs w:val="23"/>
        </w:rPr>
        <w:t xml:space="preserve">en XI, Cuarta Parte, página 193 </w:t>
      </w:r>
      <w:r w:rsidRPr="00482539">
        <w:rPr>
          <w:rFonts w:ascii="Palatino Linotype" w:eastAsia="Times New Roman" w:hAnsi="Palatino Linotype"/>
          <w:b/>
          <w:bCs/>
          <w:i/>
          <w:color w:val="212529"/>
          <w:szCs w:val="23"/>
        </w:rPr>
        <w:t>Tipo: Aislada</w:t>
      </w:r>
      <w:r>
        <w:rPr>
          <w:rFonts w:ascii="Palatino Linotype" w:eastAsia="Times New Roman" w:hAnsi="Palatino Linotype"/>
          <w:b/>
          <w:bCs/>
          <w:i/>
          <w:color w:val="212529"/>
          <w:szCs w:val="23"/>
        </w:rPr>
        <w:t xml:space="preserve"> </w:t>
      </w:r>
    </w:p>
    <w:p w:rsidR="00482539" w:rsidRDefault="00482539" w:rsidP="00482539">
      <w:pPr>
        <w:shd w:val="clear" w:color="auto" w:fill="FFFFFF"/>
        <w:spacing w:before="100" w:beforeAutospacing="1" w:after="100" w:afterAutospacing="1" w:line="276" w:lineRule="auto"/>
        <w:ind w:left="851" w:right="567"/>
        <w:contextualSpacing/>
        <w:jc w:val="both"/>
        <w:rPr>
          <w:rFonts w:ascii="Palatino Linotype" w:eastAsia="Times New Roman" w:hAnsi="Palatino Linotype"/>
          <w:b/>
          <w:bCs/>
          <w:i/>
          <w:color w:val="212529"/>
          <w:szCs w:val="23"/>
        </w:rPr>
      </w:pPr>
    </w:p>
    <w:p w:rsidR="00482539" w:rsidRPr="00482539" w:rsidRDefault="00482539" w:rsidP="00482539">
      <w:pPr>
        <w:shd w:val="clear" w:color="auto" w:fill="FFFFFF"/>
        <w:spacing w:before="100" w:beforeAutospacing="1" w:after="100" w:afterAutospacing="1" w:line="276" w:lineRule="auto"/>
        <w:ind w:left="851" w:right="567"/>
        <w:contextualSpacing/>
        <w:jc w:val="both"/>
        <w:rPr>
          <w:rFonts w:ascii="Palatino Linotype" w:eastAsia="Times New Roman" w:hAnsi="Palatino Linotype"/>
          <w:b/>
          <w:bCs/>
          <w:i/>
          <w:color w:val="212529"/>
          <w:szCs w:val="23"/>
        </w:rPr>
      </w:pPr>
      <w:r w:rsidRPr="00482539">
        <w:rPr>
          <w:rFonts w:ascii="Palatino Linotype" w:eastAsia="Times New Roman" w:hAnsi="Palatino Linotype"/>
          <w:b/>
          <w:bCs/>
          <w:i/>
          <w:color w:val="212529"/>
          <w:szCs w:val="23"/>
        </w:rPr>
        <w:t>SENTENCIAS, CONGRUENCIA DE LAS.</w:t>
      </w:r>
    </w:p>
    <w:p w:rsidR="00482539" w:rsidRPr="00482539" w:rsidRDefault="00482539" w:rsidP="00482539">
      <w:pPr>
        <w:spacing w:after="0" w:line="276" w:lineRule="auto"/>
        <w:ind w:left="851" w:right="567"/>
        <w:contextualSpacing/>
        <w:rPr>
          <w:rFonts w:ascii="Palatino Linotype" w:eastAsia="Times New Roman" w:hAnsi="Palatino Linotype" w:cs="Times New Roman"/>
          <w:i/>
          <w:szCs w:val="24"/>
        </w:rPr>
      </w:pPr>
    </w:p>
    <w:p w:rsidR="00482539" w:rsidRPr="00482539" w:rsidRDefault="00482539" w:rsidP="00482539">
      <w:pPr>
        <w:shd w:val="clear" w:color="auto" w:fill="FFFFFF"/>
        <w:spacing w:before="100" w:beforeAutospacing="1" w:after="100" w:afterAutospacing="1" w:line="276" w:lineRule="auto"/>
        <w:ind w:left="851" w:right="567"/>
        <w:contextualSpacing/>
        <w:jc w:val="both"/>
        <w:rPr>
          <w:rFonts w:ascii="Palatino Linotype" w:eastAsia="Times New Roman" w:hAnsi="Palatino Linotype"/>
          <w:i/>
          <w:color w:val="212529"/>
          <w:szCs w:val="23"/>
        </w:rPr>
      </w:pPr>
      <w:r w:rsidRPr="00482539">
        <w:rPr>
          <w:rFonts w:ascii="Palatino Linotype" w:eastAsia="Times New Roman" w:hAnsi="Palatino Linotype"/>
          <w:i/>
          <w:color w:val="212529"/>
          <w:szCs w:val="23"/>
        </w:rPr>
        <w:t xml:space="preserve">El principio de congruencia de las sentencias estriba en que éstas deben dictarse en concordancia con la demanda y con la contestación formuladas por las partes, y en que no contengan resoluciones ni afirmaciones que se contradigan entre sí. El primer aspecto constituye la congruencia externa </w:t>
      </w:r>
      <w:r w:rsidRPr="00482539">
        <w:rPr>
          <w:rFonts w:ascii="Palatino Linotype" w:eastAsia="Times New Roman" w:hAnsi="Palatino Linotype"/>
          <w:i/>
          <w:color w:val="212529"/>
          <w:szCs w:val="23"/>
        </w:rPr>
        <w:lastRenderedPageBreak/>
        <w:t>y el segundo la interna. Ahora bien, una incongruencia reclamada corresponde a la llamada interna si se señalan concretamente las partes de la sentencia de primera instancia que se estiman contradictorias entre sí, afirmando que mientras en un considerando el Juez hizo suyas las apreciaciones y conclusiones a que llegó un perito para condenar al demandado a hacer determinadas reparaciones, en el punto resolutivo únicamente condenó a efectuar tales reparaciones, o en su defecto, a pagar una suma de dinero; pero no existe tal incongruencia si del peritaje se desprende que debe condenarse a hacer las reparaciones, pero que en el caso que no se cumpla deberá condenarse a pagar la cantidad a que se condenó.</w:t>
      </w:r>
    </w:p>
    <w:p w:rsidR="00482539" w:rsidRPr="00482539" w:rsidRDefault="00482539" w:rsidP="00482539">
      <w:pPr>
        <w:spacing w:after="0" w:line="276" w:lineRule="auto"/>
        <w:ind w:left="851" w:right="567"/>
        <w:contextualSpacing/>
        <w:rPr>
          <w:rFonts w:ascii="Palatino Linotype" w:eastAsia="Times New Roman" w:hAnsi="Palatino Linotype" w:cs="Times New Roman"/>
          <w:i/>
          <w:szCs w:val="24"/>
        </w:rPr>
      </w:pPr>
    </w:p>
    <w:p w:rsidR="00482539" w:rsidRPr="00482539" w:rsidRDefault="00482539" w:rsidP="00482539">
      <w:pPr>
        <w:shd w:val="clear" w:color="auto" w:fill="FFFFFF"/>
        <w:spacing w:after="100" w:afterAutospacing="1" w:line="276" w:lineRule="auto"/>
        <w:ind w:left="851" w:right="567"/>
        <w:contextualSpacing/>
        <w:jc w:val="both"/>
        <w:rPr>
          <w:rFonts w:ascii="Palatino Linotype" w:eastAsia="Times New Roman" w:hAnsi="Palatino Linotype"/>
          <w:i/>
          <w:color w:val="212529"/>
          <w:szCs w:val="23"/>
        </w:rPr>
      </w:pPr>
      <w:r w:rsidRPr="00482539">
        <w:rPr>
          <w:rFonts w:ascii="Palatino Linotype" w:eastAsia="Times New Roman" w:hAnsi="Palatino Linotype"/>
          <w:i/>
          <w:color w:val="212529"/>
          <w:szCs w:val="23"/>
        </w:rPr>
        <w:t xml:space="preserve">Amparo directo 7425/56. Carmen Vega </w:t>
      </w:r>
      <w:proofErr w:type="spellStart"/>
      <w:r w:rsidRPr="00482539">
        <w:rPr>
          <w:rFonts w:ascii="Palatino Linotype" w:eastAsia="Times New Roman" w:hAnsi="Palatino Linotype"/>
          <w:i/>
          <w:color w:val="212529"/>
          <w:szCs w:val="23"/>
        </w:rPr>
        <w:t>Albela</w:t>
      </w:r>
      <w:proofErr w:type="spellEnd"/>
      <w:r w:rsidRPr="00482539">
        <w:rPr>
          <w:rFonts w:ascii="Palatino Linotype" w:eastAsia="Times New Roman" w:hAnsi="Palatino Linotype"/>
          <w:i/>
          <w:color w:val="212529"/>
          <w:szCs w:val="23"/>
        </w:rPr>
        <w:t>. 14 de mayo de 1958. Unanimidad de cuatro votos. Ponente: Gabriel García Rojas.</w:t>
      </w:r>
    </w:p>
    <w:p w:rsidR="00482539" w:rsidRPr="00482539" w:rsidRDefault="00482539" w:rsidP="00482539">
      <w:pPr>
        <w:shd w:val="clear" w:color="auto" w:fill="FFFFFF"/>
        <w:spacing w:after="0" w:line="276" w:lineRule="auto"/>
        <w:ind w:left="851" w:right="567"/>
        <w:contextualSpacing/>
        <w:jc w:val="both"/>
        <w:rPr>
          <w:rFonts w:ascii="Palatino Linotype" w:eastAsia="Times New Roman" w:hAnsi="Palatino Linotype"/>
          <w:i/>
          <w:color w:val="212529"/>
          <w:szCs w:val="23"/>
        </w:rPr>
      </w:pPr>
      <w:r w:rsidRPr="00482539">
        <w:rPr>
          <w:rFonts w:ascii="Palatino Linotype" w:eastAsia="Times New Roman" w:hAnsi="Palatino Linotype"/>
          <w:i/>
          <w:color w:val="212529"/>
          <w:szCs w:val="23"/>
        </w:rPr>
        <w:br/>
      </w:r>
    </w:p>
    <w:p w:rsidR="00482539" w:rsidRPr="00482539" w:rsidRDefault="00482539" w:rsidP="00482539">
      <w:pPr>
        <w:shd w:val="clear" w:color="auto" w:fill="FFFFFF"/>
        <w:spacing w:after="100" w:afterAutospacing="1" w:line="276" w:lineRule="auto"/>
        <w:ind w:left="851" w:right="567"/>
        <w:contextualSpacing/>
        <w:jc w:val="both"/>
        <w:rPr>
          <w:rFonts w:ascii="Palatino Linotype" w:eastAsia="Times New Roman" w:hAnsi="Palatino Linotype"/>
          <w:i/>
          <w:color w:val="212529"/>
          <w:szCs w:val="23"/>
        </w:rPr>
      </w:pPr>
      <w:r w:rsidRPr="00482539">
        <w:rPr>
          <w:rFonts w:ascii="Palatino Linotype" w:eastAsia="Times New Roman" w:hAnsi="Palatino Linotype"/>
          <w:i/>
          <w:color w:val="212529"/>
          <w:szCs w:val="23"/>
        </w:rPr>
        <w:t>Nota: En el Apéndice 1917-1985, página 772, la tesis aparece bajo el rubro "SENTENCIAS, CONGRUENCIA DE LAS.".</w:t>
      </w:r>
    </w:p>
    <w:p w:rsidR="00F440DA" w:rsidRPr="00482539" w:rsidRDefault="00482539">
      <w:pPr>
        <w:spacing w:after="0" w:line="360" w:lineRule="auto"/>
        <w:ind w:right="49"/>
        <w:jc w:val="both"/>
        <w:rPr>
          <w:rFonts w:ascii="Palatino Linotype" w:eastAsia="Palatino Linotype" w:hAnsi="Palatino Linotype" w:cs="Palatino Linotype"/>
          <w:color w:val="000000"/>
          <w:sz w:val="24"/>
          <w:szCs w:val="24"/>
          <w:highlight w:val="red"/>
        </w:rPr>
      </w:pPr>
      <w:r>
        <w:rPr>
          <w:rFonts w:ascii="Palatino Linotype" w:eastAsia="Palatino Linotype" w:hAnsi="Palatino Linotype" w:cs="Palatino Linotype"/>
          <w:color w:val="000000"/>
          <w:sz w:val="24"/>
          <w:szCs w:val="24"/>
        </w:rPr>
        <w:t xml:space="preserve"> </w:t>
      </w:r>
      <w:bookmarkStart w:id="1" w:name="_GoBack"/>
      <w:bookmarkEnd w:id="1"/>
    </w:p>
    <w:p w:rsidR="00F440DA" w:rsidRDefault="00EA4356">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Por lo que si bien es cierto que, la respuesta proporcionada por </w:t>
      </w:r>
      <w:r>
        <w:rPr>
          <w:rFonts w:ascii="Palatino Linotype" w:eastAsia="Palatino Linotype" w:hAnsi="Palatino Linotype" w:cs="Palatino Linotype"/>
          <w:b/>
          <w:color w:val="000000"/>
          <w:sz w:val="24"/>
          <w:szCs w:val="24"/>
        </w:rPr>
        <w:t xml:space="preserve">EL SUJETO OBLIGADO </w:t>
      </w:r>
      <w:r>
        <w:rPr>
          <w:rFonts w:ascii="Palatino Linotype" w:eastAsia="Palatino Linotype" w:hAnsi="Palatino Linotype" w:cs="Palatino Linotype"/>
          <w:color w:val="000000"/>
          <w:sz w:val="24"/>
          <w:szCs w:val="24"/>
        </w:rPr>
        <w:t>no fuera clara y precisa se debió establecer que</w:t>
      </w:r>
      <w:r>
        <w:rPr>
          <w:rFonts w:ascii="Palatino Linotype" w:eastAsia="Palatino Linotype" w:hAnsi="Palatino Linotype" w:cs="Palatino Linotype"/>
          <w:sz w:val="24"/>
          <w:szCs w:val="24"/>
        </w:rPr>
        <w:t xml:space="preserve">, para el caso de </w:t>
      </w:r>
      <w:r>
        <w:rPr>
          <w:rFonts w:ascii="Palatino Linotype" w:eastAsia="Palatino Linotype" w:hAnsi="Palatino Linotype" w:cs="Palatino Linotype"/>
          <w:color w:val="000000"/>
          <w:sz w:val="24"/>
          <w:szCs w:val="24"/>
        </w:rPr>
        <w:t>no cont</w:t>
      </w:r>
      <w:r>
        <w:rPr>
          <w:rFonts w:ascii="Palatino Linotype" w:eastAsia="Palatino Linotype" w:hAnsi="Palatino Linotype" w:cs="Palatino Linotype"/>
          <w:color w:val="000000"/>
          <w:sz w:val="24"/>
          <w:szCs w:val="24"/>
        </w:rPr>
        <w:t>ar con dicha información</w:t>
      </w:r>
      <w:r>
        <w:rPr>
          <w:rFonts w:ascii="Palatino Linotype" w:eastAsia="Palatino Linotype" w:hAnsi="Palatino Linotype" w:cs="Palatino Linotype"/>
          <w:sz w:val="24"/>
          <w:szCs w:val="24"/>
        </w:rPr>
        <w:t>,</w:t>
      </w:r>
      <w:r>
        <w:rPr>
          <w:rFonts w:ascii="Palatino Linotype" w:eastAsia="Palatino Linotype" w:hAnsi="Palatino Linotype" w:cs="Palatino Linotype"/>
          <w:color w:val="000000"/>
          <w:sz w:val="24"/>
          <w:szCs w:val="24"/>
        </w:rPr>
        <w:t xml:space="preserve"> bastará con que así lo hiciera del conocimiento de la persona solicitante para tener por colmado su derecho de acceso a la información, en términos de lo dispuesto por el artículo 19, párrafo segundo de la Ley de Transparencia y A</w:t>
      </w:r>
      <w:r>
        <w:rPr>
          <w:rFonts w:ascii="Palatino Linotype" w:eastAsia="Palatino Linotype" w:hAnsi="Palatino Linotype" w:cs="Palatino Linotype"/>
          <w:color w:val="000000"/>
          <w:sz w:val="24"/>
          <w:szCs w:val="24"/>
        </w:rPr>
        <w:t>cceso a la Información Pública del Estado de México y Municipios</w:t>
      </w:r>
      <w:r>
        <w:rPr>
          <w:rFonts w:ascii="Palatino Linotype" w:eastAsia="Palatino Linotype" w:hAnsi="Palatino Linotype" w:cs="Palatino Linotype"/>
          <w:sz w:val="24"/>
          <w:szCs w:val="24"/>
        </w:rPr>
        <w:t>, en los términos antes señalados.</w:t>
      </w:r>
    </w:p>
    <w:p w:rsidR="00F440DA" w:rsidRDefault="00F440DA">
      <w:pPr>
        <w:spacing w:after="0" w:line="360" w:lineRule="auto"/>
        <w:ind w:right="49"/>
        <w:jc w:val="both"/>
        <w:rPr>
          <w:rFonts w:ascii="Palatino Linotype" w:eastAsia="Palatino Linotype" w:hAnsi="Palatino Linotype" w:cs="Palatino Linotype"/>
          <w:sz w:val="24"/>
          <w:szCs w:val="24"/>
        </w:rPr>
      </w:pPr>
    </w:p>
    <w:p w:rsidR="00F440DA" w:rsidRDefault="00EA4356">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Respecto al documento que dé cuenta del grado de estudios.</w:t>
      </w:r>
    </w:p>
    <w:p w:rsidR="00F440DA" w:rsidRDefault="00F440DA">
      <w:pPr>
        <w:spacing w:after="0" w:line="360" w:lineRule="auto"/>
        <w:jc w:val="both"/>
        <w:rPr>
          <w:rFonts w:ascii="Palatino Linotype" w:eastAsia="Palatino Linotype" w:hAnsi="Palatino Linotype" w:cs="Palatino Linotype"/>
          <w:b/>
          <w:sz w:val="24"/>
          <w:szCs w:val="24"/>
        </w:rPr>
      </w:pPr>
    </w:p>
    <w:p w:rsidR="00F440DA" w:rsidRDefault="00EA4356">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R</w:t>
      </w:r>
      <w:r>
        <w:rPr>
          <w:rFonts w:ascii="Palatino Linotype" w:eastAsia="Palatino Linotype" w:hAnsi="Palatino Linotype" w:cs="Palatino Linotype"/>
          <w:sz w:val="24"/>
          <w:szCs w:val="24"/>
        </w:rPr>
        <w:t>esulta conveniente señalar lo establecido por el artículo 47 de la Ley del Trabajo de los Servidores Públicos del Estado y Municipios, el cual refiere que para ingresar al servicio público, se requiere, entre otras cosas, cumplir con diversos requisitos. E</w:t>
      </w:r>
      <w:r>
        <w:rPr>
          <w:rFonts w:ascii="Palatino Linotype" w:eastAsia="Palatino Linotype" w:hAnsi="Palatino Linotype" w:cs="Palatino Linotype"/>
          <w:sz w:val="24"/>
          <w:szCs w:val="24"/>
        </w:rPr>
        <w:t>n ese contexto, es conducente hacer referencia sobre aquellas exigencias a cumplir que señala el artículo en comento:</w:t>
      </w:r>
    </w:p>
    <w:p w:rsidR="00F440DA" w:rsidRDefault="00F440DA">
      <w:pPr>
        <w:spacing w:line="360" w:lineRule="auto"/>
        <w:jc w:val="both"/>
        <w:rPr>
          <w:rFonts w:ascii="Palatino Linotype" w:eastAsia="Palatino Linotype" w:hAnsi="Palatino Linotype" w:cs="Palatino Linotype"/>
        </w:rPr>
      </w:pPr>
    </w:p>
    <w:p w:rsidR="00F440DA" w:rsidRDefault="00EA4356">
      <w:pPr>
        <w:spacing w:line="276"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ARTÍCULO 47.</w:t>
      </w:r>
      <w:r>
        <w:rPr>
          <w:rFonts w:ascii="Palatino Linotype" w:eastAsia="Palatino Linotype" w:hAnsi="Palatino Linotype" w:cs="Palatino Linotype"/>
          <w:i/>
        </w:rPr>
        <w:t xml:space="preserve"> Para ingresar al servicio público se requiere:</w:t>
      </w:r>
    </w:p>
    <w:p w:rsidR="00F440DA" w:rsidRDefault="00EA4356">
      <w:pPr>
        <w:spacing w:line="276"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rsidR="00F440DA" w:rsidRDefault="00EA4356">
      <w:pPr>
        <w:spacing w:line="276"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VIII. Cumplir con los requisitos que se establezcan para los diferentes p</w:t>
      </w:r>
      <w:r>
        <w:rPr>
          <w:rFonts w:ascii="Palatino Linotype" w:eastAsia="Palatino Linotype" w:hAnsi="Palatino Linotype" w:cs="Palatino Linotype"/>
          <w:i/>
        </w:rPr>
        <w:t>uestos;</w:t>
      </w:r>
    </w:p>
    <w:p w:rsidR="00F440DA" w:rsidRDefault="00F440DA">
      <w:pPr>
        <w:spacing w:line="360" w:lineRule="auto"/>
        <w:ind w:right="539"/>
        <w:jc w:val="both"/>
        <w:rPr>
          <w:rFonts w:ascii="Palatino Linotype" w:eastAsia="Palatino Linotype" w:hAnsi="Palatino Linotype" w:cs="Palatino Linotype"/>
          <w:i/>
          <w:strike/>
        </w:rPr>
      </w:pPr>
    </w:p>
    <w:p w:rsidR="00F440DA" w:rsidRDefault="00EA4356">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Conforme a lo anterior, se logra advertir que toda persona que ingrese al servicio público debe cumplir con aquellos requisitos que se establezcan para los diferentes puestos, </w:t>
      </w:r>
      <w:r>
        <w:rPr>
          <w:rFonts w:ascii="Palatino Linotype" w:eastAsia="Palatino Linotype" w:hAnsi="Palatino Linotype" w:cs="Palatino Linotype"/>
          <w:color w:val="000000"/>
          <w:sz w:val="24"/>
          <w:szCs w:val="24"/>
        </w:rPr>
        <w:t>lo que puede estar ligado con la preparación académica.</w:t>
      </w:r>
    </w:p>
    <w:p w:rsidR="00F440DA" w:rsidRDefault="00F440DA">
      <w:pPr>
        <w:spacing w:after="0" w:line="360" w:lineRule="auto"/>
        <w:jc w:val="both"/>
        <w:rPr>
          <w:rFonts w:ascii="Palatino Linotype" w:eastAsia="Palatino Linotype" w:hAnsi="Palatino Linotype" w:cs="Palatino Linotype"/>
          <w:color w:val="000000"/>
          <w:sz w:val="24"/>
          <w:szCs w:val="24"/>
        </w:rPr>
      </w:pPr>
    </w:p>
    <w:p w:rsidR="00F440DA" w:rsidRDefault="00EA435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Ante los argum</w:t>
      </w:r>
      <w:r>
        <w:rPr>
          <w:rFonts w:ascii="Palatino Linotype" w:eastAsia="Palatino Linotype" w:hAnsi="Palatino Linotype" w:cs="Palatino Linotype"/>
          <w:sz w:val="24"/>
          <w:szCs w:val="24"/>
        </w:rPr>
        <w:t xml:space="preserve">entos planteados, se puede concluir que constituyen documentos probatorios de estudios; los certificados, constancias, diplomas, títulos y/o cédula profesional, por tratarse de la expresión </w:t>
      </w:r>
      <w:r>
        <w:rPr>
          <w:rFonts w:ascii="Palatino Linotype" w:eastAsia="Palatino Linotype" w:hAnsi="Palatino Linotype" w:cs="Palatino Linotype"/>
          <w:sz w:val="24"/>
          <w:szCs w:val="24"/>
        </w:rPr>
        <w:lastRenderedPageBreak/>
        <w:t xml:space="preserve">documental que permite acreditar el </w:t>
      </w:r>
      <w:r>
        <w:rPr>
          <w:rFonts w:ascii="Palatino Linotype" w:eastAsia="Palatino Linotype" w:hAnsi="Palatino Linotype" w:cs="Palatino Linotype"/>
          <w:color w:val="000000"/>
          <w:sz w:val="24"/>
          <w:szCs w:val="24"/>
        </w:rPr>
        <w:t xml:space="preserve">nivel de estudios </w:t>
      </w:r>
      <w:r>
        <w:rPr>
          <w:rFonts w:ascii="Palatino Linotype" w:eastAsia="Palatino Linotype" w:hAnsi="Palatino Linotype" w:cs="Palatino Linotype"/>
          <w:sz w:val="24"/>
          <w:szCs w:val="24"/>
        </w:rPr>
        <w:t>de los servi</w:t>
      </w:r>
      <w:r>
        <w:rPr>
          <w:rFonts w:ascii="Palatino Linotype" w:eastAsia="Palatino Linotype" w:hAnsi="Palatino Linotype" w:cs="Palatino Linotype"/>
          <w:sz w:val="24"/>
          <w:szCs w:val="24"/>
        </w:rPr>
        <w:t>dores públicos.</w:t>
      </w:r>
    </w:p>
    <w:p w:rsidR="00F440DA" w:rsidRDefault="00F440DA">
      <w:pPr>
        <w:spacing w:after="0" w:line="360" w:lineRule="auto"/>
        <w:jc w:val="both"/>
        <w:rPr>
          <w:rFonts w:ascii="Palatino Linotype" w:eastAsia="Palatino Linotype" w:hAnsi="Palatino Linotype" w:cs="Palatino Linotype"/>
          <w:sz w:val="24"/>
          <w:szCs w:val="24"/>
        </w:rPr>
      </w:pPr>
    </w:p>
    <w:p w:rsidR="00F440DA" w:rsidRDefault="00EA435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Sin embargo, en el caso concreto, en el recurso de revisión citado al rubro, no se advierte por parte de la ponencia </w:t>
      </w:r>
      <w:proofErr w:type="spellStart"/>
      <w:r>
        <w:rPr>
          <w:rFonts w:ascii="Palatino Linotype" w:eastAsia="Palatino Linotype" w:hAnsi="Palatino Linotype" w:cs="Palatino Linotype"/>
          <w:sz w:val="24"/>
          <w:szCs w:val="24"/>
        </w:rPr>
        <w:t>resolutora</w:t>
      </w:r>
      <w:proofErr w:type="spellEnd"/>
      <w:r>
        <w:rPr>
          <w:rFonts w:ascii="Palatino Linotype" w:eastAsia="Palatino Linotype" w:hAnsi="Palatino Linotype" w:cs="Palatino Linotype"/>
          <w:sz w:val="24"/>
          <w:szCs w:val="24"/>
        </w:rPr>
        <w:t xml:space="preserve"> el análisis de </w:t>
      </w:r>
      <w:r>
        <w:rPr>
          <w:rFonts w:ascii="Palatino Linotype" w:eastAsia="Palatino Linotype" w:hAnsi="Palatino Linotype" w:cs="Palatino Linotype"/>
          <w:color w:val="000000"/>
          <w:sz w:val="24"/>
          <w:szCs w:val="24"/>
        </w:rPr>
        <w:t>la normatividad aplicable o</w:t>
      </w:r>
      <w:r>
        <w:rPr>
          <w:rFonts w:ascii="Palatino Linotype" w:eastAsia="Palatino Linotype" w:hAnsi="Palatino Linotype" w:cs="Palatino Linotype"/>
          <w:sz w:val="24"/>
          <w:szCs w:val="24"/>
        </w:rPr>
        <w:t xml:space="preserve"> del </w:t>
      </w:r>
      <w:r>
        <w:rPr>
          <w:rFonts w:ascii="Palatino Linotype" w:eastAsia="Palatino Linotype" w:hAnsi="Palatino Linotype" w:cs="Palatino Linotype"/>
          <w:color w:val="000000"/>
          <w:sz w:val="24"/>
          <w:szCs w:val="24"/>
        </w:rPr>
        <w:t>perfil de puestos establezca que el Titular de la Dirección Gene</w:t>
      </w:r>
      <w:r>
        <w:rPr>
          <w:rFonts w:ascii="Palatino Linotype" w:eastAsia="Palatino Linotype" w:hAnsi="Palatino Linotype" w:cs="Palatino Linotype"/>
          <w:color w:val="000000"/>
          <w:sz w:val="24"/>
          <w:szCs w:val="24"/>
        </w:rPr>
        <w:t xml:space="preserve">ral de Justicia Cotidiana y Protección al Colono cuente con un grado de estudios en específico, por lo que, no basta que en el </w:t>
      </w:r>
      <w:proofErr w:type="spellStart"/>
      <w:r>
        <w:rPr>
          <w:rFonts w:ascii="Palatino Linotype" w:eastAsia="Palatino Linotype" w:hAnsi="Palatino Linotype" w:cs="Palatino Linotype"/>
          <w:color w:val="000000"/>
          <w:sz w:val="24"/>
          <w:szCs w:val="24"/>
        </w:rPr>
        <w:t>Curriculum</w:t>
      </w:r>
      <w:proofErr w:type="spellEnd"/>
      <w:r>
        <w:rPr>
          <w:rFonts w:ascii="Palatino Linotype" w:eastAsia="Palatino Linotype" w:hAnsi="Palatino Linotype" w:cs="Palatino Linotype"/>
          <w:color w:val="000000"/>
          <w:sz w:val="24"/>
          <w:szCs w:val="24"/>
        </w:rPr>
        <w:t xml:space="preserve"> Vitae proporcionado en respuesta se advierta el grado académico con el que cuenta, </w:t>
      </w:r>
      <w:r>
        <w:rPr>
          <w:rFonts w:ascii="Palatino Linotype" w:eastAsia="Palatino Linotype" w:hAnsi="Palatino Linotype" w:cs="Palatino Linotype"/>
          <w:sz w:val="24"/>
          <w:szCs w:val="24"/>
        </w:rPr>
        <w:t xml:space="preserve">para constreñir al sujeto obligado </w:t>
      </w:r>
      <w:r>
        <w:rPr>
          <w:rFonts w:ascii="Palatino Linotype" w:eastAsia="Palatino Linotype" w:hAnsi="Palatino Linotype" w:cs="Palatino Linotype"/>
          <w:sz w:val="24"/>
          <w:szCs w:val="24"/>
        </w:rPr>
        <w:t xml:space="preserve">a contar con dicho documento. </w:t>
      </w:r>
    </w:p>
    <w:p w:rsidR="00F440DA" w:rsidRDefault="00F440DA">
      <w:pPr>
        <w:spacing w:after="0" w:line="360" w:lineRule="auto"/>
        <w:jc w:val="both"/>
        <w:rPr>
          <w:rFonts w:ascii="Palatino Linotype" w:eastAsia="Palatino Linotype" w:hAnsi="Palatino Linotype" w:cs="Palatino Linotype"/>
          <w:sz w:val="24"/>
          <w:szCs w:val="24"/>
        </w:rPr>
      </w:pPr>
    </w:p>
    <w:p w:rsidR="00F440DA" w:rsidRDefault="00EA435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Esto, ya que el análisis del recurso se centra en que la ficha curricular del Encargado del Despacho de la Dirección General de Justicia Cotidiana y Protección al Colono, se advierte su grado de estudios como Licenciado en C</w:t>
      </w:r>
      <w:r>
        <w:rPr>
          <w:rFonts w:ascii="Palatino Linotype" w:eastAsia="Palatino Linotype" w:hAnsi="Palatino Linotype" w:cs="Palatino Linotype"/>
          <w:sz w:val="24"/>
          <w:szCs w:val="24"/>
        </w:rPr>
        <w:t xml:space="preserve">ontaduría Pública y Maestría en Políticas Anticorrupción y Licenciatura en Derecho concluida, por lo que a consideración del Instituto, deben obrar en el expediente laboral dichas documentales. </w:t>
      </w:r>
    </w:p>
    <w:p w:rsidR="00F440DA" w:rsidRDefault="00F440DA">
      <w:pPr>
        <w:spacing w:after="0" w:line="360" w:lineRule="auto"/>
        <w:jc w:val="both"/>
        <w:rPr>
          <w:rFonts w:ascii="Palatino Linotype" w:eastAsia="Palatino Linotype" w:hAnsi="Palatino Linotype" w:cs="Palatino Linotype"/>
          <w:color w:val="000000"/>
          <w:sz w:val="24"/>
          <w:szCs w:val="24"/>
        </w:rPr>
      </w:pPr>
    </w:p>
    <w:p w:rsidR="00F440DA" w:rsidRDefault="00EA435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sentido, al no establecer la fuente obligacional para contar específicamente en sus archivos con el documento que dé cuenta del grado de estudios se considera </w:t>
      </w:r>
      <w:r>
        <w:rPr>
          <w:rFonts w:ascii="Palatino Linotype" w:eastAsia="Palatino Linotype" w:hAnsi="Palatino Linotype" w:cs="Palatino Linotype"/>
          <w:color w:val="000000"/>
          <w:sz w:val="24"/>
          <w:szCs w:val="24"/>
        </w:rPr>
        <w:t xml:space="preserve">que se debió </w:t>
      </w:r>
      <w:r>
        <w:rPr>
          <w:rFonts w:ascii="Palatino Linotype" w:eastAsia="Palatino Linotype" w:hAnsi="Palatino Linotype" w:cs="Palatino Linotype"/>
          <w:sz w:val="24"/>
          <w:szCs w:val="24"/>
        </w:rPr>
        <w:t>considerar</w:t>
      </w:r>
      <w:r>
        <w:rPr>
          <w:rFonts w:ascii="Palatino Linotype" w:eastAsia="Palatino Linotype" w:hAnsi="Palatino Linotype" w:cs="Palatino Linotype"/>
          <w:color w:val="000000"/>
          <w:sz w:val="24"/>
          <w:szCs w:val="24"/>
        </w:rPr>
        <w:t xml:space="preserve"> lo dispuesto por el artículo </w:t>
      </w:r>
      <w:r>
        <w:rPr>
          <w:rFonts w:ascii="Palatino Linotype" w:eastAsia="Palatino Linotype" w:hAnsi="Palatino Linotype" w:cs="Palatino Linotype"/>
          <w:color w:val="000000"/>
          <w:sz w:val="24"/>
          <w:szCs w:val="24"/>
        </w:rPr>
        <w:lastRenderedPageBreak/>
        <w:t>19, párrafo segundo de la Ley de Tra</w:t>
      </w:r>
      <w:r>
        <w:rPr>
          <w:rFonts w:ascii="Palatino Linotype" w:eastAsia="Palatino Linotype" w:hAnsi="Palatino Linotype" w:cs="Palatino Linotype"/>
          <w:color w:val="000000"/>
          <w:sz w:val="24"/>
          <w:szCs w:val="24"/>
        </w:rPr>
        <w:t>nsparencia y Acceso a la Información Pública del Estado de México y Municipios</w:t>
      </w:r>
      <w:r>
        <w:rPr>
          <w:rFonts w:ascii="Palatino Linotype" w:eastAsia="Palatino Linotype" w:hAnsi="Palatino Linotype" w:cs="Palatino Linotype"/>
          <w:sz w:val="24"/>
          <w:szCs w:val="24"/>
        </w:rPr>
        <w:t xml:space="preserve"> en los términos antes expuestos. </w:t>
      </w:r>
    </w:p>
    <w:p w:rsidR="00F440DA" w:rsidRDefault="00F440DA">
      <w:pPr>
        <w:spacing w:after="0" w:line="360" w:lineRule="auto"/>
        <w:jc w:val="both"/>
        <w:rPr>
          <w:rFonts w:ascii="Palatino Linotype" w:eastAsia="Palatino Linotype" w:hAnsi="Palatino Linotype" w:cs="Palatino Linotype"/>
          <w:sz w:val="24"/>
          <w:szCs w:val="24"/>
        </w:rPr>
      </w:pPr>
    </w:p>
    <w:p w:rsidR="00F440DA" w:rsidRDefault="00EA4356">
      <w:pP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Respecto a la fotografía. </w:t>
      </w:r>
    </w:p>
    <w:p w:rsidR="00F440DA" w:rsidRDefault="00F440DA">
      <w:pPr>
        <w:spacing w:after="0" w:line="360" w:lineRule="auto"/>
        <w:jc w:val="both"/>
        <w:rPr>
          <w:rFonts w:ascii="Palatino Linotype" w:eastAsia="Palatino Linotype" w:hAnsi="Palatino Linotype" w:cs="Palatino Linotype"/>
          <w:color w:val="000000"/>
          <w:sz w:val="24"/>
          <w:szCs w:val="24"/>
        </w:rPr>
      </w:pPr>
    </w:p>
    <w:p w:rsidR="00F440DA" w:rsidRDefault="00EA435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considerar que la fotografía de los servidores públicos sin importar el nivel o cargo y en cualquier documento que se encuentre vinculado con el cumplimiento de disposiciones legales debe ser pública. </w:t>
      </w:r>
    </w:p>
    <w:p w:rsidR="00F440DA" w:rsidRDefault="00F440DA">
      <w:pPr>
        <w:spacing w:after="0" w:line="360" w:lineRule="auto"/>
        <w:jc w:val="both"/>
        <w:rPr>
          <w:rFonts w:ascii="Palatino Linotype" w:eastAsia="Palatino Linotype" w:hAnsi="Palatino Linotype" w:cs="Palatino Linotype"/>
          <w:sz w:val="24"/>
          <w:szCs w:val="24"/>
        </w:rPr>
      </w:pPr>
    </w:p>
    <w:p w:rsidR="00F440DA" w:rsidRDefault="00EA4356">
      <w:pPr>
        <w:spacing w:after="0" w:line="360" w:lineRule="auto"/>
        <w:ind w:right="706"/>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En efecto, al respecto en la resolución se conside</w:t>
      </w:r>
      <w:r>
        <w:rPr>
          <w:rFonts w:ascii="Palatino Linotype" w:eastAsia="Palatino Linotype" w:hAnsi="Palatino Linotype" w:cs="Palatino Linotype"/>
          <w:sz w:val="24"/>
          <w:szCs w:val="24"/>
        </w:rPr>
        <w:t>ró lo siguiente</w:t>
      </w:r>
      <w:r>
        <w:rPr>
          <w:rFonts w:ascii="Palatino Linotype" w:eastAsia="Palatino Linotype" w:hAnsi="Palatino Linotype" w:cs="Palatino Linotype"/>
          <w:i/>
          <w:sz w:val="24"/>
          <w:szCs w:val="24"/>
        </w:rPr>
        <w:t>:</w:t>
      </w:r>
    </w:p>
    <w:p w:rsidR="00F440DA" w:rsidRDefault="00F440DA">
      <w:pPr>
        <w:spacing w:after="0" w:line="360" w:lineRule="auto"/>
        <w:ind w:right="706"/>
        <w:jc w:val="both"/>
        <w:rPr>
          <w:rFonts w:ascii="Palatino Linotype" w:eastAsia="Palatino Linotype" w:hAnsi="Palatino Linotype" w:cs="Palatino Linotype"/>
          <w:i/>
          <w:sz w:val="24"/>
          <w:szCs w:val="24"/>
        </w:rPr>
      </w:pPr>
    </w:p>
    <w:p w:rsidR="00F440DA" w:rsidRDefault="00EA4356">
      <w:pPr>
        <w:spacing w:after="0" w:line="276" w:lineRule="auto"/>
        <w:ind w:left="851" w:right="706"/>
        <w:jc w:val="both"/>
        <w:rPr>
          <w:rFonts w:ascii="Palatino Linotype" w:eastAsia="Palatino Linotype" w:hAnsi="Palatino Linotype" w:cs="Palatino Linotype"/>
          <w:i/>
        </w:rPr>
      </w:pPr>
      <w:bookmarkStart w:id="2" w:name="_heading=h.1fob9te" w:colFirst="0" w:colLast="0"/>
      <w:bookmarkEnd w:id="2"/>
      <w:r>
        <w:rPr>
          <w:rFonts w:ascii="Palatino Linotype" w:eastAsia="Palatino Linotype" w:hAnsi="Palatino Linotype" w:cs="Palatino Linotype"/>
          <w:i/>
        </w:rPr>
        <w:t xml:space="preserve">“Cabe destacar que de los documentos que se ordena su entrega, es de precisar que la fotografía se considera un dato público ya que esta da cuenta de las características físicas de los servidores públicos; por lo que, no debe perderse de </w:t>
      </w:r>
      <w:r>
        <w:rPr>
          <w:rFonts w:ascii="Palatino Linotype" w:eastAsia="Palatino Linotype" w:hAnsi="Palatino Linotype" w:cs="Palatino Linotype"/>
          <w:i/>
        </w:rPr>
        <w:t xml:space="preserve">vista que la imagen personal es la apariencia física, la cual puede ser captada en dibujo, pintura, escultura, fotografía, y video; la imagen así captada puede ser reproducida, publicada y divulgada por diversos medios, desde volantes impresos de la forma </w:t>
      </w:r>
      <w:r>
        <w:rPr>
          <w:rFonts w:ascii="Palatino Linotype" w:eastAsia="Palatino Linotype" w:hAnsi="Palatino Linotype" w:cs="Palatino Linotype"/>
          <w:i/>
        </w:rPr>
        <w:t>más rudimentaria, hasta filmaciones y fotografías transmitidas por televisión cine, video, correo electrónico o Internet.</w:t>
      </w:r>
    </w:p>
    <w:p w:rsidR="00F440DA" w:rsidRDefault="00EA4356">
      <w:pPr>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persona en un momento determinado, por lo que</w:t>
      </w:r>
      <w:r>
        <w:rPr>
          <w:rFonts w:ascii="Palatino Linotype" w:eastAsia="Palatino Linotype" w:hAnsi="Palatino Linotype" w:cs="Palatino Linotype"/>
          <w:i/>
        </w:rPr>
        <w:t xml:space="preserve"> representan un instrumento de identificación, proyección exterior y factor imprescindible para su propio reconocimiento como sujeto individual; lo que en el presente caso, acreditaría e identificaría a una persona como servidor público, por lo que es posi</w:t>
      </w:r>
      <w:r>
        <w:rPr>
          <w:rFonts w:ascii="Palatino Linotype" w:eastAsia="Palatino Linotype" w:hAnsi="Palatino Linotype" w:cs="Palatino Linotype"/>
          <w:i/>
        </w:rPr>
        <w:t xml:space="preserve">ble advertir que existe </w:t>
      </w:r>
      <w:r>
        <w:rPr>
          <w:rFonts w:ascii="Palatino Linotype" w:eastAsia="Palatino Linotype" w:hAnsi="Palatino Linotype" w:cs="Palatino Linotype"/>
          <w:i/>
        </w:rPr>
        <w:lastRenderedPageBreak/>
        <w:t>cierto interés público, cuando la fotografía obra en documentos de servidores públicos vinculados con el cumplimiento de disposiciones legales.</w:t>
      </w:r>
    </w:p>
    <w:p w:rsidR="00F440DA" w:rsidRDefault="00EA4356">
      <w:pPr>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con los cuales se permite identif</w:t>
      </w:r>
      <w:r>
        <w:rPr>
          <w:rFonts w:ascii="Palatino Linotype" w:eastAsia="Palatino Linotype" w:hAnsi="Palatino Linotype" w:cs="Palatino Linotype"/>
          <w:i/>
        </w:rPr>
        <w:t>icar que una persona que se acredita como trabajador gubernamental, realmente tiene el cargo con el que se ostenta, otros documentos con los cuales se rinde cuentas a la ciudadanía, por ejemplo cuando se cubre el perfil de puesto; además cuando se brinda s</w:t>
      </w:r>
      <w:r>
        <w:rPr>
          <w:rFonts w:ascii="Palatino Linotype" w:eastAsia="Palatino Linotype" w:hAnsi="Palatino Linotype" w:cs="Palatino Linotype"/>
          <w:i/>
        </w:rPr>
        <w:t>ervicios a la ciudadanía, es de relevancia conocer e identificar a todos sus trabajadores, no importa el nivel o rango (con excepción del personal operativo en materia de seguridad, respecto del cual el Pleno de este Instituto ya se ha pronunciado en el se</w:t>
      </w:r>
      <w:r>
        <w:rPr>
          <w:rFonts w:ascii="Palatino Linotype" w:eastAsia="Palatino Linotype" w:hAnsi="Palatino Linotype" w:cs="Palatino Linotype"/>
          <w:i/>
        </w:rPr>
        <w:t>ntido de que la información que los haga identificados o identificables debe clasificarse como reservada).</w:t>
      </w:r>
    </w:p>
    <w:p w:rsidR="00F440DA" w:rsidRDefault="00EA4356">
      <w:pPr>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15/17 y 1/13 del Instituto Nacional de Transparencia y Acceso a la Información Públi</w:t>
      </w:r>
      <w:r>
        <w:rPr>
          <w:rFonts w:ascii="Palatino Linotype" w:eastAsia="Palatino Linotype" w:hAnsi="Palatino Linotype" w:cs="Palatino Linotype"/>
          <w:i/>
        </w:rPr>
        <w:t xml:space="preserve">ca y Protección de Datos Personales, en los cuales se esgrimen argumentos, que, si bien no refieren de manera específica a fotografías de servidores públicos, sí establecen un criterio para que este dato personal pueda ser considerado como público, cuando </w:t>
      </w:r>
      <w:r>
        <w:rPr>
          <w:rFonts w:ascii="Palatino Linotype" w:eastAsia="Palatino Linotype" w:hAnsi="Palatino Linotype" w:cs="Palatino Linotype"/>
          <w:i/>
        </w:rPr>
        <w:t>se pretende acreditar que una persona es servidor público.</w:t>
      </w:r>
    </w:p>
    <w:p w:rsidR="00F440DA" w:rsidRDefault="00EA4356">
      <w:pPr>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Debe tenerse presente que el actuar de los servidores públicos incide de manera específica en los derechos de los particulares, pues el acto de un servidor público en ejercicio de sus funciones, de</w:t>
      </w:r>
      <w:r>
        <w:rPr>
          <w:rFonts w:ascii="Palatino Linotype" w:eastAsia="Palatino Linotype" w:hAnsi="Palatino Linotype" w:cs="Palatino Linotype"/>
          <w:i/>
        </w:rPr>
        <w:t xml:space="preserve"> manera directa genera derechos y obligaciones pues se considera un acto administrativo o acto de autoridad, por lo que es primordial, que estos trabajadores se identifiquen ante la ciudadanía, por lo que otorgar acceso a los documentos que obran en los ar</w:t>
      </w:r>
      <w:r>
        <w:rPr>
          <w:rFonts w:ascii="Palatino Linotype" w:eastAsia="Palatino Linotype" w:hAnsi="Palatino Linotype" w:cs="Palatino Linotype"/>
          <w:i/>
        </w:rPr>
        <w:t>chivos de los sujetos obligados y que además están directamente relacionados con el cumplimiento de disposiciones normativas o el ejercicio de funciones revisten un interés público.</w:t>
      </w:r>
    </w:p>
    <w:p w:rsidR="00F440DA" w:rsidRDefault="00EA4356">
      <w:pPr>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Por lo anterior, cuando las fotografías de los servidores públicos obran e</w:t>
      </w:r>
      <w:r>
        <w:rPr>
          <w:rFonts w:ascii="Palatino Linotype" w:eastAsia="Palatino Linotype" w:hAnsi="Palatino Linotype" w:cs="Palatino Linotype"/>
          <w:i/>
        </w:rPr>
        <w:t>n documentos que dan cuenta del cumplimiento de funciones, requisitos legales o los acredita como servidores públicos, deben ser consideradas un dato personal, que no puede ser clasificado como confidencial, pues en este caso, es superado por el interés pú</w:t>
      </w:r>
      <w:r>
        <w:rPr>
          <w:rFonts w:ascii="Palatino Linotype" w:eastAsia="Palatino Linotype" w:hAnsi="Palatino Linotype" w:cs="Palatino Linotype"/>
          <w:i/>
        </w:rPr>
        <w:t>blico de conocer si en realidad, la persona que se ostenta en carácter de servidor público, se encuentra en ese encargo, si realiza las funciones o si cumple con los requisitos legales; sin que se considere como factor diferenciador para determinar la publ</w:t>
      </w:r>
      <w:r>
        <w:rPr>
          <w:rFonts w:ascii="Palatino Linotype" w:eastAsia="Palatino Linotype" w:hAnsi="Palatino Linotype" w:cs="Palatino Linotype"/>
          <w:i/>
        </w:rPr>
        <w:t>icidad o clasificación el cargo o nivel jerárquico en el que se desempeñe el servidor público.</w:t>
      </w:r>
    </w:p>
    <w:p w:rsidR="00F440DA" w:rsidRDefault="00EA4356">
      <w:pPr>
        <w:spacing w:after="0" w:line="276" w:lineRule="auto"/>
        <w:ind w:left="851"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rPr>
        <w:t>Conforme a lo anterior, las fotografías de servidores públicos sin importar el nivel o rango guardan la naturaleza de públicas (con excepción del personal operat</w:t>
      </w:r>
      <w:r>
        <w:rPr>
          <w:rFonts w:ascii="Palatino Linotype" w:eastAsia="Palatino Linotype" w:hAnsi="Palatino Linotype" w:cs="Palatino Linotype"/>
          <w:i/>
        </w:rPr>
        <w:t>ivo en materia de seguridad) y no procede su clasificación, en términos del artículo 143, fracción I, de la Ley de Transparencia y Acceso a la Información Pública del Estado de México y Municipios, por lo que en las versiones públicas que se ordenen, no po</w:t>
      </w:r>
      <w:r>
        <w:rPr>
          <w:rFonts w:ascii="Palatino Linotype" w:eastAsia="Palatino Linotype" w:hAnsi="Palatino Linotype" w:cs="Palatino Linotype"/>
          <w:i/>
        </w:rPr>
        <w:t>drá clasificarse esa información.</w:t>
      </w:r>
      <w:r>
        <w:rPr>
          <w:rFonts w:ascii="Palatino Linotype" w:eastAsia="Palatino Linotype" w:hAnsi="Palatino Linotype" w:cs="Palatino Linotype"/>
          <w:i/>
          <w:color w:val="000000"/>
        </w:rPr>
        <w:t>”</w:t>
      </w:r>
    </w:p>
    <w:p w:rsidR="00F440DA" w:rsidRDefault="00F440DA">
      <w:pPr>
        <w:pBdr>
          <w:top w:val="nil"/>
          <w:left w:val="nil"/>
          <w:bottom w:val="nil"/>
          <w:right w:val="nil"/>
          <w:between w:val="nil"/>
        </w:pBdr>
        <w:tabs>
          <w:tab w:val="left" w:pos="284"/>
        </w:tabs>
        <w:spacing w:after="0" w:line="360" w:lineRule="auto"/>
        <w:ind w:left="851" w:right="706"/>
        <w:jc w:val="both"/>
        <w:rPr>
          <w:rFonts w:ascii="Palatino Linotype" w:eastAsia="Palatino Linotype" w:hAnsi="Palatino Linotype" w:cs="Palatino Linotype"/>
          <w:i/>
          <w:color w:val="000000"/>
          <w:sz w:val="24"/>
          <w:szCs w:val="24"/>
        </w:rPr>
      </w:pPr>
    </w:p>
    <w:p w:rsidR="00F440DA" w:rsidRDefault="00EA4356">
      <w:pPr>
        <w:spacing w:after="0" w:line="360" w:lineRule="auto"/>
        <w:jc w:val="both"/>
        <w:rPr>
          <w:rFonts w:ascii="Palatino Linotype" w:eastAsia="Palatino Linotype" w:hAnsi="Palatino Linotype" w:cs="Palatino Linotype"/>
          <w:sz w:val="24"/>
          <w:szCs w:val="24"/>
        </w:rPr>
      </w:pPr>
      <w:bookmarkStart w:id="3" w:name="_heading=h.seznk0v3kwdp" w:colFirst="0" w:colLast="0"/>
      <w:bookmarkEnd w:id="3"/>
      <w:r>
        <w:rPr>
          <w:rFonts w:ascii="Palatino Linotype" w:eastAsia="Palatino Linotype" w:hAnsi="Palatino Linotype" w:cs="Palatino Linotype"/>
          <w:sz w:val="24"/>
          <w:szCs w:val="24"/>
        </w:rPr>
        <w:t>Como se puede advertir, en el criterio de la mayoría no se distingue el nivel o cargo que ostente el servidor público. Sin embargo, desde  la óptica de quien suscribe por cuanto hace a la fotografía, constituye la reproducción fiel de las características f</w:t>
      </w:r>
      <w:r>
        <w:rPr>
          <w:rFonts w:ascii="Palatino Linotype" w:eastAsia="Palatino Linotype" w:hAnsi="Palatino Linotype" w:cs="Palatino Linotype"/>
          <w:sz w:val="24"/>
          <w:szCs w:val="24"/>
        </w:rPr>
        <w:t>ísicas de una persona en un momento determinado, además, de que representa un instrumento de identificación, proyección exterior y factor imprescindible para su propio reconocimiento como sujeto individual; por tanto, es un dato personal confidencial que d</w:t>
      </w:r>
      <w:r>
        <w:rPr>
          <w:rFonts w:ascii="Palatino Linotype" w:eastAsia="Palatino Linotype" w:hAnsi="Palatino Linotype" w:cs="Palatino Linotype"/>
          <w:sz w:val="24"/>
          <w:szCs w:val="24"/>
        </w:rPr>
        <w:t xml:space="preserve">ebe protegerse en los documentos que lo contengan, según lo dispuesto por los artículos 3, fracción IX, 143, fracción I de la Ley de Transparencia y </w:t>
      </w:r>
      <w:r>
        <w:rPr>
          <w:rFonts w:ascii="Palatino Linotype" w:eastAsia="Palatino Linotype" w:hAnsi="Palatino Linotype" w:cs="Palatino Linotype"/>
          <w:sz w:val="24"/>
          <w:szCs w:val="24"/>
        </w:rPr>
        <w:lastRenderedPageBreak/>
        <w:t xml:space="preserve">Acceso a la Información Pública del Estado de México y Municipios, en relación con el 4, fracción XI de La </w:t>
      </w:r>
      <w:r>
        <w:rPr>
          <w:rFonts w:ascii="Palatino Linotype" w:eastAsia="Palatino Linotype" w:hAnsi="Palatino Linotype" w:cs="Palatino Linotype"/>
          <w:sz w:val="24"/>
          <w:szCs w:val="24"/>
        </w:rPr>
        <w:t>Ley de Protección de Datos Personales en Posesión de Sujetos Obligados del Estado de México y Municipios.</w:t>
      </w:r>
    </w:p>
    <w:p w:rsidR="00F440DA" w:rsidRDefault="00F440DA">
      <w:pPr>
        <w:spacing w:after="0" w:line="360" w:lineRule="auto"/>
        <w:jc w:val="both"/>
        <w:rPr>
          <w:rFonts w:ascii="Palatino Linotype" w:eastAsia="Palatino Linotype" w:hAnsi="Palatino Linotype" w:cs="Palatino Linotype"/>
          <w:sz w:val="24"/>
          <w:szCs w:val="24"/>
        </w:rPr>
      </w:pPr>
    </w:p>
    <w:p w:rsidR="00F440DA" w:rsidRDefault="00EA435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en materia de administración pública los servidores públicos desempeñan funciones que por su naturaleza pueden ser de mayor interés públi</w:t>
      </w:r>
      <w:r>
        <w:rPr>
          <w:rFonts w:ascii="Palatino Linotype" w:eastAsia="Palatino Linotype" w:hAnsi="Palatino Linotype" w:cs="Palatino Linotype"/>
          <w:sz w:val="24"/>
          <w:szCs w:val="24"/>
        </w:rPr>
        <w:t>co, esto es, aquellas que tienen un impacto directo en la vida de las personas y en el funcionamiento de la sociedad o de las instituciones públicas; ejemplo de ello pueden ser las funciones que implican una posición de poder que deba estar sujeta al escru</w:t>
      </w:r>
      <w:r>
        <w:rPr>
          <w:rFonts w:ascii="Palatino Linotype" w:eastAsia="Palatino Linotype" w:hAnsi="Palatino Linotype" w:cs="Palatino Linotype"/>
          <w:sz w:val="24"/>
          <w:szCs w:val="24"/>
        </w:rPr>
        <w:t>tinio y rendición de cuentas ante la sociedad, la administración de recursos públicos, la implementación de políticas públicas, la prestación de servicios públicos, entre otras.</w:t>
      </w:r>
    </w:p>
    <w:p w:rsidR="00F440DA" w:rsidRDefault="00F440DA">
      <w:pPr>
        <w:spacing w:after="0" w:line="360" w:lineRule="auto"/>
        <w:jc w:val="both"/>
        <w:rPr>
          <w:rFonts w:ascii="Palatino Linotype" w:eastAsia="Palatino Linotype" w:hAnsi="Palatino Linotype" w:cs="Palatino Linotype"/>
          <w:sz w:val="24"/>
          <w:szCs w:val="24"/>
        </w:rPr>
      </w:pPr>
    </w:p>
    <w:p w:rsidR="00F440DA" w:rsidRDefault="00EA4356">
      <w:pPr>
        <w:spacing w:after="0" w:line="360" w:lineRule="auto"/>
        <w:ind w:right="1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dado el interés público que revisten las funciones de las y los s</w:t>
      </w:r>
      <w:r>
        <w:rPr>
          <w:rFonts w:ascii="Palatino Linotype" w:eastAsia="Palatino Linotype" w:hAnsi="Palatino Linotype" w:cs="Palatino Linotype"/>
          <w:sz w:val="24"/>
          <w:szCs w:val="24"/>
        </w:rPr>
        <w:t>ervidores públicos que dan atención al público, así como de aquellos que cuenten con la calidad de mando medio o superior, la suscrita comparte que se debe dejar visible su fotografía, pues hacer pública la imagen de éstos puede contribuir a la transparenc</w:t>
      </w:r>
      <w:r>
        <w:rPr>
          <w:rFonts w:ascii="Palatino Linotype" w:eastAsia="Palatino Linotype" w:hAnsi="Palatino Linotype" w:cs="Palatino Linotype"/>
          <w:sz w:val="24"/>
          <w:szCs w:val="24"/>
        </w:rPr>
        <w:t>ia y la rendición de cuentas, al permitir a la ciudadanía identifique a los funcionarios que toman decisiones importantes en su nombre.</w:t>
      </w:r>
    </w:p>
    <w:p w:rsidR="00F440DA" w:rsidRDefault="00F440DA">
      <w:pPr>
        <w:spacing w:after="0" w:line="360" w:lineRule="auto"/>
        <w:ind w:right="140"/>
        <w:jc w:val="both"/>
        <w:rPr>
          <w:rFonts w:ascii="Palatino Linotype" w:eastAsia="Palatino Linotype" w:hAnsi="Palatino Linotype" w:cs="Palatino Linotype"/>
          <w:sz w:val="24"/>
          <w:szCs w:val="24"/>
        </w:rPr>
      </w:pPr>
    </w:p>
    <w:p w:rsidR="00F440DA" w:rsidRDefault="00EA4356">
      <w:pPr>
        <w:tabs>
          <w:tab w:val="left" w:pos="4962"/>
        </w:tabs>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lastRenderedPageBreak/>
        <w:t xml:space="preserve">Es así que, si bien se estipuló que </w:t>
      </w:r>
      <w:r>
        <w:rPr>
          <w:rFonts w:ascii="Palatino Linotype" w:eastAsia="Palatino Linotype" w:hAnsi="Palatino Linotype" w:cs="Palatino Linotype"/>
          <w:b/>
          <w:sz w:val="24"/>
          <w:szCs w:val="24"/>
          <w:u w:val="single"/>
        </w:rPr>
        <w:t>las fotografías de servidores públicos, sin importar el nivel o rango, guardan la n</w:t>
      </w:r>
      <w:r>
        <w:rPr>
          <w:rFonts w:ascii="Palatino Linotype" w:eastAsia="Palatino Linotype" w:hAnsi="Palatino Linotype" w:cs="Palatino Linotype"/>
          <w:b/>
          <w:sz w:val="24"/>
          <w:szCs w:val="24"/>
          <w:u w:val="single"/>
        </w:rPr>
        <w:t>aturaleza de públicas y</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por lo tanto, no procede su clasificación,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también lo es que, no comparto dicho argumento, ya que desde mi punto de vista, la fotografía de aquellos servidores públicos que no ostentan un cargo de mando medio o superior, o no brinda</w:t>
      </w:r>
      <w:r>
        <w:rPr>
          <w:rFonts w:ascii="Palatino Linotype" w:eastAsia="Palatino Linotype" w:hAnsi="Palatino Linotype" w:cs="Palatino Linotype"/>
          <w:sz w:val="24"/>
          <w:szCs w:val="24"/>
        </w:rPr>
        <w:t>n atención al público, debe conservarse como información confidencial, pues se considera importante equilibrar el interés público con el derecho a la privacidad de las y los servidores públicos y ponderar si realmente es necesario y proporcional hacer públ</w:t>
      </w:r>
      <w:r>
        <w:rPr>
          <w:rFonts w:ascii="Palatino Linotype" w:eastAsia="Palatino Linotype" w:hAnsi="Palatino Linotype" w:cs="Palatino Linotype"/>
          <w:sz w:val="24"/>
          <w:szCs w:val="24"/>
        </w:rPr>
        <w:t xml:space="preserve">ica su imagen, pues, en algunos casos, el interés público de dar a conocer la imagen de un servidor público puede justificar la limitación de su derecho a la privacidad, pero esto debe evaluarse cuidadosamente </w:t>
      </w:r>
      <w:r>
        <w:rPr>
          <w:rFonts w:ascii="Palatino Linotype" w:eastAsia="Palatino Linotype" w:hAnsi="Palatino Linotype" w:cs="Palatino Linotype"/>
          <w:color w:val="000000"/>
          <w:sz w:val="24"/>
          <w:szCs w:val="24"/>
        </w:rPr>
        <w:t>en cada caso y no ser la regla general.</w:t>
      </w:r>
    </w:p>
    <w:p w:rsidR="00F440DA" w:rsidRDefault="00F440DA">
      <w:pPr>
        <w:tabs>
          <w:tab w:val="left" w:pos="4962"/>
        </w:tabs>
        <w:spacing w:after="0" w:line="360" w:lineRule="auto"/>
        <w:jc w:val="both"/>
        <w:rPr>
          <w:rFonts w:ascii="Palatino Linotype" w:eastAsia="Palatino Linotype" w:hAnsi="Palatino Linotype" w:cs="Palatino Linotype"/>
          <w:color w:val="000000"/>
          <w:sz w:val="24"/>
          <w:szCs w:val="24"/>
        </w:rPr>
      </w:pPr>
    </w:p>
    <w:p w:rsidR="00F440DA" w:rsidRDefault="00EA4356">
      <w:pPr>
        <w:spacing w:after="0" w:line="360" w:lineRule="auto"/>
        <w:jc w:val="both"/>
        <w:rPr>
          <w:rFonts w:ascii="Palatino Linotype" w:eastAsia="Palatino Linotype" w:hAnsi="Palatino Linotype" w:cs="Palatino Linotype"/>
          <w:color w:val="000000"/>
          <w:sz w:val="24"/>
          <w:szCs w:val="24"/>
          <w:highlight w:val="red"/>
        </w:rPr>
      </w:pPr>
      <w:bookmarkStart w:id="4" w:name="_heading=h.xezr0okd57tn" w:colFirst="0" w:colLast="0"/>
      <w:bookmarkEnd w:id="4"/>
      <w:r>
        <w:rPr>
          <w:rFonts w:ascii="Palatino Linotype" w:eastAsia="Palatino Linotype" w:hAnsi="Palatino Linotype" w:cs="Palatino Linotype"/>
          <w:color w:val="000000"/>
          <w:sz w:val="24"/>
          <w:szCs w:val="24"/>
        </w:rPr>
        <w:t xml:space="preserve">Dado </w:t>
      </w:r>
      <w:r>
        <w:rPr>
          <w:rFonts w:ascii="Palatino Linotype" w:eastAsia="Palatino Linotype" w:hAnsi="Palatino Linotype" w:cs="Palatino Linotype"/>
          <w:color w:val="000000"/>
          <w:sz w:val="24"/>
          <w:szCs w:val="24"/>
        </w:rPr>
        <w:t>que el acceso a los documentos que contengan el dato materia de análisis, dichos datos constituyen la reproducción fiel de las características físicas de una persona en un momento determinado, d</w:t>
      </w:r>
      <w:r>
        <w:rPr>
          <w:rFonts w:ascii="Palatino Linotype" w:eastAsia="Palatino Linotype" w:hAnsi="Palatino Linotype" w:cs="Palatino Linotype"/>
          <w:sz w:val="24"/>
          <w:szCs w:val="24"/>
        </w:rPr>
        <w:t>ado que el acceso a los documentos que contengan el dato mater</w:t>
      </w:r>
      <w:r>
        <w:rPr>
          <w:rFonts w:ascii="Palatino Linotype" w:eastAsia="Palatino Linotype" w:hAnsi="Palatino Linotype" w:cs="Palatino Linotype"/>
          <w:sz w:val="24"/>
          <w:szCs w:val="24"/>
        </w:rPr>
        <w:t xml:space="preserve">ia de análisis, aun clasificándolo, sí daría cuenta de lo que en realidad se pretende transparentar, cómo es, por ejemplo, la preparación académica, la formación profesional y laboral y los conocimientos y habilidades adquiridas, que se refleja en la toma </w:t>
      </w:r>
      <w:r>
        <w:rPr>
          <w:rFonts w:ascii="Palatino Linotype" w:eastAsia="Palatino Linotype" w:hAnsi="Palatino Linotype" w:cs="Palatino Linotype"/>
          <w:sz w:val="24"/>
          <w:szCs w:val="24"/>
        </w:rPr>
        <w:t xml:space="preserve">de decisiones para el óptimo desempeño de las funciones para las cuales fueron designados, la idoneidad </w:t>
      </w:r>
      <w:r>
        <w:rPr>
          <w:rFonts w:ascii="Palatino Linotype" w:eastAsia="Palatino Linotype" w:hAnsi="Palatino Linotype" w:cs="Palatino Linotype"/>
          <w:sz w:val="24"/>
          <w:szCs w:val="24"/>
        </w:rPr>
        <w:lastRenderedPageBreak/>
        <w:t>para ocupar un cargo, entre otros aspectos, pues el hecho de clasificar la fotografía no le resta validez a los documentos para los fines señalados.</w:t>
      </w:r>
    </w:p>
    <w:p w:rsidR="00F440DA" w:rsidRDefault="00F440DA">
      <w:pPr>
        <w:spacing w:after="0" w:line="360" w:lineRule="auto"/>
        <w:jc w:val="both"/>
        <w:rPr>
          <w:rFonts w:ascii="Palatino Linotype" w:eastAsia="Palatino Linotype" w:hAnsi="Palatino Linotype" w:cs="Palatino Linotype"/>
          <w:sz w:val="24"/>
          <w:szCs w:val="24"/>
        </w:rPr>
      </w:pPr>
    </w:p>
    <w:p w:rsidR="00F440DA" w:rsidRDefault="00EA435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w:t>
      </w:r>
      <w:r>
        <w:rPr>
          <w:rFonts w:ascii="Palatino Linotype" w:eastAsia="Palatino Linotype" w:hAnsi="Palatino Linotype" w:cs="Palatino Linotype"/>
          <w:sz w:val="24"/>
          <w:szCs w:val="24"/>
        </w:rPr>
        <w:t xml:space="preserve">imismo, es importante señalar que los objetivos de la transparencia se alcanzan al momento de permitir el acceso a los documentos ordenados, no siendo indispensable o determinante dar a conocer la fotografía para dar cuenta de la idoneidad de las personas </w:t>
      </w:r>
      <w:r>
        <w:rPr>
          <w:rFonts w:ascii="Palatino Linotype" w:eastAsia="Palatino Linotype" w:hAnsi="Palatino Linotype" w:cs="Palatino Linotype"/>
          <w:sz w:val="24"/>
          <w:szCs w:val="24"/>
        </w:rPr>
        <w:t>servidoras públicas para ocupar sus puestos o para acreditar que cumplieron con determinados requisitos, lo que da cuenta de ello es el propio documento.</w:t>
      </w:r>
    </w:p>
    <w:p w:rsidR="00F440DA" w:rsidRDefault="00F440DA">
      <w:pPr>
        <w:spacing w:after="0" w:line="360" w:lineRule="auto"/>
        <w:jc w:val="both"/>
        <w:rPr>
          <w:rFonts w:ascii="Palatino Linotype" w:eastAsia="Palatino Linotype" w:hAnsi="Palatino Linotype" w:cs="Palatino Linotype"/>
          <w:color w:val="000000"/>
          <w:sz w:val="24"/>
          <w:szCs w:val="24"/>
          <w:highlight w:val="red"/>
        </w:rPr>
      </w:pPr>
    </w:p>
    <w:p w:rsidR="00F440DA" w:rsidRDefault="00EA4356">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Además, existen documentos que contienen la fotografía con los cuales se permite identificar que el s</w:t>
      </w:r>
      <w:r>
        <w:rPr>
          <w:rFonts w:ascii="Palatino Linotype" w:eastAsia="Palatino Linotype" w:hAnsi="Palatino Linotype" w:cs="Palatino Linotype"/>
          <w:color w:val="000000"/>
          <w:sz w:val="24"/>
          <w:szCs w:val="24"/>
        </w:rPr>
        <w:t>ervidor público acredita los requisitos que el cargo requiere.</w:t>
      </w:r>
    </w:p>
    <w:p w:rsidR="00F440DA" w:rsidRDefault="00F440DA">
      <w:pPr>
        <w:spacing w:after="0" w:line="360" w:lineRule="auto"/>
        <w:jc w:val="both"/>
        <w:rPr>
          <w:rFonts w:ascii="Palatino Linotype" w:eastAsia="Palatino Linotype" w:hAnsi="Palatino Linotype" w:cs="Palatino Linotype"/>
          <w:color w:val="000000"/>
          <w:sz w:val="24"/>
          <w:szCs w:val="24"/>
        </w:rPr>
      </w:pPr>
      <w:bookmarkStart w:id="5" w:name="_heading=h.2et92p0" w:colFirst="0" w:colLast="0"/>
      <w:bookmarkEnd w:id="5"/>
    </w:p>
    <w:p w:rsidR="00F440DA" w:rsidRDefault="00EA4356">
      <w:pPr>
        <w:tabs>
          <w:tab w:val="left" w:pos="4962"/>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por las razones antes expuestas que no comparto este punto del estudio de la resolución dictada, </w:t>
      </w:r>
      <w:r>
        <w:rPr>
          <w:rFonts w:ascii="Palatino Linotype" w:eastAsia="Palatino Linotype" w:hAnsi="Palatino Linotype" w:cs="Palatino Linotype"/>
          <w:b/>
          <w:sz w:val="24"/>
          <w:szCs w:val="24"/>
        </w:rPr>
        <w:t xml:space="preserve">pues considero que </w:t>
      </w:r>
      <w:r>
        <w:rPr>
          <w:rFonts w:ascii="Palatino Linotype" w:eastAsia="Palatino Linotype" w:hAnsi="Palatino Linotype" w:cs="Palatino Linotype"/>
          <w:b/>
          <w:sz w:val="24"/>
          <w:szCs w:val="24"/>
          <w:u w:val="single"/>
        </w:rPr>
        <w:t>no se debe dejar visible la fotografía de las y los servidores públicos q</w:t>
      </w:r>
      <w:r>
        <w:rPr>
          <w:rFonts w:ascii="Palatino Linotype" w:eastAsia="Palatino Linotype" w:hAnsi="Palatino Linotype" w:cs="Palatino Linotype"/>
          <w:b/>
          <w:sz w:val="24"/>
          <w:szCs w:val="24"/>
          <w:u w:val="single"/>
        </w:rPr>
        <w:t>ue NO cuenten con la calidad de mando medio y/o superior,</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o no presten atención al público</w:t>
      </w:r>
      <w:r>
        <w:rPr>
          <w:rFonts w:ascii="Palatino Linotype" w:eastAsia="Palatino Linotype" w:hAnsi="Palatino Linotype" w:cs="Palatino Linotype"/>
          <w:sz w:val="24"/>
          <w:szCs w:val="24"/>
        </w:rPr>
        <w:t>,  pues se estima que se actualiza la causal de clasificación establecida en el artículo 143, fracción I, de la Ley de la Ley de Transparencia y Acceso a la Informaci</w:t>
      </w:r>
      <w:r>
        <w:rPr>
          <w:rFonts w:ascii="Palatino Linotype" w:eastAsia="Palatino Linotype" w:hAnsi="Palatino Linotype" w:cs="Palatino Linotype"/>
          <w:sz w:val="24"/>
          <w:szCs w:val="24"/>
        </w:rPr>
        <w:t>ón Pública del Estado de México y Municipios.</w:t>
      </w:r>
    </w:p>
    <w:p w:rsidR="00F440DA" w:rsidRDefault="00F440DA">
      <w:pPr>
        <w:spacing w:after="0" w:line="360" w:lineRule="auto"/>
        <w:jc w:val="both"/>
        <w:rPr>
          <w:rFonts w:ascii="Palatino Linotype" w:eastAsia="Palatino Linotype" w:hAnsi="Palatino Linotype" w:cs="Palatino Linotype"/>
          <w:color w:val="000000"/>
          <w:sz w:val="24"/>
          <w:szCs w:val="24"/>
        </w:rPr>
      </w:pPr>
    </w:p>
    <w:p w:rsidR="00F440DA" w:rsidRDefault="00EA435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Es por todo lo vertido en líneas argumentativas anteriores que la suscrita no comparte el sentido de la resolución, razón por la cual se emite el presente </w:t>
      </w:r>
      <w:r>
        <w:rPr>
          <w:rFonts w:ascii="Palatino Linotype" w:eastAsia="Palatino Linotype" w:hAnsi="Palatino Linotype" w:cs="Palatino Linotype"/>
          <w:b/>
          <w:sz w:val="24"/>
          <w:szCs w:val="24"/>
        </w:rPr>
        <w:t>Voto disidente</w:t>
      </w:r>
      <w:r>
        <w:rPr>
          <w:rFonts w:ascii="Palatino Linotype" w:eastAsia="Palatino Linotype" w:hAnsi="Palatino Linotype" w:cs="Palatino Linotype"/>
          <w:sz w:val="24"/>
          <w:szCs w:val="24"/>
        </w:rPr>
        <w:t>.</w:t>
      </w:r>
    </w:p>
    <w:p w:rsidR="00F440DA" w:rsidRDefault="00F440DA">
      <w:pPr>
        <w:spacing w:after="0" w:line="360" w:lineRule="auto"/>
        <w:ind w:right="423"/>
        <w:jc w:val="both"/>
        <w:rPr>
          <w:rFonts w:ascii="Palatino Linotype" w:eastAsia="Palatino Linotype" w:hAnsi="Palatino Linotype" w:cs="Palatino Linotype"/>
          <w:highlight w:val="red"/>
        </w:rPr>
      </w:pPr>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bookmarkStart w:id="6" w:name="_heading=h.3znysh7" w:colFirst="0" w:colLast="0"/>
      <w:bookmarkEnd w:id="6"/>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bookmarkStart w:id="7" w:name="_heading=h.30j0zll" w:colFirst="0" w:colLast="0"/>
      <w:bookmarkEnd w:id="7"/>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Pr>
        <w:spacing w:after="0" w:line="360" w:lineRule="auto"/>
        <w:ind w:right="423"/>
        <w:jc w:val="both"/>
        <w:rPr>
          <w:rFonts w:ascii="Palatino Linotype" w:eastAsia="Palatino Linotype" w:hAnsi="Palatino Linotype" w:cs="Palatino Linotype"/>
        </w:rPr>
      </w:pPr>
    </w:p>
    <w:p w:rsidR="00F440DA" w:rsidRDefault="00F440DA"/>
    <w:p w:rsidR="00F440DA" w:rsidRDefault="00F440DA"/>
    <w:p w:rsidR="00F440DA" w:rsidRDefault="00F440DA"/>
    <w:p w:rsidR="00F440DA" w:rsidRDefault="00F440DA"/>
    <w:p w:rsidR="00F440DA" w:rsidRDefault="00F440DA"/>
    <w:p w:rsidR="00F440DA" w:rsidRDefault="00F440DA"/>
    <w:sectPr w:rsidR="00F440DA">
      <w:headerReference w:type="default" r:id="rId9"/>
      <w:footerReference w:type="default" r:id="rId10"/>
      <w:pgSz w:w="12240" w:h="15840"/>
      <w:pgMar w:top="1871" w:right="231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356" w:rsidRDefault="00EA4356">
      <w:pPr>
        <w:spacing w:after="0" w:line="240" w:lineRule="auto"/>
      </w:pPr>
      <w:r>
        <w:separator/>
      </w:r>
    </w:p>
  </w:endnote>
  <w:endnote w:type="continuationSeparator" w:id="0">
    <w:p w:rsidR="00EA4356" w:rsidRDefault="00EA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DA" w:rsidRDefault="00EA4356">
    <w:pPr>
      <w:jc w:val="right"/>
      <w:rPr>
        <w:rFonts w:ascii="Palatino Linotype" w:eastAsia="Palatino Linotype" w:hAnsi="Palatino Linotype" w:cs="Palatino Linotype"/>
      </w:rPr>
    </w:pPr>
    <w:r>
      <w:rPr>
        <w:rFonts w:ascii="Palatino Linotype" w:eastAsia="Palatino Linotype" w:hAnsi="Palatino Linotype" w:cs="Palatino Linotype"/>
      </w:rPr>
      <w:t xml:space="preserve">Página </w:t>
    </w:r>
    <w:r>
      <w:rPr>
        <w:rFonts w:ascii="Palatino Linotype" w:eastAsia="Palatino Linotype" w:hAnsi="Palatino Linotype" w:cs="Palatino Linotype"/>
      </w:rPr>
      <w:fldChar w:fldCharType="begin"/>
    </w:r>
    <w:r>
      <w:rPr>
        <w:rFonts w:ascii="Palatino Linotype" w:eastAsia="Palatino Linotype" w:hAnsi="Palatino Linotype" w:cs="Palatino Linotype"/>
      </w:rPr>
      <w:instrText>PAGE</w:instrText>
    </w:r>
    <w:r w:rsidR="00B46808">
      <w:rPr>
        <w:rFonts w:ascii="Palatino Linotype" w:eastAsia="Palatino Linotype" w:hAnsi="Palatino Linotype" w:cs="Palatino Linotype"/>
      </w:rPr>
      <w:fldChar w:fldCharType="separate"/>
    </w:r>
    <w:r w:rsidR="00C139A1">
      <w:rPr>
        <w:rFonts w:ascii="Palatino Linotype" w:eastAsia="Palatino Linotype" w:hAnsi="Palatino Linotype" w:cs="Palatino Linotype"/>
        <w:noProof/>
      </w:rPr>
      <w:t>20</w:t>
    </w:r>
    <w:r>
      <w:rPr>
        <w:rFonts w:ascii="Palatino Linotype" w:eastAsia="Palatino Linotype" w:hAnsi="Palatino Linotype" w:cs="Palatino Linotype"/>
      </w:rPr>
      <w:fldChar w:fldCharType="end"/>
    </w:r>
    <w:r>
      <w:rPr>
        <w:rFonts w:ascii="Palatino Linotype" w:eastAsia="Palatino Linotype" w:hAnsi="Palatino Linotype" w:cs="Palatino Linotype"/>
      </w:rPr>
      <w:t xml:space="preserve"> de </w:t>
    </w:r>
    <w:r>
      <w:rPr>
        <w:rFonts w:ascii="Palatino Linotype" w:eastAsia="Palatino Linotype" w:hAnsi="Palatino Linotype" w:cs="Palatino Linotype"/>
      </w:rPr>
      <w:fldChar w:fldCharType="begin"/>
    </w:r>
    <w:r>
      <w:rPr>
        <w:rFonts w:ascii="Palatino Linotype" w:eastAsia="Palatino Linotype" w:hAnsi="Palatino Linotype" w:cs="Palatino Linotype"/>
      </w:rPr>
      <w:instrText>NUMPAGES</w:instrText>
    </w:r>
    <w:r w:rsidR="00B46808">
      <w:rPr>
        <w:rFonts w:ascii="Palatino Linotype" w:eastAsia="Palatino Linotype" w:hAnsi="Palatino Linotype" w:cs="Palatino Linotype"/>
      </w:rPr>
      <w:fldChar w:fldCharType="separate"/>
    </w:r>
    <w:r w:rsidR="00C139A1">
      <w:rPr>
        <w:rFonts w:ascii="Palatino Linotype" w:eastAsia="Palatino Linotype" w:hAnsi="Palatino Linotype" w:cs="Palatino Linotype"/>
        <w:noProof/>
      </w:rPr>
      <w:t>21</w:t>
    </w:r>
    <w:r>
      <w:rPr>
        <w:rFonts w:ascii="Palatino Linotype" w:eastAsia="Palatino Linotype" w:hAnsi="Palatino Linotype" w:cs="Palatino Linotype"/>
      </w:rPr>
      <w:fldChar w:fldCharType="end"/>
    </w:r>
  </w:p>
  <w:p w:rsidR="00F440DA" w:rsidRDefault="00F440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356" w:rsidRDefault="00EA4356">
      <w:pPr>
        <w:spacing w:after="0" w:line="240" w:lineRule="auto"/>
      </w:pPr>
      <w:r>
        <w:separator/>
      </w:r>
    </w:p>
  </w:footnote>
  <w:footnote w:type="continuationSeparator" w:id="0">
    <w:p w:rsidR="00EA4356" w:rsidRDefault="00EA4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DA" w:rsidRDefault="00EA435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-683886</wp:posOffset>
          </wp:positionH>
          <wp:positionV relativeFrom="paragraph">
            <wp:posOffset>-455918</wp:posOffset>
          </wp:positionV>
          <wp:extent cx="7510628" cy="9883775"/>
          <wp:effectExtent l="0" t="0" r="0"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F440DA" w:rsidRDefault="00EA435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DISIDENTE. </w:t>
    </w:r>
  </w:p>
  <w:p w:rsidR="00F440DA" w:rsidRDefault="00EA435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03435/INFOEM/IP/RR/2024.</w:t>
    </w:r>
  </w:p>
  <w:p w:rsidR="00F440DA" w:rsidRDefault="00EA435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Consejería Jurídica.</w:t>
    </w:r>
  </w:p>
  <w:p w:rsidR="00F440DA" w:rsidRDefault="00EA435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Comisionado Ponente:</w:t>
    </w:r>
    <w:r>
      <w:t xml:space="preserve"> </w:t>
    </w:r>
    <w:r>
      <w:rPr>
        <w:rFonts w:ascii="Palatino Linotype" w:eastAsia="Palatino Linotype" w:hAnsi="Palatino Linotype" w:cs="Palatino Linotype"/>
        <w:b/>
        <w:color w:val="000000"/>
        <w:sz w:val="20"/>
        <w:szCs w:val="20"/>
      </w:rPr>
      <w:t xml:space="preserve">José Martínez Vilchis. </w:t>
    </w:r>
  </w:p>
  <w:p w:rsidR="00F440DA" w:rsidRDefault="00F440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002B3A"/>
    <w:multiLevelType w:val="multilevel"/>
    <w:tmpl w:val="F9664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326770"/>
    <w:multiLevelType w:val="multilevel"/>
    <w:tmpl w:val="0874BA5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C93C53"/>
    <w:multiLevelType w:val="multilevel"/>
    <w:tmpl w:val="ED821D0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DA"/>
    <w:rsid w:val="00482539"/>
    <w:rsid w:val="00B46808"/>
    <w:rsid w:val="00C139A1"/>
    <w:rsid w:val="00EA4356"/>
    <w:rsid w:val="00F44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BBF5E-65D3-41C3-9DF0-8D197AE8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B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967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2B3"/>
    <w:rPr>
      <w:rFonts w:ascii="Calibri" w:eastAsia="Calibri" w:hAnsi="Calibri" w:cs="Calibri"/>
      <w:lang w:eastAsia="es-MX"/>
    </w:rPr>
  </w:style>
  <w:style w:type="paragraph" w:styleId="Piedepgina">
    <w:name w:val="footer"/>
    <w:basedOn w:val="Normal"/>
    <w:link w:val="PiedepginaCar"/>
    <w:uiPriority w:val="99"/>
    <w:unhideWhenUsed/>
    <w:rsid w:val="00967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2B3"/>
    <w:rPr>
      <w:rFonts w:ascii="Calibri" w:eastAsia="Calibri" w:hAnsi="Calibri" w:cs="Calibri"/>
      <w:lang w:eastAsia="es-MX"/>
    </w:rPr>
  </w:style>
  <w:style w:type="paragraph" w:styleId="Prrafodelista">
    <w:name w:val="List Paragraph"/>
    <w:basedOn w:val="Normal"/>
    <w:uiPriority w:val="34"/>
    <w:qFormat/>
    <w:rsid w:val="00517243"/>
    <w:pPr>
      <w:spacing w:line="259" w:lineRule="auto"/>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825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8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AfbiD1a83F0bYP0gCD2H9U4Gzg==">CgMxLjAyCGguZ2pkZ3hzMgloLjFmb2I5dGUyDmguc2V6bmswdjNrd2RwMg5oLnhlenIwb2tkNTd0bjIJaC4yZXQ5MnAwMgloLjN6bnlzaDcyCWguMzBqMHpsbDgAciExZUtnVXdKUHVRR3g4WGwwelp1VV9mWjAzSVdGSlhSZlc=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3894</Words>
  <Characters>21420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2</cp:revision>
  <dcterms:created xsi:type="dcterms:W3CDTF">2024-11-04T15:21:00Z</dcterms:created>
  <dcterms:modified xsi:type="dcterms:W3CDTF">2024-11-05T17:25:00Z</dcterms:modified>
</cp:coreProperties>
</file>