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37" w:rsidRDefault="0025796A">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SE</w:t>
      </w:r>
      <w:r>
        <w:rPr>
          <w:rFonts w:ascii="Palatino Linotype" w:eastAsia="Palatino Linotype" w:hAnsi="Palatino Linotype" w:cs="Palatino Linotype"/>
          <w:b/>
          <w:sz w:val="24"/>
          <w:szCs w:val="24"/>
        </w:rPr>
        <w:t xml:space="preserve">XTA SESIÓN ORDINARIA CELEBRADA EL VEINTIUNO DE FEBRERO DE DOS MIL VEINTICUATRO EN EL RECURSO DE REVISIÓN NÚMERO 07175/INFOEM/IP/RR/2023. </w:t>
      </w:r>
    </w:p>
    <w:p w:rsidR="00D74537" w:rsidRDefault="00D74537">
      <w:pPr>
        <w:spacing w:after="0" w:line="360" w:lineRule="auto"/>
        <w:jc w:val="both"/>
        <w:rPr>
          <w:rFonts w:ascii="Palatino Linotype" w:eastAsia="Palatino Linotype" w:hAnsi="Palatino Linotype" w:cs="Palatino Linotype"/>
          <w:b/>
          <w:sz w:val="24"/>
          <w:szCs w:val="24"/>
        </w:rPr>
      </w:pPr>
    </w:p>
    <w:p w:rsidR="00D74537" w:rsidRDefault="0025796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w:t>
      </w:r>
      <w:r>
        <w:rPr>
          <w:rFonts w:ascii="Palatino Linotype" w:eastAsia="Palatino Linotype" w:hAnsi="Palatino Linotype" w:cs="Palatino Linotype"/>
          <w:sz w:val="24"/>
          <w:szCs w:val="24"/>
        </w:rPr>
        <w:t xml:space="preserve">Acceso a la Información Pública y Protección de Datos Personales del Estado de México, la que suscribe </w:t>
      </w:r>
      <w:r>
        <w:rPr>
          <w:rFonts w:ascii="Palatino Linotype" w:eastAsia="Palatino Linotype" w:hAnsi="Palatino Linotype" w:cs="Palatino Linotype"/>
          <w:b/>
          <w:sz w:val="24"/>
          <w:szCs w:val="24"/>
        </w:rPr>
        <w:t>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07175/INFOEM/IP/RR/2023</w:t>
      </w:r>
      <w:r>
        <w:rPr>
          <w:rFonts w:ascii="Palatino Linotype" w:eastAsia="Palatino Linotype" w:hAnsi="Palatino Linotype" w:cs="Palatino Linotype"/>
          <w:sz w:val="24"/>
          <w:szCs w:val="24"/>
        </w:rPr>
        <w:t>, pronunciada por e</w:t>
      </w:r>
      <w:r>
        <w:rPr>
          <w:rFonts w:ascii="Palatino Linotype" w:eastAsia="Palatino Linotype" w:hAnsi="Palatino Linotype" w:cs="Palatino Linotype"/>
          <w:sz w:val="24"/>
          <w:szCs w:val="24"/>
        </w:rPr>
        <w:t xml:space="preserve">l Pleno de este Instituto en el proyecto presentado por el </w:t>
      </w:r>
      <w:r>
        <w:rPr>
          <w:rFonts w:ascii="Palatino Linotype" w:eastAsia="Palatino Linotype" w:hAnsi="Palatino Linotype" w:cs="Palatino Linotype"/>
          <w:b/>
          <w:sz w:val="24"/>
          <w:szCs w:val="24"/>
        </w:rPr>
        <w:t>Comisionado Presidente José Martínez Vilchis</w:t>
      </w:r>
      <w:r>
        <w:rPr>
          <w:rFonts w:ascii="Palatino Linotype" w:eastAsia="Palatino Linotype" w:hAnsi="Palatino Linotype" w:cs="Palatino Linotype"/>
          <w:sz w:val="24"/>
          <w:szCs w:val="24"/>
        </w:rPr>
        <w:t xml:space="preserve">, al tenor siguiente: </w:t>
      </w:r>
    </w:p>
    <w:p w:rsidR="00D74537" w:rsidRDefault="00D74537">
      <w:pPr>
        <w:spacing w:after="0" w:line="360" w:lineRule="auto"/>
        <w:jc w:val="both"/>
        <w:rPr>
          <w:rFonts w:ascii="Palatino Linotype" w:eastAsia="Palatino Linotype" w:hAnsi="Palatino Linotype" w:cs="Palatino Linotype"/>
          <w:sz w:val="24"/>
          <w:szCs w:val="24"/>
        </w:rPr>
      </w:pPr>
    </w:p>
    <w:p w:rsidR="00D74537" w:rsidRDefault="0025796A">
      <w:pPr>
        <w:numPr>
          <w:ilvl w:val="0"/>
          <w:numId w:val="1"/>
        </w:numPr>
        <w:spacing w:after="0" w:line="360" w:lineRule="auto"/>
        <w:ind w:left="142" w:firstLine="283"/>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D74537" w:rsidRDefault="0025796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presentó la siguiente solicitud de información: </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“quiero la licenci</w:t>
      </w:r>
      <w:r>
        <w:rPr>
          <w:rFonts w:ascii="Palatino Linotype" w:eastAsia="Palatino Linotype" w:hAnsi="Palatino Linotype" w:cs="Palatino Linotype"/>
          <w:i/>
        </w:rPr>
        <w:t>a de uso de suelo de los predios donde se ubica la terminal del tren interurbano estación Pino Suárez, ubicada entre las calles Pino suárez y las Torres” (Sic)</w:t>
      </w:r>
    </w:p>
    <w:p w:rsidR="00D74537" w:rsidRDefault="00D74537">
      <w:pPr>
        <w:spacing w:after="0" w:line="276" w:lineRule="auto"/>
        <w:ind w:left="567" w:right="990"/>
        <w:jc w:val="both"/>
        <w:rPr>
          <w:rFonts w:ascii="Palatino Linotype" w:eastAsia="Palatino Linotype" w:hAnsi="Palatino Linotype" w:cs="Palatino Linotype"/>
        </w:rPr>
      </w:pPr>
    </w:p>
    <w:p w:rsidR="00D74537" w:rsidRDefault="0025796A">
      <w:pPr>
        <w:tabs>
          <w:tab w:val="left" w:pos="7513"/>
        </w:tabs>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lastRenderedPageBreak/>
        <w:t xml:space="preserve">En respuesta a la solicitud,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por conducto de la Titular de la Unidad de Tran</w:t>
      </w:r>
      <w:r>
        <w:rPr>
          <w:rFonts w:ascii="Palatino Linotype" w:eastAsia="Palatino Linotype" w:hAnsi="Palatino Linotype" w:cs="Palatino Linotype"/>
          <w:sz w:val="24"/>
          <w:szCs w:val="24"/>
        </w:rPr>
        <w:t xml:space="preserve">sparencia, remitió el acuerdo de incompetencia total emitido por la Titular de la Unidad de Transparencia, mediante el cual se hizo del conocimiento del Recurrente que ese Sujeto Obligado no tiene facultades para conocer lo referencia a la licencia de uso </w:t>
      </w:r>
      <w:r>
        <w:rPr>
          <w:rFonts w:ascii="Palatino Linotype" w:eastAsia="Palatino Linotype" w:hAnsi="Palatino Linotype" w:cs="Palatino Linotype"/>
          <w:sz w:val="24"/>
          <w:szCs w:val="24"/>
        </w:rPr>
        <w:t>de suelo de los predios en donde se ubica la terminal del Tren Interurbano, por lo que se presume que dicha información es competencia de la Secretaría de Desarrollo Urbano y Obra del Gobierno del Estado de México.</w:t>
      </w:r>
    </w:p>
    <w:p w:rsidR="00D74537" w:rsidRDefault="00D74537">
      <w:pPr>
        <w:tabs>
          <w:tab w:val="left" w:pos="7513"/>
        </w:tabs>
        <w:spacing w:after="0" w:line="360" w:lineRule="auto"/>
        <w:ind w:right="49"/>
        <w:jc w:val="both"/>
        <w:rPr>
          <w:rFonts w:ascii="Palatino Linotype" w:eastAsia="Palatino Linotype" w:hAnsi="Palatino Linotype" w:cs="Palatino Linotype"/>
          <w:sz w:val="24"/>
          <w:szCs w:val="24"/>
        </w:rPr>
      </w:pPr>
    </w:p>
    <w:p w:rsidR="00D74537" w:rsidRDefault="0025796A">
      <w:pPr>
        <w:tabs>
          <w:tab w:val="left" w:pos="7513"/>
        </w:tabs>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w:t>
      </w:r>
      <w:r>
        <w:rPr>
          <w:rFonts w:ascii="Palatino Linotype" w:eastAsia="Palatino Linotype" w:hAnsi="Palatino Linotype" w:cs="Palatino Linotype"/>
          <w:b/>
          <w:sz w:val="24"/>
          <w:szCs w:val="24"/>
        </w:rPr>
        <w:t>del Sujeto</w:t>
      </w:r>
      <w:r>
        <w:rPr>
          <w:rFonts w:ascii="Palatino Linotype" w:eastAsia="Palatino Linotype" w:hAnsi="Palatino Linotype" w:cs="Palatino Linotype"/>
          <w:b/>
          <w:sz w:val="24"/>
          <w:szCs w:val="24"/>
        </w:rPr>
        <w:t xml:space="preserve">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interpuso el medio de impugnación citado al rubro, en el que medularmente expresó lo siguiente en su acto impugnado: </w:t>
      </w:r>
    </w:p>
    <w:p w:rsidR="00D74537" w:rsidRDefault="0025796A">
      <w:pPr>
        <w:tabs>
          <w:tab w:val="left" w:pos="426"/>
        </w:tabs>
        <w:spacing w:after="0" w:line="240" w:lineRule="auto"/>
        <w:ind w:left="567" w:right="61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“la respuesta" (Sic)</w:t>
      </w:r>
    </w:p>
    <w:p w:rsidR="00D74537" w:rsidRDefault="00D74537">
      <w:pPr>
        <w:tabs>
          <w:tab w:val="left" w:pos="7513"/>
        </w:tabs>
        <w:spacing w:after="0" w:line="276" w:lineRule="auto"/>
        <w:ind w:right="49"/>
        <w:jc w:val="both"/>
        <w:rPr>
          <w:rFonts w:ascii="Palatino Linotype" w:eastAsia="Palatino Linotype" w:hAnsi="Palatino Linotype" w:cs="Palatino Linotype"/>
          <w:sz w:val="24"/>
          <w:szCs w:val="24"/>
        </w:rPr>
      </w:pPr>
    </w:p>
    <w:p w:rsidR="00D74537" w:rsidRDefault="0025796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Derivado de la admisión del recurso de revisión que nos ocupa, el </w:t>
      </w:r>
      <w:r>
        <w:rPr>
          <w:rFonts w:ascii="Palatino Linotype" w:eastAsia="Palatino Linotype" w:hAnsi="Palatino Linotype" w:cs="Palatino Linotype"/>
          <w:b/>
          <w:sz w:val="24"/>
          <w:szCs w:val="24"/>
        </w:rPr>
        <w:t>Suj</w:t>
      </w:r>
      <w:r>
        <w:rPr>
          <w:rFonts w:ascii="Palatino Linotype" w:eastAsia="Palatino Linotype" w:hAnsi="Palatino Linotype" w:cs="Palatino Linotype"/>
          <w:b/>
          <w:sz w:val="24"/>
          <w:szCs w:val="24"/>
        </w:rPr>
        <w:t>eto Obligado</w:t>
      </w:r>
      <w:r>
        <w:rPr>
          <w:rFonts w:ascii="Palatino Linotype" w:eastAsia="Palatino Linotype" w:hAnsi="Palatino Linotype" w:cs="Palatino Linotype"/>
          <w:sz w:val="24"/>
          <w:szCs w:val="24"/>
        </w:rPr>
        <w:t xml:space="preserve"> en informe justificado ratificó su respuesta inicial, mientras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fue omisa en pronunciarse. </w:t>
      </w:r>
    </w:p>
    <w:p w:rsidR="00D74537" w:rsidRDefault="00D74537">
      <w:pPr>
        <w:spacing w:after="0" w:line="360" w:lineRule="auto"/>
        <w:jc w:val="both"/>
        <w:rPr>
          <w:rFonts w:ascii="Palatino Linotype" w:eastAsia="Palatino Linotype" w:hAnsi="Palatino Linotype" w:cs="Palatino Linotype"/>
          <w:sz w:val="24"/>
          <w:szCs w:val="24"/>
        </w:rPr>
      </w:pPr>
    </w:p>
    <w:p w:rsidR="00D74537" w:rsidRDefault="0025796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Comisionado Ponente determinó que los motivos de inconformidad de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devenían </w:t>
      </w:r>
      <w:r>
        <w:rPr>
          <w:rFonts w:ascii="Palatino Linotype" w:eastAsia="Palatino Linotype" w:hAnsi="Palatino Linotype" w:cs="Palatino Linotype"/>
          <w:b/>
          <w:sz w:val="24"/>
          <w:szCs w:val="24"/>
        </w:rPr>
        <w:t>INFUNDADOS</w:t>
      </w:r>
      <w:r>
        <w:rPr>
          <w:rFonts w:ascii="Palatino Linotype" w:eastAsia="Palatino Linotype" w:hAnsi="Palatino Linotype" w:cs="Palatino Linotype"/>
          <w:sz w:val="24"/>
          <w:szCs w:val="24"/>
        </w:rPr>
        <w:t xml:space="preserve"> y determinó confirmar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tal como se visualiza en la siguiente cita:</w:t>
      </w:r>
    </w:p>
    <w:p w:rsidR="00D74537" w:rsidRDefault="0025796A">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“PRIMERO. Se </w:t>
      </w:r>
      <w:r>
        <w:rPr>
          <w:rFonts w:ascii="Palatino Linotype" w:eastAsia="Palatino Linotype" w:hAnsi="Palatino Linotype" w:cs="Palatino Linotype"/>
          <w:b/>
          <w:i/>
        </w:rPr>
        <w:t>CONFIRMA</w:t>
      </w:r>
      <w:r>
        <w:rPr>
          <w:rFonts w:ascii="Palatino Linotype" w:eastAsia="Palatino Linotype" w:hAnsi="Palatino Linotype" w:cs="Palatino Linotype"/>
          <w:i/>
        </w:rPr>
        <w:t xml:space="preserve"> la respuesta del Sujeto Obligado a la solicitud de información 03521/TOLUCA/IP/2023 por resultar infundadas las razones o </w:t>
      </w:r>
      <w:r>
        <w:rPr>
          <w:rFonts w:ascii="Palatino Linotype" w:eastAsia="Palatino Linotype" w:hAnsi="Palatino Linotype" w:cs="Palatino Linotype"/>
          <w:i/>
        </w:rPr>
        <w:lastRenderedPageBreak/>
        <w:t>motivos de inconformidad hechos valer por la Recurrente, en términos del Considerando QUINTO de esta resolución.”</w:t>
      </w:r>
    </w:p>
    <w:p w:rsidR="00D74537" w:rsidRDefault="00D74537">
      <w:pPr>
        <w:spacing w:after="0" w:line="360" w:lineRule="auto"/>
        <w:jc w:val="both"/>
        <w:rPr>
          <w:rFonts w:ascii="Palatino Linotype" w:eastAsia="Palatino Linotype" w:hAnsi="Palatino Linotype" w:cs="Palatino Linotype"/>
          <w:sz w:val="24"/>
          <w:szCs w:val="24"/>
        </w:rPr>
      </w:pPr>
    </w:p>
    <w:p w:rsidR="00D74537" w:rsidRDefault="0025796A">
      <w:pPr>
        <w:numPr>
          <w:ilvl w:val="0"/>
          <w:numId w:val="1"/>
        </w:numPr>
        <w:pBdr>
          <w:top w:val="nil"/>
          <w:left w:val="nil"/>
          <w:bottom w:val="nil"/>
          <w:right w:val="nil"/>
          <w:between w:val="nil"/>
        </w:pBdr>
        <w:spacing w:after="0" w:line="360" w:lineRule="auto"/>
        <w:ind w:left="567" w:hanging="284"/>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Razones del Voto D</w:t>
      </w:r>
      <w:r>
        <w:rPr>
          <w:rFonts w:ascii="Palatino Linotype" w:eastAsia="Palatino Linotype" w:hAnsi="Palatino Linotype" w:cs="Palatino Linotype"/>
          <w:b/>
          <w:color w:val="000000"/>
          <w:sz w:val="24"/>
          <w:szCs w:val="24"/>
        </w:rPr>
        <w:t xml:space="preserve">isidente. </w:t>
      </w:r>
    </w:p>
    <w:p w:rsidR="00D74537" w:rsidRDefault="00D74537">
      <w:pPr>
        <w:spacing w:after="0" w:line="360" w:lineRule="auto"/>
        <w:jc w:val="both"/>
        <w:rPr>
          <w:rFonts w:ascii="Palatino Linotype" w:eastAsia="Palatino Linotype" w:hAnsi="Palatino Linotype" w:cs="Palatino Linotype"/>
          <w:sz w:val="24"/>
          <w:szCs w:val="24"/>
        </w:rPr>
      </w:pPr>
    </w:p>
    <w:p w:rsidR="00D74537" w:rsidRDefault="0025796A">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Expuestos los antecedentes del presente asunto, resulta importante señalar que respetuosamente la suscrita no coincide con los términos planteados en la Resolución toda vez que desde mi punto de vista no resulta</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color w:val="000000"/>
          <w:sz w:val="24"/>
          <w:szCs w:val="24"/>
        </w:rPr>
        <w:t>procedente</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color w:val="000000"/>
          <w:sz w:val="24"/>
          <w:szCs w:val="24"/>
        </w:rPr>
        <w:t xml:space="preserve"> confirmar la respues</w:t>
      </w:r>
      <w:r>
        <w:rPr>
          <w:rFonts w:ascii="Palatino Linotype" w:eastAsia="Palatino Linotype" w:hAnsi="Palatino Linotype" w:cs="Palatino Linotype"/>
          <w:color w:val="000000"/>
          <w:sz w:val="24"/>
          <w:szCs w:val="24"/>
        </w:rPr>
        <w:t xml:space="preserve">ta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por las consideraciones que se vierten a continuación:</w:t>
      </w:r>
    </w:p>
    <w:p w:rsidR="00D74537" w:rsidRDefault="00D74537">
      <w:pPr>
        <w:spacing w:after="0" w:line="360" w:lineRule="auto"/>
        <w:jc w:val="both"/>
        <w:rPr>
          <w:rFonts w:ascii="Palatino Linotype" w:eastAsia="Palatino Linotype" w:hAnsi="Palatino Linotype" w:cs="Palatino Linotype"/>
          <w:sz w:val="24"/>
          <w:szCs w:val="24"/>
        </w:rPr>
      </w:pPr>
    </w:p>
    <w:p w:rsidR="00D74537" w:rsidRDefault="0025796A">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primera i</w:t>
      </w:r>
      <w:r w:rsidR="006C76D4">
        <w:rPr>
          <w:rFonts w:ascii="Palatino Linotype" w:eastAsia="Palatino Linotype" w:hAnsi="Palatino Linotype" w:cs="Palatino Linotype"/>
          <w:sz w:val="24"/>
          <w:szCs w:val="24"/>
        </w:rPr>
        <w:t>nstancia debemos tener en cuenta</w:t>
      </w:r>
      <w:r>
        <w:rPr>
          <w:rFonts w:ascii="Palatino Linotype" w:eastAsia="Palatino Linotype" w:hAnsi="Palatino Linotype" w:cs="Palatino Linotype"/>
          <w:sz w:val="24"/>
          <w:szCs w:val="24"/>
        </w:rPr>
        <w:t xml:space="preserve"> que de acuerdo con lo reportado en el portal de la Presidencia de la República (consultable en la liga electrónica: </w:t>
      </w:r>
      <w:hyperlink r:id="rId8">
        <w:r>
          <w:rPr>
            <w:rFonts w:ascii="Palatino Linotype" w:eastAsia="Palatino Linotype" w:hAnsi="Palatino Linotype" w:cs="Palatino Linotype"/>
            <w:color w:val="0000FF"/>
            <w:sz w:val="24"/>
            <w:szCs w:val="24"/>
            <w:u w:val="single"/>
          </w:rPr>
          <w:t>https://www.gob.mx/epn/articulos/10-datos-del-tren-mexico-toluca</w:t>
        </w:r>
      </w:hyperlink>
      <w:r>
        <w:rPr>
          <w:rFonts w:ascii="Palatino Linotype" w:eastAsia="Palatino Linotype" w:hAnsi="Palatino Linotype" w:cs="Palatino Linotype"/>
          <w:sz w:val="24"/>
          <w:szCs w:val="24"/>
        </w:rPr>
        <w:t xml:space="preserve"> el veintidós de febrero de dos mil veinticuatro a las 19:17 pm), la construcción del tren de pasajeros México-Toluca se realizará con el </w:t>
      </w:r>
      <w:r>
        <w:rPr>
          <w:rFonts w:ascii="Palatino Linotype" w:eastAsia="Palatino Linotype" w:hAnsi="Palatino Linotype" w:cs="Palatino Linotype"/>
          <w:b/>
          <w:sz w:val="24"/>
          <w:szCs w:val="24"/>
          <w:u w:val="single"/>
        </w:rPr>
        <w:t>trabajo coordinado y corresponsable de los tres órdenes de gobierno, federal, estatal y los ayuntamientos, así como co</w:t>
      </w:r>
      <w:r>
        <w:rPr>
          <w:rFonts w:ascii="Palatino Linotype" w:eastAsia="Palatino Linotype" w:hAnsi="Palatino Linotype" w:cs="Palatino Linotype"/>
          <w:b/>
          <w:sz w:val="24"/>
          <w:szCs w:val="24"/>
          <w:u w:val="single"/>
        </w:rPr>
        <w:t xml:space="preserve">n el gobierno del Distrito Federal, </w:t>
      </w:r>
      <w:r>
        <w:rPr>
          <w:rFonts w:ascii="Palatino Linotype" w:eastAsia="Palatino Linotype" w:hAnsi="Palatino Linotype" w:cs="Palatino Linotype"/>
          <w:sz w:val="24"/>
          <w:szCs w:val="24"/>
        </w:rPr>
        <w:t>por lo tanto, con esta cita queda de manifiesto que si bien es una obra ejecutada por la Federación, no menos cierto es que el Ayuntamiento de Toluca es corresponsable en esta obra, tan es así que el 6 de septiembre de 2</w:t>
      </w:r>
      <w:r>
        <w:rPr>
          <w:rFonts w:ascii="Palatino Linotype" w:eastAsia="Palatino Linotype" w:hAnsi="Palatino Linotype" w:cs="Palatino Linotype"/>
          <w:sz w:val="24"/>
          <w:szCs w:val="24"/>
        </w:rPr>
        <w:t>018</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xml:space="preserve">. La Secretaría de Desarrollo Urbano y Metropolitano (Seduym) firmó el convenio de coordinación y colaboración de la zona de influencia del Tren Interurbano México-Toluca con los </w:t>
      </w:r>
      <w:r>
        <w:rPr>
          <w:rFonts w:ascii="Palatino Linotype" w:eastAsia="Palatino Linotype" w:hAnsi="Palatino Linotype" w:cs="Palatino Linotype"/>
          <w:sz w:val="24"/>
          <w:szCs w:val="24"/>
        </w:rPr>
        <w:lastRenderedPageBreak/>
        <w:t>seis ayuntamientos por los que atravesará esta obra, esto con el propósit</w:t>
      </w:r>
      <w:r>
        <w:rPr>
          <w:rFonts w:ascii="Palatino Linotype" w:eastAsia="Palatino Linotype" w:hAnsi="Palatino Linotype" w:cs="Palatino Linotype"/>
          <w:sz w:val="24"/>
          <w:szCs w:val="24"/>
        </w:rPr>
        <w:t>o de lograr un instrumento normativo de coordinación metropolitana con los seis municipios adyacentes al tren y con las diferentes dependencias y sectores del Gobierno del Estado de México.</w:t>
      </w:r>
    </w:p>
    <w:p w:rsidR="00D74537" w:rsidRDefault="00D74537">
      <w:pPr>
        <w:spacing w:after="0" w:line="360" w:lineRule="auto"/>
        <w:ind w:right="-3"/>
        <w:jc w:val="both"/>
        <w:rPr>
          <w:rFonts w:ascii="Palatino Linotype" w:eastAsia="Palatino Linotype" w:hAnsi="Palatino Linotype" w:cs="Palatino Linotype"/>
          <w:sz w:val="24"/>
          <w:szCs w:val="24"/>
        </w:rPr>
      </w:pPr>
    </w:p>
    <w:p w:rsidR="00D74537" w:rsidRDefault="0025796A">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u w:val="single"/>
        </w:rPr>
        <w:t>De igual forma, repartir en forma eficiente y equitativa los cost</w:t>
      </w:r>
      <w:r>
        <w:rPr>
          <w:rFonts w:ascii="Palatino Linotype" w:eastAsia="Palatino Linotype" w:hAnsi="Palatino Linotype" w:cs="Palatino Linotype"/>
          <w:b/>
          <w:sz w:val="24"/>
          <w:szCs w:val="24"/>
          <w:u w:val="single"/>
        </w:rPr>
        <w:t>os y beneficios generados por el desarrollo urbano</w:t>
      </w:r>
      <w:r>
        <w:rPr>
          <w:rFonts w:ascii="Palatino Linotype" w:eastAsia="Palatino Linotype" w:hAnsi="Palatino Linotype" w:cs="Palatino Linotype"/>
          <w:sz w:val="24"/>
          <w:szCs w:val="24"/>
        </w:rPr>
        <w:t>, con transparencia en la aplicación de medidas de integración y de mitigación.</w:t>
      </w:r>
    </w:p>
    <w:p w:rsidR="00D74537" w:rsidRDefault="00D74537">
      <w:pPr>
        <w:spacing w:after="0" w:line="360" w:lineRule="auto"/>
        <w:ind w:right="423"/>
        <w:jc w:val="both"/>
        <w:rPr>
          <w:rFonts w:ascii="Palatino Linotype" w:eastAsia="Palatino Linotype" w:hAnsi="Palatino Linotype" w:cs="Palatino Linotype"/>
          <w:sz w:val="24"/>
          <w:szCs w:val="24"/>
        </w:rPr>
      </w:pPr>
    </w:p>
    <w:p w:rsidR="00D74537" w:rsidRDefault="0025796A">
      <w:pPr>
        <w:spacing w:after="0" w:line="360" w:lineRule="auto"/>
        <w:ind w:right="42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 resaltar que el Programa Metropolitano para la Zona Metropolitana del Valle de Toluca, que contempla a 16 municipios, s</w:t>
      </w:r>
      <w:r>
        <w:rPr>
          <w:rFonts w:ascii="Palatino Linotype" w:eastAsia="Palatino Linotype" w:hAnsi="Palatino Linotype" w:cs="Palatino Linotype"/>
          <w:sz w:val="24"/>
          <w:szCs w:val="24"/>
        </w:rPr>
        <w:t xml:space="preserve">iendo estos Almoloya de Juárez, Calimaya, Chapultepec, Lerma, Metepec, Mexicaltzingo, Ocoyoacac, Otzolotepec, San Antonio la Isla, San Mateo Atenco, Rayón, Temoaya, Tenango del Valle, </w:t>
      </w:r>
      <w:r>
        <w:rPr>
          <w:rFonts w:ascii="Palatino Linotype" w:eastAsia="Palatino Linotype" w:hAnsi="Palatino Linotype" w:cs="Palatino Linotype"/>
          <w:b/>
          <w:sz w:val="24"/>
          <w:szCs w:val="24"/>
        </w:rPr>
        <w:t>Toluca</w:t>
      </w:r>
      <w:r>
        <w:rPr>
          <w:rFonts w:ascii="Palatino Linotype" w:eastAsia="Palatino Linotype" w:hAnsi="Palatino Linotype" w:cs="Palatino Linotype"/>
          <w:sz w:val="24"/>
          <w:szCs w:val="24"/>
        </w:rPr>
        <w:t>, Xonacatlán y Zinacantepec, contempla dentro de sus proyectos est</w:t>
      </w:r>
      <w:r>
        <w:rPr>
          <w:rFonts w:ascii="Palatino Linotype" w:eastAsia="Palatino Linotype" w:hAnsi="Palatino Linotype" w:cs="Palatino Linotype"/>
          <w:sz w:val="24"/>
          <w:szCs w:val="24"/>
        </w:rPr>
        <w:t xml:space="preserve">ratégicos el </w:t>
      </w:r>
      <w:r>
        <w:rPr>
          <w:rFonts w:ascii="Palatino Linotype" w:eastAsia="Palatino Linotype" w:hAnsi="Palatino Linotype" w:cs="Palatino Linotype"/>
          <w:b/>
          <w:sz w:val="24"/>
          <w:szCs w:val="24"/>
          <w:u w:val="single"/>
        </w:rPr>
        <w:t>Reordenamiento territorial en zonas aledañas al Tren Interurbano México - Toluca</w:t>
      </w:r>
      <w:r>
        <w:rPr>
          <w:rFonts w:ascii="Palatino Linotype" w:eastAsia="Palatino Linotype" w:hAnsi="Palatino Linotype" w:cs="Palatino Linotype"/>
          <w:sz w:val="24"/>
          <w:szCs w:val="24"/>
        </w:rPr>
        <w:t xml:space="preserve">, el cual consiste en el Ordenamiento territorial basado en las nuevas oportunidades que implica la implementación del Tren Interurbano, </w:t>
      </w:r>
      <w:r>
        <w:rPr>
          <w:rFonts w:ascii="Palatino Linotype" w:eastAsia="Palatino Linotype" w:hAnsi="Palatino Linotype" w:cs="Palatino Linotype"/>
          <w:b/>
          <w:sz w:val="24"/>
          <w:szCs w:val="24"/>
        </w:rPr>
        <w:t>buscando planificar los us</w:t>
      </w:r>
      <w:r>
        <w:rPr>
          <w:rFonts w:ascii="Palatino Linotype" w:eastAsia="Palatino Linotype" w:hAnsi="Palatino Linotype" w:cs="Palatino Linotype"/>
          <w:b/>
          <w:sz w:val="24"/>
          <w:szCs w:val="24"/>
        </w:rPr>
        <w:t>os de suelos</w:t>
      </w:r>
      <w:r>
        <w:rPr>
          <w:rFonts w:ascii="Palatino Linotype" w:eastAsia="Palatino Linotype" w:hAnsi="Palatino Linotype" w:cs="Palatino Linotype"/>
          <w:sz w:val="24"/>
          <w:szCs w:val="24"/>
        </w:rPr>
        <w:t>.</w:t>
      </w:r>
    </w:p>
    <w:p w:rsidR="006C76D4" w:rsidRDefault="006C76D4">
      <w:pPr>
        <w:spacing w:after="0" w:line="360" w:lineRule="auto"/>
        <w:ind w:right="423"/>
        <w:jc w:val="both"/>
        <w:rPr>
          <w:rFonts w:ascii="Palatino Linotype" w:eastAsia="Palatino Linotype" w:hAnsi="Palatino Linotype" w:cs="Palatino Linotype"/>
          <w:sz w:val="24"/>
          <w:szCs w:val="24"/>
        </w:rPr>
      </w:pPr>
    </w:p>
    <w:p w:rsidR="006C76D4" w:rsidRPr="006C76D4" w:rsidRDefault="006C76D4" w:rsidP="006C76D4">
      <w:pPr>
        <w:pBdr>
          <w:top w:val="nil"/>
          <w:left w:val="nil"/>
          <w:bottom w:val="nil"/>
          <w:right w:val="nil"/>
          <w:between w:val="nil"/>
        </w:pBdr>
        <w:spacing w:after="240" w:line="360" w:lineRule="auto"/>
        <w:ind w:right="49"/>
        <w:jc w:val="both"/>
        <w:rPr>
          <w:rFonts w:ascii="Palatino Linotype" w:eastAsia="Palatino Linotype" w:hAnsi="Palatino Linotype" w:cs="Palatino Linotype"/>
          <w:strike/>
          <w:color w:val="FF0000"/>
          <w:sz w:val="24"/>
          <w:szCs w:val="24"/>
          <w:highlight w:val="yellow"/>
        </w:rPr>
      </w:pPr>
      <w:r>
        <w:rPr>
          <w:rFonts w:ascii="Palatino Linotype" w:eastAsia="Palatino Linotype" w:hAnsi="Palatino Linotype" w:cs="Palatino Linotype"/>
          <w:sz w:val="24"/>
          <w:szCs w:val="24"/>
        </w:rPr>
        <w:t xml:space="preserve">Es de resaltar que en el presente asunto quien se pronunció fue </w:t>
      </w:r>
      <w:r w:rsidRPr="006C76D4">
        <w:rPr>
          <w:rFonts w:ascii="Palatino Linotype" w:eastAsia="Palatino Linotype" w:hAnsi="Palatino Linotype" w:cs="Palatino Linotype"/>
          <w:b/>
          <w:sz w:val="24"/>
          <w:szCs w:val="24"/>
        </w:rPr>
        <w:t>la Titular de la</w:t>
      </w:r>
      <w:r>
        <w:rPr>
          <w:rFonts w:ascii="Palatino Linotype" w:eastAsia="Palatino Linotype" w:hAnsi="Palatino Linotype" w:cs="Palatino Linotype"/>
          <w:sz w:val="24"/>
          <w:szCs w:val="24"/>
        </w:rPr>
        <w:t xml:space="preserve"> </w:t>
      </w:r>
      <w:r w:rsidRPr="006C76D4">
        <w:rPr>
          <w:rFonts w:ascii="Palatino Linotype" w:eastAsia="Palatino Linotype" w:hAnsi="Palatino Linotype" w:cs="Palatino Linotype"/>
          <w:b/>
          <w:sz w:val="24"/>
          <w:szCs w:val="24"/>
        </w:rPr>
        <w:t>Unidad de Transparencia</w:t>
      </w:r>
      <w:r>
        <w:rPr>
          <w:rFonts w:ascii="Palatino Linotype" w:eastAsia="Palatino Linotype" w:hAnsi="Palatino Linotype" w:cs="Palatino Linotype"/>
          <w:sz w:val="24"/>
          <w:szCs w:val="24"/>
        </w:rPr>
        <w:t>, no así el servidor público habilitado competente</w:t>
      </w:r>
      <w:r w:rsidRPr="006C76D4">
        <w:rPr>
          <w:rFonts w:ascii="Palatino Linotype" w:eastAsia="Palatino Linotype" w:hAnsi="Palatino Linotype" w:cs="Palatino Linotype"/>
          <w:color w:val="000000"/>
          <w:sz w:val="24"/>
          <w:szCs w:val="24"/>
        </w:rPr>
        <w:t xml:space="preserve">, por lo tanto, es evidente que el </w:t>
      </w:r>
      <w:r w:rsidRPr="006C76D4">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no turnó la solicitud a la unidad </w:t>
      </w:r>
      <w:r>
        <w:rPr>
          <w:rFonts w:ascii="Palatino Linotype" w:eastAsia="Palatino Linotype" w:hAnsi="Palatino Linotype" w:cs="Palatino Linotype"/>
          <w:color w:val="000000"/>
          <w:sz w:val="24"/>
          <w:szCs w:val="24"/>
        </w:rPr>
        <w:lastRenderedPageBreak/>
        <w:t>administrativa</w:t>
      </w:r>
      <w:r w:rsidRPr="006C76D4">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competente</w:t>
      </w:r>
      <w:r w:rsidRPr="006C76D4">
        <w:rPr>
          <w:rFonts w:ascii="Palatino Linotype" w:eastAsia="Palatino Linotype" w:hAnsi="Palatino Linotype" w:cs="Palatino Linotype"/>
          <w:color w:val="000000"/>
          <w:sz w:val="24"/>
          <w:szCs w:val="24"/>
        </w:rPr>
        <w:t xml:space="preserve">, por lo que consecuentemente, no se satisfizo en su totalidad el derecho de acceso el derecho de acceso a la información pública de </w:t>
      </w:r>
      <w:r w:rsidRPr="006C76D4">
        <w:rPr>
          <w:rFonts w:ascii="Palatino Linotype" w:eastAsia="Palatino Linotype" w:hAnsi="Palatino Linotype" w:cs="Palatino Linotype"/>
          <w:b/>
          <w:color w:val="000000"/>
          <w:sz w:val="24"/>
          <w:szCs w:val="24"/>
        </w:rPr>
        <w:t>la parte</w:t>
      </w:r>
      <w:r w:rsidRPr="006C76D4">
        <w:rPr>
          <w:rFonts w:ascii="Palatino Linotype" w:eastAsia="Palatino Linotype" w:hAnsi="Palatino Linotype" w:cs="Palatino Linotype"/>
          <w:color w:val="000000"/>
          <w:sz w:val="24"/>
          <w:szCs w:val="24"/>
        </w:rPr>
        <w:t xml:space="preserve"> </w:t>
      </w:r>
      <w:r w:rsidRPr="006C76D4">
        <w:rPr>
          <w:rFonts w:ascii="Palatino Linotype" w:eastAsia="Palatino Linotype" w:hAnsi="Palatino Linotype" w:cs="Palatino Linotype"/>
          <w:b/>
          <w:color w:val="000000"/>
          <w:sz w:val="24"/>
          <w:szCs w:val="24"/>
        </w:rPr>
        <w:t>Recurrente</w:t>
      </w:r>
      <w:r w:rsidRPr="006C76D4">
        <w:rPr>
          <w:rFonts w:ascii="Palatino Linotype" w:eastAsia="Palatino Linotype" w:hAnsi="Palatino Linotype" w:cs="Palatino Linotype"/>
          <w:color w:val="000000"/>
          <w:sz w:val="24"/>
          <w:szCs w:val="24"/>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la </w:t>
      </w:r>
      <w:r w:rsidRPr="006C76D4">
        <w:rPr>
          <w:rFonts w:ascii="Palatino Linotype" w:eastAsia="Palatino Linotype" w:hAnsi="Palatino Linotype" w:cs="Palatino Linotype"/>
          <w:b/>
          <w:color w:val="000000"/>
          <w:sz w:val="24"/>
          <w:szCs w:val="24"/>
        </w:rPr>
        <w:t>Dirección General de Desarrollo Urbano, Ordenamiento Territorial y Obras Públicas</w:t>
      </w:r>
      <w:r w:rsidRPr="006C76D4">
        <w:rPr>
          <w:rFonts w:ascii="Palatino Linotype" w:eastAsia="Palatino Linotype" w:hAnsi="Palatino Linotype" w:cs="Palatino Linotype"/>
          <w:color w:val="000000"/>
          <w:sz w:val="24"/>
          <w:szCs w:val="24"/>
        </w:rPr>
        <w:t>,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rsidR="006C76D4" w:rsidRPr="006C76D4" w:rsidRDefault="006C76D4" w:rsidP="006C76D4">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6C76D4">
        <w:rPr>
          <w:rFonts w:ascii="Palatino Linotype" w:eastAsia="Palatino Linotype" w:hAnsi="Palatino Linotype" w:cs="Palatino Linotype"/>
          <w:color w:val="000000"/>
          <w:sz w:val="24"/>
          <w:szCs w:val="24"/>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rsidR="006C76D4" w:rsidRPr="006C76D4" w:rsidRDefault="006C76D4" w:rsidP="006C76D4">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6C76D4">
        <w:rPr>
          <w:rFonts w:ascii="Palatino Linotype" w:eastAsia="Palatino Linotype" w:hAnsi="Palatino Linotype" w:cs="Palatino Linotype"/>
          <w:color w:val="000000"/>
          <w:sz w:val="24"/>
          <w:szCs w:val="24"/>
        </w:rPr>
        <w:t>• La respuesta a los requerimientos informativos, deberá notificarse al interesado en el menor tiempo posible, que no podrá exceder de quince días hábiles, contados a partir del día siguiente a la presentación de esta. </w:t>
      </w:r>
    </w:p>
    <w:p w:rsidR="006C76D4" w:rsidRPr="006C76D4" w:rsidRDefault="006C76D4" w:rsidP="006C76D4">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6C76D4">
        <w:rPr>
          <w:rFonts w:ascii="Palatino Linotype" w:eastAsia="Palatino Linotype" w:hAnsi="Palatino Linotype" w:cs="Palatino Linotype"/>
          <w:color w:val="000000"/>
          <w:sz w:val="24"/>
          <w:szCs w:val="24"/>
        </w:rPr>
        <w:lastRenderedPageBreak/>
        <w:t>Excepcionalmente, el plazo referido podrá ampliarse por siete días hábiles más, cuando existan razones fundadas y motivadas, a través del Comité de Transparencia; </w:t>
      </w:r>
    </w:p>
    <w:p w:rsidR="006C76D4" w:rsidRPr="006C76D4" w:rsidRDefault="006C76D4" w:rsidP="006C76D4">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6C76D4">
        <w:rPr>
          <w:rFonts w:ascii="Palatino Linotype" w:eastAsia="Palatino Linotype" w:hAnsi="Palatino Linotype" w:cs="Palatino Linotype"/>
          <w:color w:val="000000"/>
          <w:sz w:val="24"/>
          <w:szCs w:val="24"/>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rsidR="006C76D4" w:rsidRPr="006C76D4" w:rsidRDefault="006C76D4" w:rsidP="006C76D4">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6C76D4">
        <w:rPr>
          <w:rFonts w:ascii="Palatino Linotype" w:eastAsia="Palatino Linotype" w:hAnsi="Palatino Linotype" w:cs="Palatino Linotype"/>
          <w:color w:val="000000"/>
          <w:sz w:val="24"/>
          <w:szCs w:val="24"/>
        </w:rPr>
        <w:t xml:space="preserve">• El acceso se dará en la modalidad de entrega y en su caso, de envío elegido por la solicitante, cuando no pueda entregarse en dicha modalidad, el </w:t>
      </w:r>
      <w:r w:rsidRPr="006C76D4">
        <w:rPr>
          <w:rFonts w:ascii="Palatino Linotype" w:eastAsia="Palatino Linotype" w:hAnsi="Palatino Linotype" w:cs="Palatino Linotype"/>
          <w:b/>
          <w:color w:val="000000"/>
          <w:sz w:val="24"/>
          <w:szCs w:val="24"/>
        </w:rPr>
        <w:t>Sujeto Obligado</w:t>
      </w:r>
      <w:r w:rsidRPr="006C76D4">
        <w:rPr>
          <w:rFonts w:ascii="Palatino Linotype" w:eastAsia="Palatino Linotype" w:hAnsi="Palatino Linotype" w:cs="Palatino Linotype"/>
          <w:color w:val="000000"/>
          <w:sz w:val="24"/>
          <w:szCs w:val="24"/>
        </w:rPr>
        <w:t xml:space="preserve"> deberá ofrecer otras; por lo cual, deberá fundar y motivar la necesidad de modificar el medio de entrega, y </w:t>
      </w:r>
    </w:p>
    <w:p w:rsidR="006C76D4" w:rsidRPr="006C76D4" w:rsidRDefault="006C76D4" w:rsidP="006C76D4">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sidRPr="006C76D4">
        <w:rPr>
          <w:rFonts w:ascii="Palatino Linotype" w:eastAsia="Palatino Linotype" w:hAnsi="Palatino Linotype" w:cs="Palatino Linotype"/>
          <w:color w:val="000000"/>
          <w:sz w:val="24"/>
          <w:szCs w:val="24"/>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6C76D4" w:rsidRPr="006C76D4" w:rsidRDefault="006C76D4" w:rsidP="006C76D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sz w:val="24"/>
          <w:szCs w:val="24"/>
        </w:rPr>
      </w:pPr>
      <w:r w:rsidRPr="006C76D4">
        <w:rPr>
          <w:rFonts w:ascii="Palatino Linotype" w:eastAsia="Palatino Linotype" w:hAnsi="Palatino Linotype" w:cs="Palatino Linotype"/>
          <w:color w:val="000000"/>
          <w:sz w:val="24"/>
          <w:szCs w:val="24"/>
        </w:rPr>
        <w:lastRenderedPageBreak/>
        <w:t xml:space="preserve">En este orden de ideas, se reitera que el </w:t>
      </w:r>
      <w:r w:rsidRPr="006C76D4">
        <w:rPr>
          <w:rFonts w:ascii="Palatino Linotype" w:eastAsia="Palatino Linotype" w:hAnsi="Palatino Linotype" w:cs="Palatino Linotype"/>
          <w:b/>
          <w:color w:val="000000"/>
          <w:sz w:val="24"/>
          <w:szCs w:val="24"/>
        </w:rPr>
        <w:t>Sujeto Obligado</w:t>
      </w:r>
      <w:r w:rsidRPr="006C76D4">
        <w:rPr>
          <w:rFonts w:ascii="Palatino Linotype" w:eastAsia="Palatino Linotype" w:hAnsi="Palatino Linotype" w:cs="Palatino Linotype"/>
          <w:color w:val="000000"/>
          <w:sz w:val="24"/>
          <w:szCs w:val="24"/>
        </w:rPr>
        <w:t xml:space="preserve"> debió turnar la solicitud a las áreas competentes para conocer de la solicitud de información, como en el presente caso se advierte que pudiera contar con la información, la </w:t>
      </w:r>
      <w:r w:rsidRPr="006C76D4">
        <w:rPr>
          <w:rFonts w:ascii="Palatino Linotype" w:eastAsia="Palatino Linotype" w:hAnsi="Palatino Linotype" w:cs="Palatino Linotype"/>
          <w:b/>
          <w:color w:val="000000"/>
          <w:sz w:val="24"/>
          <w:szCs w:val="24"/>
        </w:rPr>
        <w:t>Dirección General de Desarrollo Urbano, Ordenamiento Territorial y Obras Públicas</w:t>
      </w:r>
      <w:r w:rsidRPr="006C76D4">
        <w:rPr>
          <w:rFonts w:ascii="Palatino Linotype" w:eastAsia="Palatino Linotype" w:hAnsi="Palatino Linotype" w:cs="Palatino Linotype"/>
          <w:color w:val="000000"/>
          <w:sz w:val="24"/>
          <w:szCs w:val="24"/>
        </w:rPr>
        <w:t>, ello en virtud de que de conformidad con el Manual General de Organización</w:t>
      </w:r>
      <w:r>
        <w:rPr>
          <w:rFonts w:ascii="Palatino Linotype" w:eastAsia="Palatino Linotype" w:hAnsi="Palatino Linotype" w:cs="Palatino Linotype"/>
          <w:color w:val="000000"/>
          <w:sz w:val="24"/>
          <w:szCs w:val="24"/>
        </w:rPr>
        <w:t xml:space="preserve"> del Sector Central de la Administración Pública Municipal de Toluca 2022-2024</w:t>
      </w:r>
      <w:r w:rsidRPr="006C76D4">
        <w:rPr>
          <w:rFonts w:ascii="Palatino Linotype" w:eastAsia="Palatino Linotype" w:hAnsi="Palatino Linotype" w:cs="Palatino Linotype"/>
          <w:color w:val="000000"/>
          <w:sz w:val="24"/>
          <w:szCs w:val="24"/>
        </w:rPr>
        <w:t>, cuenta con las siguientes atribuciones:</w:t>
      </w:r>
    </w:p>
    <w:p w:rsidR="006C76D4" w:rsidRPr="006C76D4" w:rsidRDefault="006C76D4" w:rsidP="006C76D4">
      <w:pPr>
        <w:spacing w:after="0" w:line="276" w:lineRule="auto"/>
        <w:ind w:left="567" w:right="423"/>
        <w:jc w:val="both"/>
        <w:rPr>
          <w:rFonts w:ascii="Palatino Linotype" w:eastAsia="Palatino Linotype" w:hAnsi="Palatino Linotype" w:cs="Palatino Linotype"/>
          <w:i/>
          <w:szCs w:val="24"/>
        </w:rPr>
      </w:pPr>
      <w:r>
        <w:rPr>
          <w:rFonts w:ascii="Palatino Linotype" w:eastAsia="Palatino Linotype" w:hAnsi="Palatino Linotype" w:cs="Palatino Linotype"/>
          <w:i/>
          <w:szCs w:val="24"/>
        </w:rPr>
        <w:t>“</w:t>
      </w:r>
      <w:r w:rsidRPr="006C76D4">
        <w:rPr>
          <w:rFonts w:ascii="Palatino Linotype" w:eastAsia="Palatino Linotype" w:hAnsi="Palatino Linotype" w:cs="Palatino Linotype"/>
          <w:i/>
          <w:szCs w:val="24"/>
        </w:rPr>
        <w:t xml:space="preserve">Objetivo  </w:t>
      </w:r>
    </w:p>
    <w:p w:rsidR="006C76D4" w:rsidRPr="006C76D4" w:rsidRDefault="006C76D4" w:rsidP="006C76D4">
      <w:pPr>
        <w:spacing w:after="0" w:line="276" w:lineRule="auto"/>
        <w:ind w:left="567" w:right="423"/>
        <w:jc w:val="both"/>
        <w:rPr>
          <w:rFonts w:ascii="Palatino Linotype" w:eastAsia="Palatino Linotype" w:hAnsi="Palatino Linotype" w:cs="Palatino Linotype"/>
          <w:i/>
          <w:szCs w:val="24"/>
        </w:rPr>
      </w:pPr>
      <w:r w:rsidRPr="006C76D4">
        <w:rPr>
          <w:rFonts w:ascii="Palatino Linotype" w:eastAsia="Palatino Linotype" w:hAnsi="Palatino Linotype" w:cs="Palatino Linotype"/>
          <w:i/>
          <w:szCs w:val="24"/>
        </w:rPr>
        <w:t xml:space="preserve">Operar e instrumentar el Plan Municipal de Desarrollo Urbano, </w:t>
      </w:r>
      <w:r w:rsidRPr="006C76D4">
        <w:rPr>
          <w:rFonts w:ascii="Palatino Linotype" w:eastAsia="Palatino Linotype" w:hAnsi="Palatino Linotype" w:cs="Palatino Linotype"/>
          <w:b/>
          <w:i/>
          <w:szCs w:val="24"/>
          <w:u w:val="single"/>
        </w:rPr>
        <w:t>a través de la expedición de constancias, licencias y el fomento a la regularización del suelo, a efecto de propiciar el ordenamiento y urbanización territorial de los asentamientos humanos en el municipio</w:t>
      </w:r>
      <w:r w:rsidRPr="006C76D4">
        <w:rPr>
          <w:rFonts w:ascii="Palatino Linotype" w:eastAsia="Palatino Linotype" w:hAnsi="Palatino Linotype" w:cs="Palatino Linotype"/>
          <w:i/>
          <w:szCs w:val="24"/>
        </w:rPr>
        <w:t xml:space="preserve">; así como desarrollar, proponer y ejecutar el Programa Anual de Obra Pública Municipal a efecto de que se incremente la infraestructura urbana, en concordancia con el Plan de Desarrollo Municipal vigente.  </w:t>
      </w:r>
    </w:p>
    <w:p w:rsidR="006C76D4" w:rsidRPr="006C76D4" w:rsidRDefault="006C76D4" w:rsidP="006C76D4">
      <w:pPr>
        <w:spacing w:after="0" w:line="276" w:lineRule="auto"/>
        <w:ind w:left="567" w:right="423"/>
        <w:jc w:val="both"/>
        <w:rPr>
          <w:rFonts w:ascii="Palatino Linotype" w:eastAsia="Palatino Linotype" w:hAnsi="Palatino Linotype" w:cs="Palatino Linotype"/>
          <w:i/>
          <w:szCs w:val="24"/>
        </w:rPr>
      </w:pPr>
      <w:r w:rsidRPr="006C76D4">
        <w:rPr>
          <w:rFonts w:ascii="Palatino Linotype" w:eastAsia="Palatino Linotype" w:hAnsi="Palatino Linotype" w:cs="Palatino Linotype"/>
          <w:i/>
          <w:szCs w:val="24"/>
        </w:rPr>
        <w:t xml:space="preserve">Funciones: </w:t>
      </w:r>
    </w:p>
    <w:p w:rsidR="006C76D4" w:rsidRPr="006C76D4" w:rsidRDefault="006C76D4" w:rsidP="006C76D4">
      <w:pPr>
        <w:spacing w:after="0" w:line="276" w:lineRule="auto"/>
        <w:ind w:left="567" w:right="423"/>
        <w:jc w:val="both"/>
        <w:rPr>
          <w:rFonts w:ascii="Palatino Linotype" w:eastAsia="Palatino Linotype" w:hAnsi="Palatino Linotype" w:cs="Palatino Linotype"/>
          <w:b/>
          <w:i/>
          <w:szCs w:val="24"/>
          <w:u w:val="single"/>
        </w:rPr>
      </w:pPr>
      <w:r w:rsidRPr="006C76D4">
        <w:rPr>
          <w:rFonts w:ascii="Palatino Linotype" w:eastAsia="Palatino Linotype" w:hAnsi="Palatino Linotype" w:cs="Palatino Linotype"/>
          <w:b/>
          <w:i/>
          <w:szCs w:val="24"/>
          <w:u w:val="single"/>
        </w:rPr>
        <w:t xml:space="preserve">1. Supervisar y vigilar el cumplimiento del Código Administrativo del Estado de México, el Plan Municipal de Desarrollo Urbano y los planes parciales, mediante la coordinación, información, difusión, orientación y expedición de licencias y permisos relacionados tanto con el aprovechamiento del suelo, como con la construcción de edificaciones, con base en lo establecido en la normatividad aplicable en la materia; </w:t>
      </w:r>
    </w:p>
    <w:p w:rsidR="006C76D4" w:rsidRPr="006C76D4" w:rsidRDefault="006C76D4" w:rsidP="006C76D4">
      <w:pPr>
        <w:spacing w:after="0" w:line="276" w:lineRule="auto"/>
        <w:ind w:left="567" w:right="423"/>
        <w:jc w:val="both"/>
        <w:rPr>
          <w:rFonts w:ascii="Palatino Linotype" w:eastAsia="Palatino Linotype" w:hAnsi="Palatino Linotype" w:cs="Palatino Linotype"/>
          <w:i/>
          <w:szCs w:val="24"/>
        </w:rPr>
      </w:pPr>
      <w:r w:rsidRPr="006C76D4">
        <w:rPr>
          <w:rFonts w:ascii="Palatino Linotype" w:eastAsia="Palatino Linotype" w:hAnsi="Palatino Linotype" w:cs="Palatino Linotype"/>
          <w:b/>
          <w:i/>
          <w:szCs w:val="24"/>
          <w:u w:val="single"/>
        </w:rPr>
        <w:t>2. Someter a la consideración del Cabildo, las solicitudes de cambios de uso de suelo</w:t>
      </w:r>
      <w:r w:rsidRPr="006C76D4">
        <w:rPr>
          <w:rFonts w:ascii="Palatino Linotype" w:eastAsia="Palatino Linotype" w:hAnsi="Palatino Linotype" w:cs="Palatino Linotype"/>
          <w:i/>
          <w:szCs w:val="24"/>
        </w:rPr>
        <w:t>, de densidad, de coeficientes de ocupación y utilización del suelo y de alturas máximas de edificaciones, de conformidad con el Código Administrativo del Estado de México y su reglamento;</w:t>
      </w:r>
      <w:r>
        <w:rPr>
          <w:rFonts w:ascii="Palatino Linotype" w:eastAsia="Palatino Linotype" w:hAnsi="Palatino Linotype" w:cs="Palatino Linotype"/>
          <w:i/>
          <w:szCs w:val="24"/>
        </w:rPr>
        <w:t>” (Énfasis añadido)</w:t>
      </w:r>
    </w:p>
    <w:p w:rsidR="00AA746B" w:rsidRDefault="00AA746B">
      <w:pPr>
        <w:spacing w:after="0" w:line="360" w:lineRule="auto"/>
        <w:ind w:right="423"/>
        <w:jc w:val="both"/>
        <w:rPr>
          <w:rFonts w:ascii="Palatino Linotype" w:eastAsia="Palatino Linotype" w:hAnsi="Palatino Linotype" w:cs="Palatino Linotype"/>
          <w:sz w:val="24"/>
          <w:szCs w:val="24"/>
        </w:rPr>
      </w:pPr>
    </w:p>
    <w:p w:rsidR="00AA746B" w:rsidRDefault="00AA746B">
      <w:pPr>
        <w:spacing w:after="0" w:line="360" w:lineRule="auto"/>
        <w:ind w:right="42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lo anterior, queda de manifiesto que el requerimiento de información no fue atendido por el servidor público habilitado competente, lo cual deja a la parte solicitante en un estado de indefensión. </w:t>
      </w:r>
    </w:p>
    <w:p w:rsidR="00AA746B" w:rsidRDefault="00AA746B">
      <w:pPr>
        <w:spacing w:after="0" w:line="360" w:lineRule="auto"/>
        <w:ind w:right="423"/>
        <w:jc w:val="both"/>
        <w:rPr>
          <w:rFonts w:ascii="Palatino Linotype" w:eastAsia="Palatino Linotype" w:hAnsi="Palatino Linotype" w:cs="Palatino Linotype"/>
          <w:sz w:val="24"/>
          <w:szCs w:val="24"/>
        </w:rPr>
      </w:pPr>
    </w:p>
    <w:p w:rsidR="00D74537" w:rsidRDefault="00AA746B">
      <w:pPr>
        <w:spacing w:after="0" w:line="360" w:lineRule="auto"/>
        <w:ind w:right="42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t</w:t>
      </w:r>
      <w:r w:rsidR="0025796A">
        <w:rPr>
          <w:rFonts w:ascii="Palatino Linotype" w:eastAsia="Palatino Linotype" w:hAnsi="Palatino Linotype" w:cs="Palatino Linotype"/>
          <w:sz w:val="24"/>
          <w:szCs w:val="24"/>
        </w:rPr>
        <w:t>rasladando estas premisas a las presentes líneas argumentativas, se tiene que al involucrarse los municipios en el desarrollo urbano, observarán lo dispuesto por el Libro Quinto del Código Administrativo, el cual delimita las atribuciones d</w:t>
      </w:r>
      <w:r w:rsidR="0025796A">
        <w:rPr>
          <w:rFonts w:ascii="Palatino Linotype" w:eastAsia="Palatino Linotype" w:hAnsi="Palatino Linotype" w:cs="Palatino Linotype"/>
          <w:sz w:val="24"/>
          <w:szCs w:val="24"/>
        </w:rPr>
        <w:t>e los Ayuntamientos en materia de desarrollo urbano, mismas que se citan para mejor proveer del presente voto:</w:t>
      </w:r>
    </w:p>
    <w:p w:rsidR="00D74537" w:rsidRDefault="00D74537">
      <w:pPr>
        <w:spacing w:after="0" w:line="360" w:lineRule="auto"/>
        <w:ind w:right="423"/>
        <w:jc w:val="both"/>
        <w:rPr>
          <w:rFonts w:ascii="Palatino Linotype" w:eastAsia="Palatino Linotype" w:hAnsi="Palatino Linotype" w:cs="Palatino Linotype"/>
          <w:sz w:val="24"/>
          <w:szCs w:val="24"/>
        </w:rPr>
      </w:pPr>
    </w:p>
    <w:p w:rsidR="00D74537" w:rsidRDefault="0025796A">
      <w:pPr>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Artículo 5.10. Los municipios tendrán las atribuciones siguientes:</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 Formular, aprobar, ejecutar, evaluar, modificar y actualizar los planes municipales de desarrollo urbano y los parciales que de ellos deriven.</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II. Participar en la elaboración o modificación del respectivo plan regional de desarrollo urbano o de los par</w:t>
      </w:r>
      <w:r>
        <w:rPr>
          <w:rFonts w:ascii="Palatino Linotype" w:eastAsia="Palatino Linotype" w:hAnsi="Palatino Linotype" w:cs="Palatino Linotype"/>
          <w:i/>
        </w:rPr>
        <w:t>ciales que de éste deriven, cuando incluya parte o la totalidad de su territorio;</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III. Aprobar los proyectos ejecutivos, las memorias de cálculo y las especificaciones técnicas de las obras de infraestructura hidráulica, sanitaria y de urbanización, que es</w:t>
      </w:r>
      <w:r>
        <w:rPr>
          <w:rFonts w:ascii="Palatino Linotype" w:eastAsia="Palatino Linotype" w:hAnsi="Palatino Linotype" w:cs="Palatino Linotype"/>
          <w:i/>
        </w:rPr>
        <w:t>tablezcan los acuerdos de autorización de conjuntos urbanos, subdivisiones y condominios, con excepción de los proyectos que sean de competencia de las autoridades estatales o federales.</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IV. Supervisar la ejecución de las obras de urbanización e infraestru</w:t>
      </w:r>
      <w:r>
        <w:rPr>
          <w:rFonts w:ascii="Palatino Linotype" w:eastAsia="Palatino Linotype" w:hAnsi="Palatino Linotype" w:cs="Palatino Linotype"/>
          <w:i/>
        </w:rPr>
        <w:t>ctura hidráulica y sanitaria que establezcan los acuerdos de autorización de conjuntos urbanos, subdivisiones y condominios, que sean de su ámbito de competencia, verificando que éstos cumplan las condiciones para la adecuada prestación de servicios públic</w:t>
      </w:r>
      <w:r>
        <w:rPr>
          <w:rFonts w:ascii="Palatino Linotype" w:eastAsia="Palatino Linotype" w:hAnsi="Palatino Linotype" w:cs="Palatino Linotype"/>
          <w:i/>
        </w:rPr>
        <w:t>os.</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V. Recibir, conservar y operar las áreas de donación establecidas a favor del municipio, así como, las obras de urbanización, infraestructura y equipamiento </w:t>
      </w:r>
      <w:r>
        <w:rPr>
          <w:rFonts w:ascii="Palatino Linotype" w:eastAsia="Palatino Linotype" w:hAnsi="Palatino Linotype" w:cs="Palatino Linotype"/>
          <w:i/>
        </w:rPr>
        <w:lastRenderedPageBreak/>
        <w:t>urbano de los conjuntos urbanos, subdivisiones y condominios conforme a este Libro y su reglame</w:t>
      </w:r>
      <w:r>
        <w:rPr>
          <w:rFonts w:ascii="Palatino Linotype" w:eastAsia="Palatino Linotype" w:hAnsi="Palatino Linotype" w:cs="Palatino Linotype"/>
          <w:i/>
        </w:rPr>
        <w:t>ntación;</w:t>
      </w:r>
    </w:p>
    <w:p w:rsidR="00D74537" w:rsidRDefault="0025796A">
      <w:pPr>
        <w:spacing w:after="0" w:line="276" w:lineRule="auto"/>
        <w:ind w:left="567" w:right="99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VI. Expedir cédulas informativas de zonificación, licencias de uso de suelo y licencias de construcción;</w:t>
      </w:r>
    </w:p>
    <w:p w:rsidR="00D74537" w:rsidRDefault="0025796A">
      <w:pPr>
        <w:spacing w:after="0" w:line="276" w:lineRule="auto"/>
        <w:ind w:left="567" w:right="99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VII. Autorizar cambios de uso del suelo, del coeficiente de ocupación, del coeficiente de utilización, densidad y altura de edificaciones;</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VIII. Autorizar, controlar y vigilar la utilización y aprovechamiento del suelo con fines urbanos, en sus circunscripciones territoriales.</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IX. Difundir los planes de desarrollo urbano, así como los trámites para obtener las autorizaciones y licencias de su</w:t>
      </w:r>
      <w:r>
        <w:rPr>
          <w:rFonts w:ascii="Palatino Linotype" w:eastAsia="Palatino Linotype" w:hAnsi="Palatino Linotype" w:cs="Palatino Linotype"/>
          <w:i/>
        </w:rPr>
        <w:t xml:space="preserve"> competencia;</w:t>
      </w:r>
    </w:p>
    <w:p w:rsidR="00D74537" w:rsidRDefault="0025796A">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X. Participar en los órganos de coordinación estatal, regional y metropolitana, en materia de ordenamiento territorial de los asentamientos humanos, desarrollo urbano de los centros de población y vivienda;” (Énfasis añadido)</w:t>
      </w:r>
    </w:p>
    <w:p w:rsidR="00D74537" w:rsidRDefault="00D74537">
      <w:pPr>
        <w:spacing w:after="0" w:line="276" w:lineRule="auto"/>
        <w:ind w:right="990"/>
        <w:jc w:val="both"/>
        <w:rPr>
          <w:rFonts w:ascii="Palatino Linotype" w:eastAsia="Palatino Linotype" w:hAnsi="Palatino Linotype" w:cs="Palatino Linotype"/>
          <w:sz w:val="24"/>
          <w:szCs w:val="24"/>
        </w:rPr>
      </w:pPr>
    </w:p>
    <w:p w:rsidR="00D74537" w:rsidRDefault="0025796A">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anteriorm</w:t>
      </w:r>
      <w:r>
        <w:rPr>
          <w:rFonts w:ascii="Palatino Linotype" w:eastAsia="Palatino Linotype" w:hAnsi="Palatino Linotype" w:cs="Palatino Linotype"/>
          <w:sz w:val="24"/>
          <w:szCs w:val="24"/>
        </w:rPr>
        <w:t>ente citado, se desprende una facultad para el Ayuntamiento respecto de la emisión de licencias de uso de suelo y autorización del cambio de uso de suelo, mismas que en el caso particular si son ejercidas por el Ayuntamiento de Toluca pues en su propio por</w:t>
      </w:r>
      <w:r>
        <w:rPr>
          <w:rFonts w:ascii="Palatino Linotype" w:eastAsia="Palatino Linotype" w:hAnsi="Palatino Linotype" w:cs="Palatino Linotype"/>
          <w:sz w:val="24"/>
          <w:szCs w:val="24"/>
        </w:rPr>
        <w:t xml:space="preserve">tal contemplan las cédulas para el desahogo de estos trámites </w:t>
      </w:r>
      <w:r w:rsidR="00AA746B">
        <w:rPr>
          <w:rFonts w:ascii="Palatino Linotype" w:eastAsia="Palatino Linotype" w:hAnsi="Palatino Linotype" w:cs="Palatino Linotype"/>
          <w:sz w:val="24"/>
          <w:szCs w:val="24"/>
        </w:rPr>
        <w:t xml:space="preserve">ante la </w:t>
      </w:r>
      <w:r w:rsidR="00AA746B" w:rsidRPr="00AA746B">
        <w:rPr>
          <w:rFonts w:ascii="Palatino Linotype" w:eastAsia="Palatino Linotype" w:hAnsi="Palatino Linotype" w:cs="Palatino Linotype"/>
          <w:sz w:val="24"/>
          <w:szCs w:val="24"/>
        </w:rPr>
        <w:t>Dirección General de Desarrollo Urbano, Ordenamiento Territorial y Obras Públicas</w:t>
      </w:r>
      <w:r w:rsidR="00AA746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tal como se muestra a continuación:</w:t>
      </w:r>
    </w:p>
    <w:p w:rsidR="00D74537" w:rsidRDefault="00D74537">
      <w:pPr>
        <w:spacing w:after="0" w:line="360" w:lineRule="auto"/>
        <w:ind w:right="-3"/>
        <w:jc w:val="both"/>
        <w:rPr>
          <w:rFonts w:ascii="Palatino Linotype" w:eastAsia="Palatino Linotype" w:hAnsi="Palatino Linotype" w:cs="Palatino Linotype"/>
          <w:sz w:val="24"/>
          <w:szCs w:val="24"/>
        </w:rPr>
      </w:pPr>
    </w:p>
    <w:p w:rsidR="00D74537" w:rsidRDefault="0025796A">
      <w:pPr>
        <w:spacing w:after="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 </w:t>
      </w:r>
      <w:r>
        <w:rPr>
          <w:noProof/>
          <w:sz w:val="28"/>
          <w:szCs w:val="28"/>
        </w:rPr>
        <w:drawing>
          <wp:inline distT="0" distB="0" distL="0" distR="0">
            <wp:extent cx="5612130" cy="251841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2518410"/>
                    </a:xfrm>
                    <a:prstGeom prst="rect">
                      <a:avLst/>
                    </a:prstGeom>
                    <a:ln/>
                  </pic:spPr>
                </pic:pic>
              </a:graphicData>
            </a:graphic>
          </wp:inline>
        </w:drawing>
      </w:r>
    </w:p>
    <w:p w:rsidR="00D74537" w:rsidRDefault="0025796A">
      <w:pPr>
        <w:spacing w:after="0" w:line="360" w:lineRule="auto"/>
        <w:ind w:right="-3"/>
        <w:jc w:val="both"/>
        <w:rPr>
          <w:rFonts w:ascii="Palatino Linotype" w:eastAsia="Palatino Linotype" w:hAnsi="Palatino Linotype" w:cs="Palatino Linotype"/>
          <w:sz w:val="24"/>
          <w:szCs w:val="24"/>
        </w:rPr>
      </w:pPr>
      <w:r>
        <w:rPr>
          <w:noProof/>
          <w:sz w:val="28"/>
          <w:szCs w:val="28"/>
        </w:rPr>
        <w:drawing>
          <wp:inline distT="0" distB="0" distL="0" distR="0">
            <wp:extent cx="5612130" cy="251714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612130" cy="2517140"/>
                    </a:xfrm>
                    <a:prstGeom prst="rect">
                      <a:avLst/>
                    </a:prstGeom>
                    <a:ln/>
                  </pic:spPr>
                </pic:pic>
              </a:graphicData>
            </a:graphic>
          </wp:inline>
        </w:drawing>
      </w:r>
    </w:p>
    <w:p w:rsidR="00D74537" w:rsidRDefault="00D74537">
      <w:pPr>
        <w:spacing w:after="0" w:line="360" w:lineRule="auto"/>
        <w:ind w:right="423"/>
        <w:jc w:val="both"/>
        <w:rPr>
          <w:rFonts w:ascii="Palatino Linotype" w:eastAsia="Palatino Linotype" w:hAnsi="Palatino Linotype" w:cs="Palatino Linotype"/>
          <w:sz w:val="24"/>
          <w:szCs w:val="24"/>
        </w:rPr>
      </w:pPr>
    </w:p>
    <w:p w:rsidR="00D74537" w:rsidRDefault="0025796A">
      <w:pPr>
        <w:spacing w:after="0" w:line="360" w:lineRule="auto"/>
        <w:ind w:right="42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Acotado lo anterior, resulta pertinente señalar que para los casos en los que se traten de predios federales ubicados en municipios, la Constitución Po</w:t>
      </w:r>
      <w:r>
        <w:rPr>
          <w:rFonts w:ascii="Palatino Linotype" w:eastAsia="Palatino Linotype" w:hAnsi="Palatino Linotype" w:cs="Palatino Linotype"/>
          <w:sz w:val="24"/>
          <w:szCs w:val="24"/>
        </w:rPr>
        <w:t xml:space="preserve">lítica de los Estados Unidos Mexicanos en su artículo 115 fracción V, segundo párrafo señala que los bienes inmuebles de la federación ubicados en los municipios </w:t>
      </w:r>
      <w:r>
        <w:rPr>
          <w:rFonts w:ascii="Palatino Linotype" w:eastAsia="Palatino Linotype" w:hAnsi="Palatino Linotype" w:cs="Palatino Linotype"/>
          <w:sz w:val="24"/>
          <w:szCs w:val="24"/>
        </w:rPr>
        <w:lastRenderedPageBreak/>
        <w:t>estarán exclusivamente bajo la jurisdicción de los poderes federales, por lo que la legislació</w:t>
      </w:r>
      <w:r>
        <w:rPr>
          <w:rFonts w:ascii="Palatino Linotype" w:eastAsia="Palatino Linotype" w:hAnsi="Palatino Linotype" w:cs="Palatino Linotype"/>
          <w:sz w:val="24"/>
          <w:szCs w:val="24"/>
        </w:rPr>
        <w:t>n de los procedimientos administrativos municipales no les es aplicable, sin embargo, se insiste que en el presente caso nos estamos refiriendo a un predio de carácter municipal, esto en virtud de que el Plan Municipal de Desarrollo Urbano vigente contempl</w:t>
      </w:r>
      <w:r>
        <w:rPr>
          <w:rFonts w:ascii="Palatino Linotype" w:eastAsia="Palatino Linotype" w:hAnsi="Palatino Linotype" w:cs="Palatino Linotype"/>
          <w:sz w:val="24"/>
          <w:szCs w:val="24"/>
        </w:rPr>
        <w:t>a como parte del territorio municipal a las calles Pino Suarez y las Torres, incluso las contempla como un nodo, entendiéndose este último como  un punto de confluencia, cruces o convergencia de sendas en las que se concentran personas para realizar activi</w:t>
      </w:r>
      <w:r>
        <w:rPr>
          <w:rFonts w:ascii="Palatino Linotype" w:eastAsia="Palatino Linotype" w:hAnsi="Palatino Linotype" w:cs="Palatino Linotype"/>
          <w:sz w:val="24"/>
          <w:szCs w:val="24"/>
        </w:rPr>
        <w:t>dades de distintos índoles, se insertan las siguientes impresiones de pantalla para mayor referencia:</w:t>
      </w:r>
    </w:p>
    <w:p w:rsidR="00D74537" w:rsidRDefault="00D74537">
      <w:pPr>
        <w:spacing w:after="0" w:line="360" w:lineRule="auto"/>
        <w:ind w:right="423"/>
        <w:jc w:val="both"/>
        <w:rPr>
          <w:rFonts w:ascii="Palatino Linotype" w:eastAsia="Palatino Linotype" w:hAnsi="Palatino Linotype" w:cs="Palatino Linotype"/>
          <w:sz w:val="24"/>
          <w:szCs w:val="24"/>
        </w:rPr>
      </w:pPr>
    </w:p>
    <w:p w:rsidR="00D74537" w:rsidRDefault="0025796A">
      <w:pPr>
        <w:spacing w:after="0" w:line="360" w:lineRule="auto"/>
        <w:ind w:right="423"/>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extent cx="5612130" cy="226441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2264410"/>
                    </a:xfrm>
                    <a:prstGeom prst="rect">
                      <a:avLst/>
                    </a:prstGeom>
                    <a:ln/>
                  </pic:spPr>
                </pic:pic>
              </a:graphicData>
            </a:graphic>
          </wp:inline>
        </w:drawing>
      </w:r>
    </w:p>
    <w:p w:rsidR="00D74537" w:rsidRDefault="0025796A">
      <w:pPr>
        <w:spacing w:after="0" w:line="360" w:lineRule="auto"/>
        <w:ind w:right="423"/>
        <w:jc w:val="both"/>
        <w:rPr>
          <w:rFonts w:ascii="Palatino Linotype" w:eastAsia="Palatino Linotype" w:hAnsi="Palatino Linotype" w:cs="Palatino Linotype"/>
          <w:sz w:val="24"/>
          <w:szCs w:val="24"/>
        </w:rPr>
      </w:pPr>
      <w:r>
        <w:rPr>
          <w:noProof/>
        </w:rPr>
        <w:lastRenderedPageBreak/>
        <w:drawing>
          <wp:anchor distT="0" distB="0" distL="114300" distR="114300" simplePos="0" relativeHeight="251658240" behindDoc="0" locked="0" layoutInCell="1" hidden="0" allowOverlap="1">
            <wp:simplePos x="0" y="0"/>
            <wp:positionH relativeFrom="column">
              <wp:posOffset>882650</wp:posOffset>
            </wp:positionH>
            <wp:positionV relativeFrom="paragraph">
              <wp:posOffset>276860</wp:posOffset>
            </wp:positionV>
            <wp:extent cx="3734321" cy="1305107"/>
            <wp:effectExtent l="0" t="0" r="0" b="0"/>
            <wp:wrapTopAndBottom distT="0" dist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734321" cy="1305107"/>
                    </a:xfrm>
                    <a:prstGeom prst="rect">
                      <a:avLst/>
                    </a:prstGeom>
                    <a:ln/>
                  </pic:spPr>
                </pic:pic>
              </a:graphicData>
            </a:graphic>
          </wp:anchor>
        </w:drawing>
      </w:r>
    </w:p>
    <w:p w:rsidR="00D74537" w:rsidRDefault="00D74537">
      <w:pPr>
        <w:spacing w:after="0" w:line="360" w:lineRule="auto"/>
        <w:ind w:right="423"/>
        <w:jc w:val="both"/>
        <w:rPr>
          <w:rFonts w:ascii="Palatino Linotype" w:eastAsia="Palatino Linotype" w:hAnsi="Palatino Linotype" w:cs="Palatino Linotype"/>
          <w:sz w:val="24"/>
          <w:szCs w:val="24"/>
        </w:rPr>
      </w:pPr>
    </w:p>
    <w:p w:rsidR="00D74537" w:rsidRDefault="0025796A">
      <w:pPr>
        <w:spacing w:after="0" w:line="360" w:lineRule="auto"/>
        <w:ind w:right="423"/>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extent cx="5612130" cy="277876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277876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1422400</wp:posOffset>
                </wp:positionH>
                <wp:positionV relativeFrom="paragraph">
                  <wp:posOffset>736600</wp:posOffset>
                </wp:positionV>
                <wp:extent cx="3714750" cy="1733550"/>
                <wp:effectExtent l="0" t="0" r="0" b="0"/>
                <wp:wrapNone/>
                <wp:docPr id="9" name=""/>
                <wp:cNvGraphicFramePr/>
                <a:graphic xmlns:a="http://schemas.openxmlformats.org/drawingml/2006/main">
                  <a:graphicData uri="http://schemas.microsoft.com/office/word/2010/wordprocessingShape">
                    <wps:wsp>
                      <wps:cNvSpPr/>
                      <wps:spPr>
                        <a:xfrm>
                          <a:off x="3507675" y="2932275"/>
                          <a:ext cx="3676650" cy="1695450"/>
                        </a:xfrm>
                        <a:prstGeom prst="rect">
                          <a:avLst/>
                        </a:prstGeom>
                        <a:noFill/>
                        <a:ln w="38100" cap="flat" cmpd="sng">
                          <a:solidFill>
                            <a:srgbClr val="00B050"/>
                          </a:solidFill>
                          <a:prstDash val="solid"/>
                          <a:round/>
                          <a:headEnd type="none" w="sm" len="sm"/>
                          <a:tailEnd type="none" w="sm" len="sm"/>
                        </a:ln>
                      </wps:spPr>
                      <wps:txbx>
                        <w:txbxContent>
                          <w:p w:rsidR="00D74537" w:rsidRDefault="00D7453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736600</wp:posOffset>
                </wp:positionV>
                <wp:extent cx="3714750" cy="1733550"/>
                <wp:effectExtent b="0" l="0" r="0" t="0"/>
                <wp:wrapNone/>
                <wp:docPr id="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714750" cy="1733550"/>
                        </a:xfrm>
                        <a:prstGeom prst="rect"/>
                        <a:ln/>
                      </pic:spPr>
                    </pic:pic>
                  </a:graphicData>
                </a:graphic>
              </wp:anchor>
            </w:drawing>
          </mc:Fallback>
        </mc:AlternateContent>
      </w:r>
    </w:p>
    <w:p w:rsidR="006C76D4" w:rsidRDefault="006C76D4">
      <w:pPr>
        <w:spacing w:after="0" w:line="360" w:lineRule="auto"/>
        <w:jc w:val="both"/>
        <w:rPr>
          <w:rFonts w:ascii="Palatino Linotype" w:eastAsia="Palatino Linotype" w:hAnsi="Palatino Linotype" w:cs="Palatino Linotype"/>
          <w:sz w:val="24"/>
          <w:szCs w:val="24"/>
        </w:rPr>
      </w:pPr>
      <w:bookmarkStart w:id="1" w:name="_heading=h.1fob9te" w:colFirst="0" w:colLast="0"/>
      <w:bookmarkEnd w:id="1"/>
    </w:p>
    <w:p w:rsidR="00D74537" w:rsidRDefault="0025796A">
      <w:pPr>
        <w:spacing w:after="0" w:line="360" w:lineRule="auto"/>
        <w:jc w:val="both"/>
        <w:rPr>
          <w:rFonts w:ascii="Palatino Linotype" w:eastAsia="Palatino Linotype" w:hAnsi="Palatino Linotype" w:cs="Palatino Linotype"/>
          <w:sz w:val="24"/>
          <w:szCs w:val="24"/>
        </w:rPr>
        <w:sectPr w:rsidR="00D74537">
          <w:headerReference w:type="even" r:id="rId15"/>
          <w:headerReference w:type="default" r:id="rId16"/>
          <w:footerReference w:type="default" r:id="rId17"/>
          <w:pgSz w:w="12240" w:h="15840"/>
          <w:pgMar w:top="1871" w:right="1327" w:bottom="2836" w:left="1985" w:header="709" w:footer="586" w:gutter="0"/>
          <w:pgNumType w:start="1"/>
          <w:cols w:space="720"/>
        </w:sectPr>
      </w:pPr>
      <w:r>
        <w:rPr>
          <w:rFonts w:ascii="Palatino Linotype" w:eastAsia="Palatino Linotype" w:hAnsi="Palatino Linotype" w:cs="Palatino Linotype"/>
          <w:sz w:val="24"/>
          <w:szCs w:val="24"/>
        </w:rPr>
        <w:t>Es por lo anterior que la suscrita respetuosamente no comparte las consideraciones vertidas en la presente resolución pues desde mi perspectiva no resultaba procedente confirmar la respuesta en el presente asunto, pues se insiste, el predio en referencia p</w:t>
      </w:r>
      <w:r>
        <w:rPr>
          <w:rFonts w:ascii="Palatino Linotype" w:eastAsia="Palatino Linotype" w:hAnsi="Palatino Linotype" w:cs="Palatino Linotype"/>
          <w:sz w:val="24"/>
          <w:szCs w:val="24"/>
        </w:rPr>
        <w:t xml:space="preserve">ertenece al Ayuntamiento de Toluca, por tanto, le correspondía emitir la respectiva licencia de uso de suelo y para la presente resolución, lo pertinente era ordenar la búsqueda exhaustiva, contemplando la salvedad simple para no dejar a la parte </w:t>
      </w:r>
      <w:r>
        <w:rPr>
          <w:rFonts w:ascii="Palatino Linotype" w:eastAsia="Palatino Linotype" w:hAnsi="Palatino Linotype" w:cs="Palatino Linotype"/>
          <w:sz w:val="24"/>
          <w:szCs w:val="24"/>
        </w:rPr>
        <w:lastRenderedPageBreak/>
        <w:t>Recurrent</w:t>
      </w:r>
      <w:r>
        <w:rPr>
          <w:rFonts w:ascii="Palatino Linotype" w:eastAsia="Palatino Linotype" w:hAnsi="Palatino Linotype" w:cs="Palatino Linotype"/>
          <w:sz w:val="24"/>
          <w:szCs w:val="24"/>
        </w:rPr>
        <w:t xml:space="preserve">e en  un estado de incertidumbre jurídica, por ende, al no contemplar </w:t>
      </w:r>
      <w:r w:rsidR="00AA746B">
        <w:rPr>
          <w:rFonts w:ascii="Palatino Linotype" w:eastAsia="Palatino Linotype" w:hAnsi="Palatino Linotype" w:cs="Palatino Linotype"/>
          <w:noProof/>
          <w:sz w:val="24"/>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581025</wp:posOffset>
                </wp:positionV>
                <wp:extent cx="5353050" cy="7296150"/>
                <wp:effectExtent l="57150" t="19050" r="76200" b="95250"/>
                <wp:wrapNone/>
                <wp:docPr id="2" name="Conector recto 2"/>
                <wp:cNvGraphicFramePr/>
                <a:graphic xmlns:a="http://schemas.openxmlformats.org/drawingml/2006/main">
                  <a:graphicData uri="http://schemas.microsoft.com/office/word/2010/wordprocessingShape">
                    <wps:wsp>
                      <wps:cNvCnPr/>
                      <wps:spPr>
                        <a:xfrm>
                          <a:off x="0" y="0"/>
                          <a:ext cx="5353050" cy="729615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E62196"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45.75pt" to="428pt,6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" strokecolor="black [3200]" strokeweight="1pt">
                <v:shadow on="t" color="black" opacity="24903f" origin=",.5" offset="0,.55556mm"/>
              </v:line>
            </w:pict>
          </mc:Fallback>
        </mc:AlternateContent>
      </w:r>
      <w:r>
        <w:rPr>
          <w:rFonts w:ascii="Palatino Linotype" w:eastAsia="Palatino Linotype" w:hAnsi="Palatino Linotype" w:cs="Palatino Linotype"/>
          <w:sz w:val="24"/>
          <w:szCs w:val="24"/>
        </w:rPr>
        <w:t xml:space="preserve">dichas situaciones en la resolución es que formulo el presente </w:t>
      </w:r>
      <w:r>
        <w:rPr>
          <w:rFonts w:ascii="Palatino Linotype" w:eastAsia="Palatino Linotype" w:hAnsi="Palatino Linotype" w:cs="Palatino Linotype"/>
          <w:b/>
          <w:sz w:val="24"/>
          <w:szCs w:val="24"/>
        </w:rPr>
        <w:t>Voto Disidente</w:t>
      </w:r>
      <w:r>
        <w:rPr>
          <w:rFonts w:ascii="Palatino Linotype" w:eastAsia="Palatino Linotype" w:hAnsi="Palatino Linotype" w:cs="Palatino Linotype"/>
          <w:sz w:val="24"/>
          <w:szCs w:val="24"/>
        </w:rPr>
        <w:t xml:space="preserve">.                      </w:t>
      </w:r>
      <w:bookmarkStart w:id="2" w:name="_GoBack"/>
      <w:bookmarkEnd w:id="2"/>
    </w:p>
    <w:p w:rsidR="00D74537" w:rsidRDefault="00D74537">
      <w:pPr>
        <w:spacing w:after="0" w:line="360" w:lineRule="auto"/>
        <w:ind w:right="423"/>
        <w:jc w:val="both"/>
        <w:rPr>
          <w:rFonts w:ascii="Palatino Linotype" w:eastAsia="Palatino Linotype" w:hAnsi="Palatino Linotype" w:cs="Palatino Linotype"/>
          <w:sz w:val="24"/>
          <w:szCs w:val="24"/>
        </w:rPr>
      </w:pPr>
    </w:p>
    <w:sectPr w:rsidR="00D74537">
      <w:headerReference w:type="default" r:id="rId18"/>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796A">
      <w:pPr>
        <w:spacing w:after="0" w:line="240" w:lineRule="auto"/>
      </w:pPr>
      <w:r>
        <w:separator/>
      </w:r>
    </w:p>
  </w:endnote>
  <w:endnote w:type="continuationSeparator" w:id="0">
    <w:p w:rsidR="00000000" w:rsidRDefault="0025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37" w:rsidRDefault="00D74537">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p>
  <w:p w:rsidR="00D74537" w:rsidRDefault="0025796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6C76D4">
      <w:rPr>
        <w:rFonts w:ascii="Arial" w:eastAsia="Arial" w:hAnsi="Arial" w:cs="Arial"/>
        <w:b/>
        <w:color w:val="000000"/>
        <w:sz w:val="20"/>
        <w:szCs w:val="20"/>
      </w:rPr>
      <w:fldChar w:fldCharType="separate"/>
    </w:r>
    <w:r>
      <w:rPr>
        <w:rFonts w:ascii="Arial" w:eastAsia="Arial" w:hAnsi="Arial" w:cs="Arial"/>
        <w:b/>
        <w:noProof/>
        <w:color w:val="000000"/>
        <w:sz w:val="20"/>
        <w:szCs w:val="20"/>
      </w:rPr>
      <w:t>14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6C76D4">
      <w:rPr>
        <w:rFonts w:ascii="Arial" w:eastAsia="Arial" w:hAnsi="Arial" w:cs="Arial"/>
        <w:b/>
        <w:color w:val="000000"/>
        <w:sz w:val="20"/>
        <w:szCs w:val="20"/>
      </w:rPr>
      <w:fldChar w:fldCharType="separate"/>
    </w:r>
    <w:r>
      <w:rPr>
        <w:rFonts w:ascii="Arial" w:eastAsia="Arial" w:hAnsi="Arial" w:cs="Arial"/>
        <w:b/>
        <w:noProof/>
        <w:color w:val="000000"/>
        <w:sz w:val="20"/>
        <w:szCs w:val="20"/>
      </w:rPr>
      <w:t>14</w:t>
    </w:r>
    <w:r>
      <w:rPr>
        <w:rFonts w:ascii="Arial" w:eastAsia="Arial" w:hAnsi="Arial" w:cs="Arial"/>
        <w:b/>
        <w:color w:val="000000"/>
        <w:sz w:val="20"/>
        <w:szCs w:val="20"/>
      </w:rPr>
      <w:fldChar w:fldCharType="end"/>
    </w:r>
  </w:p>
  <w:p w:rsidR="00D74537" w:rsidRDefault="00D7453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796A">
      <w:pPr>
        <w:spacing w:after="0" w:line="240" w:lineRule="auto"/>
      </w:pPr>
      <w:r>
        <w:separator/>
      </w:r>
    </w:p>
  </w:footnote>
  <w:footnote w:type="continuationSeparator" w:id="0">
    <w:p w:rsidR="00000000" w:rsidRDefault="0025796A">
      <w:pPr>
        <w:spacing w:after="0" w:line="240" w:lineRule="auto"/>
      </w:pPr>
      <w:r>
        <w:continuationSeparator/>
      </w:r>
    </w:p>
  </w:footnote>
  <w:footnote w:id="1">
    <w:p w:rsidR="00D74537" w:rsidRDefault="0025796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 xml:space="preserve">Consultable en: </w:t>
      </w:r>
      <w:hyperlink r:id="rId1">
        <w:r>
          <w:rPr>
            <w:rFonts w:ascii="Palatino Linotype" w:eastAsia="Palatino Linotype" w:hAnsi="Palatino Linotype" w:cs="Palatino Linotype"/>
            <w:color w:val="0000FF"/>
            <w:sz w:val="20"/>
            <w:szCs w:val="20"/>
            <w:u w:val="single"/>
          </w:rPr>
          <w:t>http://seduv.edomexico.gob.mx/docs/boletin/07sept18.pdf</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37" w:rsidRDefault="0025796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26554738" cy="26554738"/>
              <wp:effectExtent l="0" t="0" r="0" b="0"/>
              <wp:wrapNone/>
              <wp:docPr id="10"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D74537" w:rsidRDefault="0025796A">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6554738" cy="26554738"/>
              <wp:effectExtent b="0" l="0" r="0" t="0"/>
              <wp:wrapNone/>
              <wp:docPr id="1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6554738" cy="26554738"/>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37" w:rsidRDefault="0025796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-1096617</wp:posOffset>
          </wp:positionH>
          <wp:positionV relativeFrom="paragraph">
            <wp:posOffset>-434349</wp:posOffset>
          </wp:positionV>
          <wp:extent cx="7521053" cy="9897494"/>
          <wp:effectExtent l="0" t="0" r="0" b="0"/>
          <wp:wrapNone/>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D74537" w:rsidRDefault="00D745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74537" w:rsidRDefault="00D745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74537" w:rsidRDefault="0025796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DISIDENTE </w:t>
    </w:r>
  </w:p>
  <w:p w:rsidR="00D74537" w:rsidRDefault="0025796A">
    <w:pPr>
      <w:pBdr>
        <w:top w:val="nil"/>
        <w:left w:val="nil"/>
        <w:bottom w:val="nil"/>
        <w:right w:val="nil"/>
        <w:between w:val="nil"/>
      </w:pBdr>
      <w:tabs>
        <w:tab w:val="center" w:pos="4419"/>
        <w:tab w:val="right" w:pos="8838"/>
      </w:tabs>
      <w:spacing w:after="0" w:line="240" w:lineRule="auto"/>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07175/INFOEM/IP/RR/2023 </w:t>
    </w:r>
  </w:p>
  <w:p w:rsidR="00D74537" w:rsidRDefault="00D745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37" w:rsidRDefault="00D745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74537" w:rsidRDefault="00D745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74537" w:rsidRDefault="00D7453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D74537" w:rsidRDefault="00D745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717C"/>
    <w:multiLevelType w:val="multilevel"/>
    <w:tmpl w:val="D4D207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37"/>
    <w:rsid w:val="0025796A"/>
    <w:rsid w:val="006C76D4"/>
    <w:rsid w:val="00AA746B"/>
    <w:rsid w:val="00D74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C7050-5E7F-465B-A091-03913F1E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EC"/>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915EC"/>
    <w:pPr>
      <w:ind w:left="720"/>
      <w:contextualSpacing/>
    </w:p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b.mx/epn/articulos/10-datos-del-tren-mexico-toluca"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eduv.edomexico.gob.mx/docs/boletin/07sept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pLBQJzXAndquPK8Pu2AVNtTXQ==">CgMxLjAyCGguZ2pkZ3hzMgloLjFmb2I5dGU4AHIhMUhhZk9rZGs1T2ZxLXlISFpUWG9MeFFmMmRSbm05Vzdz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2284</Words>
  <Characters>12568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INFOEM517</cp:lastModifiedBy>
  <cp:revision>3</cp:revision>
  <cp:lastPrinted>2024-02-26T18:55:00Z</cp:lastPrinted>
  <dcterms:created xsi:type="dcterms:W3CDTF">2024-02-26T18:55:00Z</dcterms:created>
  <dcterms:modified xsi:type="dcterms:W3CDTF">2024-02-26T18:56:00Z</dcterms:modified>
</cp:coreProperties>
</file>