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43E" w:rsidRPr="005A046A" w:rsidRDefault="001A7589">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sidRPr="005A046A">
        <w:rPr>
          <w:rFonts w:ascii="Palatino Linotype" w:eastAsia="Palatino Linotype" w:hAnsi="Palatino Linotype" w:cs="Palatino Linotype"/>
          <w:b/>
        </w:rPr>
        <w:t xml:space="preserve">VOTO </w:t>
      </w:r>
      <w:r w:rsidR="00EF7B71" w:rsidRPr="005A046A">
        <w:rPr>
          <w:rFonts w:ascii="Palatino Linotype" w:eastAsia="Palatino Linotype" w:hAnsi="Palatino Linotype" w:cs="Palatino Linotype"/>
          <w:b/>
        </w:rPr>
        <w:t>DISIDENTE</w:t>
      </w:r>
      <w:r w:rsidRPr="005A046A">
        <w:rPr>
          <w:rFonts w:ascii="Palatino Linotype" w:eastAsia="Palatino Linotype" w:hAnsi="Palatino Linotype" w:cs="Palatino Linotype"/>
          <w:b/>
        </w:rPr>
        <w:t xml:space="preserve"> QUE FORMULA LA COMISIONADA GUADALUPE RAMÍREZ PEÑA EN RELACIÓN CON LA RESOLUCIÓN DICTADA POR EL PLENO DEL INSTITUTO DE TRANSPARENCIA, ACCESO A LA INFORMACIÓN PÚBLICA Y PROTECCIÓN DE DATOS PERSONALES DEL ESTADO DE MÉXICO Y MUNICIPIOS, EN LA TRIGÉSIMA OCTAVA SESIÓN ORDINARIA DEL SEIS DE NOVIEMBRE DE DOS MIL VEINTICUATR</w:t>
      </w:r>
      <w:r w:rsidR="00EF7B71" w:rsidRPr="005A046A">
        <w:rPr>
          <w:rFonts w:ascii="Palatino Linotype" w:eastAsia="Palatino Linotype" w:hAnsi="Palatino Linotype" w:cs="Palatino Linotype"/>
          <w:b/>
        </w:rPr>
        <w:t>O EN EL RECURSO DE REVISIÓN 05800</w:t>
      </w:r>
      <w:r w:rsidRPr="005A046A">
        <w:rPr>
          <w:rFonts w:ascii="Palatino Linotype" w:eastAsia="Palatino Linotype" w:hAnsi="Palatino Linotype" w:cs="Palatino Linotype"/>
          <w:b/>
        </w:rPr>
        <w:t>/INFOEM/IP/RR/2024.</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t xml:space="preserve">El Pleno del Instituto de Transparencia, Acceso a la Información Pública y Protección de Datos Personales del Estado de México resolvió por </w:t>
      </w:r>
      <w:r w:rsidR="00EF7B71" w:rsidRPr="005A046A">
        <w:rPr>
          <w:rFonts w:ascii="Palatino Linotype" w:eastAsia="Palatino Linotype" w:hAnsi="Palatino Linotype" w:cs="Palatino Linotype"/>
        </w:rPr>
        <w:t>mayoría</w:t>
      </w:r>
      <w:r w:rsidRPr="005A046A">
        <w:rPr>
          <w:rFonts w:ascii="Palatino Linotype" w:eastAsia="Palatino Linotype" w:hAnsi="Palatino Linotype" w:cs="Palatino Linotype"/>
        </w:rPr>
        <w:t xml:space="preserve"> de votos, la Resolución relativa al Recurso de Revisión </w:t>
      </w:r>
      <w:r w:rsidR="00EF7B71" w:rsidRPr="005A046A">
        <w:rPr>
          <w:rFonts w:ascii="Palatino Linotype" w:eastAsia="Palatino Linotype" w:hAnsi="Palatino Linotype" w:cs="Palatino Linotype"/>
          <w:b/>
        </w:rPr>
        <w:t>05800</w:t>
      </w:r>
      <w:r w:rsidRPr="005A046A">
        <w:rPr>
          <w:rFonts w:ascii="Palatino Linotype" w:eastAsia="Palatino Linotype" w:hAnsi="Palatino Linotype" w:cs="Palatino Linotype"/>
          <w:b/>
        </w:rPr>
        <w:t xml:space="preserve">/INFOEM/IP/RR/2024, </w:t>
      </w:r>
      <w:r w:rsidRPr="005A046A">
        <w:rPr>
          <w:rFonts w:ascii="Palatino Linotype" w:eastAsia="Palatino Linotype" w:hAnsi="Palatino Linotype" w:cs="Palatino Linotype"/>
        </w:rPr>
        <w:t xml:space="preserve">respecto de la cual, quien suscribe, emite </w:t>
      </w:r>
      <w:r w:rsidRPr="005A046A">
        <w:rPr>
          <w:rFonts w:ascii="Palatino Linotype" w:eastAsia="Palatino Linotype" w:hAnsi="Palatino Linotype" w:cs="Palatino Linotype"/>
          <w:b/>
        </w:rPr>
        <w:t xml:space="preserve">VOTO </w:t>
      </w:r>
      <w:r w:rsidR="00EF7B71" w:rsidRPr="005A046A">
        <w:rPr>
          <w:rFonts w:ascii="Palatino Linotype" w:eastAsia="Palatino Linotype" w:hAnsi="Palatino Linotype" w:cs="Palatino Linotype"/>
          <w:b/>
        </w:rPr>
        <w:t>DISIDENTE</w:t>
      </w:r>
      <w:r w:rsidRPr="005A046A">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t xml:space="preserve">Al respecto, es preciso señalar que </w:t>
      </w:r>
      <w:r w:rsidR="00EF7B71" w:rsidRPr="005A046A">
        <w:rPr>
          <w:rFonts w:ascii="Palatino Linotype" w:eastAsia="Palatino Linotype" w:hAnsi="Palatino Linotype" w:cs="Palatino Linotype"/>
        </w:rPr>
        <w:t xml:space="preserve">no </w:t>
      </w:r>
      <w:r w:rsidRPr="005A046A">
        <w:rPr>
          <w:rFonts w:ascii="Palatino Linotype" w:eastAsia="Palatino Linotype" w:hAnsi="Palatino Linotype" w:cs="Palatino Linotype"/>
        </w:rPr>
        <w:t xml:space="preserve">se comparte </w:t>
      </w:r>
      <w:r w:rsidR="0071289F" w:rsidRPr="005A046A">
        <w:rPr>
          <w:rFonts w:ascii="Palatino Linotype" w:eastAsia="Palatino Linotype" w:hAnsi="Palatino Linotype" w:cs="Palatino Linotype"/>
        </w:rPr>
        <w:t>en su totalidad las consideraciones que fueron vertidas en la presente resolución, particularmente respecto a dar por atendido como hechos negativos la información referente al “Visor de comprobantes de nómina” el cual concentra la información de los pagos a los trabajadores a través de los CFDI y permite conciliar la información de las retenciones timbradas en las declaraciones provisionales del Impuesto sobre la renta</w:t>
      </w:r>
      <w:r w:rsidRPr="005A046A">
        <w:rPr>
          <w:rFonts w:ascii="Palatino Linotype" w:eastAsia="Palatino Linotype" w:hAnsi="Palatino Linotype" w:cs="Palatino Linotype"/>
        </w:rPr>
        <w:t>, al considerar que la entrega de este sí es factible, por las razones que a continuación se exponen:</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lastRenderedPageBreak/>
        <w:t>En primer lugar, debe decirse que por mandato constitucional, los mexicanos contamos con la obligación de contribuir de manera proporcional y equitativa a los gastos públicos del país, lo cual se encuentra previsto en el artículo 31, fracción IV de nuestra Carta Magna, a saber:</w:t>
      </w:r>
    </w:p>
    <w:p w:rsidR="0061743E" w:rsidRPr="005A046A" w:rsidRDefault="001A7589" w:rsidP="0071289F">
      <w:pPr>
        <w:spacing w:before="120" w:after="120" w:line="240" w:lineRule="auto"/>
        <w:ind w:left="851" w:right="616"/>
        <w:jc w:val="both"/>
        <w:rPr>
          <w:rFonts w:ascii="Palatino Linotype" w:eastAsia="Palatino Linotype" w:hAnsi="Palatino Linotype" w:cs="Palatino Linotype"/>
          <w:i/>
        </w:rPr>
      </w:pPr>
      <w:r w:rsidRPr="005A046A">
        <w:rPr>
          <w:rFonts w:ascii="Palatino Linotype" w:eastAsia="Palatino Linotype" w:hAnsi="Palatino Linotype" w:cs="Palatino Linotype"/>
          <w:i/>
        </w:rPr>
        <w:t>“</w:t>
      </w:r>
      <w:r w:rsidRPr="005A046A">
        <w:rPr>
          <w:rFonts w:ascii="Palatino Linotype" w:eastAsia="Palatino Linotype" w:hAnsi="Palatino Linotype" w:cs="Palatino Linotype"/>
          <w:b/>
          <w:i/>
        </w:rPr>
        <w:t>Artículo 31.</w:t>
      </w:r>
      <w:r w:rsidRPr="005A046A">
        <w:rPr>
          <w:rFonts w:ascii="Palatino Linotype" w:eastAsia="Palatino Linotype" w:hAnsi="Palatino Linotype" w:cs="Palatino Linotype"/>
          <w:i/>
        </w:rPr>
        <w:t xml:space="preserve"> Son </w:t>
      </w:r>
      <w:r w:rsidRPr="005A046A">
        <w:rPr>
          <w:rFonts w:ascii="Palatino Linotype" w:eastAsia="Palatino Linotype" w:hAnsi="Palatino Linotype" w:cs="Palatino Linotype"/>
          <w:b/>
          <w:i/>
        </w:rPr>
        <w:t>obligaciones de los mexicanos</w:t>
      </w:r>
      <w:r w:rsidRPr="005A046A">
        <w:rPr>
          <w:rFonts w:ascii="Palatino Linotype" w:eastAsia="Palatino Linotype" w:hAnsi="Palatino Linotype" w:cs="Palatino Linotype"/>
          <w:i/>
        </w:rPr>
        <w:t>:</w:t>
      </w:r>
    </w:p>
    <w:p w:rsidR="0061743E" w:rsidRPr="005A046A" w:rsidRDefault="001A7589" w:rsidP="0071289F">
      <w:pPr>
        <w:spacing w:before="120" w:after="120" w:line="240" w:lineRule="auto"/>
        <w:ind w:left="851" w:right="616"/>
        <w:jc w:val="both"/>
        <w:rPr>
          <w:rFonts w:ascii="Palatino Linotype" w:eastAsia="Palatino Linotype" w:hAnsi="Palatino Linotype" w:cs="Palatino Linotype"/>
          <w:b/>
          <w:i/>
        </w:rPr>
      </w:pPr>
      <w:r w:rsidRPr="005A046A">
        <w:rPr>
          <w:rFonts w:ascii="Palatino Linotype" w:eastAsia="Palatino Linotype" w:hAnsi="Palatino Linotype" w:cs="Palatino Linotype"/>
          <w:b/>
          <w:i/>
        </w:rPr>
        <w:t>…</w:t>
      </w:r>
    </w:p>
    <w:p w:rsidR="0061743E" w:rsidRPr="005A046A" w:rsidRDefault="001A7589" w:rsidP="0071289F">
      <w:pPr>
        <w:spacing w:before="120" w:after="120" w:line="240" w:lineRule="auto"/>
        <w:ind w:left="851" w:right="616"/>
        <w:jc w:val="both"/>
        <w:rPr>
          <w:rFonts w:ascii="Palatino Linotype" w:eastAsia="Palatino Linotype" w:hAnsi="Palatino Linotype" w:cs="Palatino Linotype"/>
          <w:i/>
        </w:rPr>
      </w:pPr>
      <w:r w:rsidRPr="005A046A">
        <w:rPr>
          <w:rFonts w:ascii="Palatino Linotype" w:eastAsia="Palatino Linotype" w:hAnsi="Palatino Linotype" w:cs="Palatino Linotype"/>
          <w:b/>
          <w:i/>
        </w:rPr>
        <w:t>IV. Contribuir para los gastos públicos</w:t>
      </w:r>
      <w:r w:rsidRPr="005A046A">
        <w:rPr>
          <w:rFonts w:ascii="Palatino Linotype" w:eastAsia="Palatino Linotype" w:hAnsi="Palatino Linotype" w:cs="Palatino Linotype"/>
          <w:i/>
        </w:rPr>
        <w:t>, así de la Federación, como de los Estados, de la Ciudad de México y del Municipio en que residan, de la manera proporcional y equitativa que dispongan las leyes.”</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t>En este tenor, los impuestos son una contribución o pago, con el que cooperamos de forma obligatoria, para fortalecer la economía del país, proveer de recursos al gobierno, y este pueda alcanzar los objetivos propuestos en su planeación. Dicha recaudación se destina a la satisfacción de ciertas necesidades de carácter colectivo como: la educación pública, la impartición de justicia, la seguridad, los hospitales públicos, la infraestructura y servicios de vías públicas, programas y proyectos de apoyo al desarrollo social y económico, necesidades que por separado cada persona no podría pagar por sí sola, pero que, en cambio, se pueden atender con las aportaciones de todos.</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t xml:space="preserve">Por lo que se refiere al Impuesto Sobre la Renta, debe decirse que es un tributo que grava los ingresos de las personas y las empresas, por cualquiera de los conceptos previstos en la Ley del Impuesto Sobre la Renta, el cual se basa en el principio de capacidad contributiva, es decir, se paga en función de los ingresos obtenidos, por lo que los contribuyentes –personas físicas y morales-, deben calcular y declarar sus ingresos, deducciones y el impuesto correspondiente de manera anual, para lo cual forzosamente deben estar inscritos en el Registro Federal de Contribuyentes, de conformidad con el artículo 27 del Código </w:t>
      </w:r>
      <w:r w:rsidRPr="005A046A">
        <w:rPr>
          <w:rFonts w:ascii="Palatino Linotype" w:eastAsia="Palatino Linotype" w:hAnsi="Palatino Linotype" w:cs="Palatino Linotype"/>
        </w:rPr>
        <w:lastRenderedPageBreak/>
        <w:t>Fiscal de la Federación, y la Sección I, del Capítulo III, del Título II De los Derechos y Obligaciones de los Contribuyentes, del Reglamento del Código Fiscal de la Federación.</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t xml:space="preserve">Ahora bien, para reducir la evasión fiscal, una de las formas de facilitar el cumplimiento y garantizar que los contribuyentes paguen sus impuestos de manera regular, es la retención del ISR directamente de los salarios o ingresos, por parte de los empleadores, quienes </w:t>
      </w:r>
      <w:r w:rsidRPr="005A046A">
        <w:rPr>
          <w:rFonts w:ascii="Palatino Linotype" w:eastAsia="Palatino Linotype" w:hAnsi="Palatino Linotype" w:cs="Palatino Linotype"/>
          <w:b/>
          <w:u w:val="single"/>
        </w:rPr>
        <w:t>cuentan con la obligación de expedir un comprobante fiscal que ampare los ingresos de los trabajadores y las retenciones de contribuciones que efectúen, esto es un Comprobante Fiscal Digital por Internet o CFDI,</w:t>
      </w:r>
      <w:r w:rsidRPr="005A046A">
        <w:rPr>
          <w:rFonts w:ascii="Palatino Linotype" w:eastAsia="Palatino Linotype" w:hAnsi="Palatino Linotype" w:cs="Palatino Linotype"/>
          <w:u w:val="single"/>
        </w:rPr>
        <w:t xml:space="preserve"> </w:t>
      </w:r>
      <w:r w:rsidRPr="005A046A">
        <w:rPr>
          <w:rFonts w:ascii="Palatino Linotype" w:eastAsia="Palatino Linotype" w:hAnsi="Palatino Linotype" w:cs="Palatino Linotype"/>
        </w:rPr>
        <w:t>el cual debe cumplir con los requisitos establecidos en el artículo 29-A del Código Fiscal de la Federación.</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t>Asimismo, con la finalidad de facilitar el cumplimiento de las obligaciones fiscales, el SAT ha desarrollado diversas herramientas, entre las que se encuentra el “Visor de comprobantes de nómina del patrón”, la cual concentra la información de los pagos a los trabajadores a través de los Comprobantes Fiscales Digitales por Internet, CFDI, con el complemento de nómina.</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t>Esta herramienta permite a los empleadores verificar que los recibos de nómina cumplan con los requisitos fiscales y contables establecidos por la autoridad fiscal, y, en caso de que tengan algún error, se pueda corregir en tiempo, asimismo, simplifica el cumplimiento de obligaciones fiscales, como lo es la Declaración Anual, ya que a través del Visor, se puede verificar la información que vendrá precargada, permitiendo detectar errores y corregirlos, para evitar la aclaración de posibles diferencias, una vez presentada la Declaración.</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lastRenderedPageBreak/>
        <w:t>Asimismo, con el Visor de Nómina se puede conciliar la información de las retenciones timbradas en las declaraciones provisionales del ISR que se retiene por sueldos y salarios asimilados.</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t xml:space="preserve">Bajo esta línea de pensamiento, la suscrita considera que los entes públicos municipales, al ser sujetos de obligaciones fiscales, necesariamente son usuarios del Portal de Trámites y Servicios del SAT, al cual pueden acceder en cualquier momento previa autenticación a través de su clave RFC y contraseña o con su </w:t>
      </w:r>
      <w:proofErr w:type="spellStart"/>
      <w:r w:rsidRPr="005A046A">
        <w:rPr>
          <w:rFonts w:ascii="Palatino Linotype" w:eastAsia="Palatino Linotype" w:hAnsi="Palatino Linotype" w:cs="Palatino Linotype"/>
        </w:rPr>
        <w:t>e.firma</w:t>
      </w:r>
      <w:proofErr w:type="spellEnd"/>
      <w:r w:rsidRPr="005A046A">
        <w:rPr>
          <w:rFonts w:ascii="Palatino Linotype" w:eastAsia="Palatino Linotype" w:hAnsi="Palatino Linotype" w:cs="Palatino Linotype"/>
        </w:rPr>
        <w:t>; datos con los que cuentan todos los contribuyentes, derivado de la inscripción en el Registro Federal de Contribuyentes.</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t xml:space="preserve">Y, si bien la normatividad no establece como obligatorio el uso de dicha herramienta o aplicativo, no menos cierto es que los entes públicos municipales no están impedidos para realizar la consulta de la información que se encuentra alojada en el Portal del SAT, con relación al cumplimiento de sus obligaciones fiscales, como lo es la retención y entero del ISR por sueldos y salarios asimilados, que se genera de forma automática a través del timbrado de los </w:t>
      </w:r>
      <w:proofErr w:type="spellStart"/>
      <w:r w:rsidRPr="005A046A">
        <w:rPr>
          <w:rFonts w:ascii="Palatino Linotype" w:eastAsia="Palatino Linotype" w:hAnsi="Palatino Linotype" w:cs="Palatino Linotype"/>
        </w:rPr>
        <w:t>CFDIs</w:t>
      </w:r>
      <w:proofErr w:type="spellEnd"/>
      <w:r w:rsidRPr="005A046A">
        <w:rPr>
          <w:rFonts w:ascii="Palatino Linotype" w:eastAsia="Palatino Linotype" w:hAnsi="Palatino Linotype" w:cs="Palatino Linotype"/>
        </w:rPr>
        <w:t xml:space="preserve"> por concepto de nómina, especialmente en virtud de que dicho impuesto es susceptible de devolución, siempre y cuando se hubiera enterado efectivamente a la federación, para lo cual la comprobación que ofrece el aplicativo es fundamental.</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t xml:space="preserve">Es así que a mi consideración, la información que es del interés de la persona solicitante, esto es la diferencia del ISR retenido y enterado de forma mensual, así como el monto total del ISR retenido por ejercicio, es información que genera de forma indirecta el </w:t>
      </w:r>
      <w:r w:rsidRPr="005A046A">
        <w:rPr>
          <w:rFonts w:ascii="Palatino Linotype" w:eastAsia="Palatino Linotype" w:hAnsi="Palatino Linotype" w:cs="Palatino Linotype"/>
          <w:b/>
        </w:rPr>
        <w:t>Sujeto Obligado</w:t>
      </w:r>
      <w:r w:rsidRPr="005A046A">
        <w:rPr>
          <w:rFonts w:ascii="Palatino Linotype" w:eastAsia="Palatino Linotype" w:hAnsi="Palatino Linotype" w:cs="Palatino Linotype"/>
        </w:rPr>
        <w:t xml:space="preserve"> a través del timbrado de los </w:t>
      </w:r>
      <w:proofErr w:type="spellStart"/>
      <w:r w:rsidRPr="005A046A">
        <w:rPr>
          <w:rFonts w:ascii="Palatino Linotype" w:eastAsia="Palatino Linotype" w:hAnsi="Palatino Linotype" w:cs="Palatino Linotype"/>
        </w:rPr>
        <w:t>CFDIs</w:t>
      </w:r>
      <w:proofErr w:type="spellEnd"/>
      <w:r w:rsidRPr="005A046A">
        <w:rPr>
          <w:rFonts w:ascii="Palatino Linotype" w:eastAsia="Palatino Linotype" w:hAnsi="Palatino Linotype" w:cs="Palatino Linotype"/>
        </w:rPr>
        <w:t xml:space="preserve"> por concepto de nómina, misma que conoce y administra, se insiste, por medio del Portal del SAT, al cual accede usando sus propios datos de identificación –RFC y contraseña o e. firma-.</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lastRenderedPageBreak/>
        <w:t>Sin embargo, no debe perderse de vista que la obligación de transparencia implica únicamente que los entes públicos entreguen aquella información que les sea requerida y que obre en sus archivos en el estado en el que esta se encuentre, más no les constriñe a procesar, generar o resumir información, realizar cálculos o practicar investigaciones, para presentarla conforme al interés de los solicitantes, según lo establece el artículo 12 párrafo segundo de Ley de Transparencia Local.</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t xml:space="preserve">En el caso particular, derivado del análisis de Guía de Usuario del Visor de comprobantes de nómina del patrón, se advirtió que el reporte vista anual acumulada, que se obtiene mediante la Consulta Global del Visor, asimismo, que al dar clic en el ícono PDF que aparece en la parte inferior derecha de la pantalla, </w:t>
      </w:r>
      <w:r w:rsidRPr="005A046A">
        <w:rPr>
          <w:rFonts w:ascii="Palatino Linotype" w:eastAsia="Palatino Linotype" w:hAnsi="Palatino Linotype" w:cs="Palatino Linotype"/>
          <w:b/>
          <w:u w:val="single"/>
        </w:rPr>
        <w:t>es posible descargar un documento en formato PDF, con la información que se visualiza en el aplicativo</w:t>
      </w:r>
      <w:r w:rsidRPr="005A046A">
        <w:rPr>
          <w:rFonts w:ascii="Palatino Linotype" w:eastAsia="Palatino Linotype" w:hAnsi="Palatino Linotype" w:cs="Palatino Linotype"/>
        </w:rPr>
        <w:t>, el cual además cuenta con firma electrónica, como se ilustra a continuación para mejor referencia:</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noProof/>
          <w:lang w:val="es-MX"/>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0</wp:posOffset>
                </wp:positionV>
                <wp:extent cx="5600700" cy="2171700"/>
                <wp:effectExtent l="0" t="0" r="0" b="0"/>
                <wp:wrapNone/>
                <wp:docPr id="18" name="Conector recto de flecha 18"/>
                <wp:cNvGraphicFramePr/>
                <a:graphic xmlns:a="http://schemas.openxmlformats.org/drawingml/2006/main">
                  <a:graphicData uri="http://schemas.microsoft.com/office/word/2010/wordprocessingShape">
                    <wps:wsp>
                      <wps:cNvCnPr/>
                      <wps:spPr>
                        <a:xfrm>
                          <a:off x="2550413" y="2698913"/>
                          <a:ext cx="5591175" cy="216217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600700" cy="2171700"/>
                <wp:effectExtent b="0" l="0" r="0" t="0"/>
                <wp:wrapNone/>
                <wp:docPr id="1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600700" cy="2171700"/>
                        </a:xfrm>
                        <a:prstGeom prst="rect"/>
                        <a:ln/>
                      </pic:spPr>
                    </pic:pic>
                  </a:graphicData>
                </a:graphic>
              </wp:anchor>
            </w:drawing>
          </mc:Fallback>
        </mc:AlternateContent>
      </w:r>
    </w:p>
    <w:p w:rsidR="0061743E" w:rsidRPr="005A046A" w:rsidRDefault="001A7589">
      <w:pPr>
        <w:spacing w:before="240" w:after="240" w:line="360" w:lineRule="auto"/>
        <w:ind w:right="51"/>
        <w:jc w:val="center"/>
        <w:rPr>
          <w:rFonts w:ascii="Palatino Linotype" w:eastAsia="Palatino Linotype" w:hAnsi="Palatino Linotype" w:cs="Palatino Linotype"/>
        </w:rPr>
      </w:pPr>
      <w:r w:rsidRPr="005A046A">
        <w:rPr>
          <w:rFonts w:ascii="Palatino Linotype" w:eastAsia="Palatino Linotype" w:hAnsi="Palatino Linotype" w:cs="Palatino Linotype"/>
          <w:noProof/>
          <w:lang w:val="es-MX"/>
        </w:rPr>
        <w:lastRenderedPageBreak/>
        <w:drawing>
          <wp:inline distT="0" distB="0" distL="0" distR="0">
            <wp:extent cx="4860000" cy="4753963"/>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71"/>
                    <a:stretch>
                      <a:fillRect/>
                    </a:stretch>
                  </pic:blipFill>
                  <pic:spPr>
                    <a:xfrm>
                      <a:off x="0" y="0"/>
                      <a:ext cx="4860000" cy="4753963"/>
                    </a:xfrm>
                    <a:prstGeom prst="rect">
                      <a:avLst/>
                    </a:prstGeom>
                    <a:ln/>
                  </pic:spPr>
                </pic:pic>
              </a:graphicData>
            </a:graphic>
          </wp:inline>
        </w:drawing>
      </w:r>
    </w:p>
    <w:p w:rsidR="0061743E" w:rsidRPr="005A046A" w:rsidRDefault="001A7589">
      <w:pPr>
        <w:spacing w:before="240" w:after="240" w:line="360" w:lineRule="auto"/>
        <w:ind w:right="51"/>
        <w:jc w:val="both"/>
        <w:rPr>
          <w:rFonts w:ascii="Palatino Linotype" w:eastAsia="Palatino Linotype" w:hAnsi="Palatino Linotype" w:cs="Palatino Linotype"/>
        </w:rPr>
      </w:pPr>
      <w:bookmarkStart w:id="1" w:name="_heading=h.3znysh7" w:colFirst="0" w:colLast="0"/>
      <w:bookmarkEnd w:id="1"/>
      <w:r w:rsidRPr="005A046A">
        <w:rPr>
          <w:rFonts w:ascii="Palatino Linotype" w:eastAsia="Palatino Linotype" w:hAnsi="Palatino Linotype" w:cs="Palatino Linotype"/>
        </w:rPr>
        <w:t xml:space="preserve">Es así, que no comparto que en la resolución del recurso de revisión, se </w:t>
      </w:r>
      <w:r w:rsidR="00C906A1" w:rsidRPr="005A046A">
        <w:rPr>
          <w:rFonts w:ascii="Palatino Linotype" w:eastAsia="Palatino Linotype" w:hAnsi="Palatino Linotype" w:cs="Palatino Linotype"/>
        </w:rPr>
        <w:t>diera por atendido como hechos negativos</w:t>
      </w:r>
      <w:r w:rsidR="00C906A1" w:rsidRPr="005A046A">
        <w:t xml:space="preserve"> </w:t>
      </w:r>
      <w:r w:rsidR="00C906A1" w:rsidRPr="005A046A">
        <w:rPr>
          <w:rFonts w:ascii="Palatino Linotype" w:eastAsia="Palatino Linotype" w:hAnsi="Palatino Linotype" w:cs="Palatino Linotype"/>
        </w:rPr>
        <w:t>la generación de los visores</w:t>
      </w:r>
      <w:r w:rsidR="005A046A">
        <w:rPr>
          <w:rFonts w:ascii="Palatino Linotype" w:eastAsia="Palatino Linotype" w:hAnsi="Palatino Linotype" w:cs="Palatino Linotype"/>
        </w:rPr>
        <w:t xml:space="preserve"> de nómina</w:t>
      </w:r>
      <w:r w:rsidR="00C906A1" w:rsidRPr="005A046A">
        <w:rPr>
          <w:rFonts w:ascii="Palatino Linotype" w:eastAsia="Palatino Linotype" w:hAnsi="Palatino Linotype" w:cs="Palatino Linotype"/>
        </w:rPr>
        <w:t xml:space="preserve">, </w:t>
      </w:r>
      <w:r w:rsidRPr="005A046A">
        <w:rPr>
          <w:rFonts w:ascii="Palatino Linotype" w:eastAsia="Palatino Linotype" w:hAnsi="Palatino Linotype" w:cs="Palatino Linotype"/>
        </w:rPr>
        <w:t xml:space="preserve">toda vez que desde mi perspectiva, la entrega de dicho reporte, no implica que el </w:t>
      </w:r>
      <w:r w:rsidRPr="007D5832">
        <w:rPr>
          <w:rFonts w:ascii="Palatino Linotype" w:eastAsia="Palatino Linotype" w:hAnsi="Palatino Linotype" w:cs="Palatino Linotype"/>
          <w:b/>
        </w:rPr>
        <w:t>Sujeto Obligado</w:t>
      </w:r>
      <w:r w:rsidRPr="005A046A">
        <w:rPr>
          <w:rFonts w:ascii="Palatino Linotype" w:eastAsia="Palatino Linotype" w:hAnsi="Palatino Linotype" w:cs="Palatino Linotype"/>
        </w:rPr>
        <w:t xml:space="preserve"> genere información, realice cálculos, practique investigaciones, o genere documentos </w:t>
      </w:r>
      <w:r w:rsidRPr="005A046A">
        <w:rPr>
          <w:rFonts w:ascii="Palatino Linotype" w:eastAsia="Palatino Linotype" w:hAnsi="Palatino Linotype" w:cs="Palatino Linotype"/>
          <w:i/>
        </w:rPr>
        <w:t>ad hoc</w:t>
      </w:r>
      <w:r w:rsidRPr="005A046A">
        <w:rPr>
          <w:rFonts w:ascii="Palatino Linotype" w:eastAsia="Palatino Linotype" w:hAnsi="Palatino Linotype" w:cs="Palatino Linotype"/>
        </w:rPr>
        <w:t xml:space="preserve">, pues </w:t>
      </w:r>
      <w:r w:rsidRPr="005A046A">
        <w:rPr>
          <w:rFonts w:ascii="Palatino Linotype" w:eastAsia="Palatino Linotype" w:hAnsi="Palatino Linotype" w:cs="Palatino Linotype"/>
          <w:b/>
          <w:u w:val="single"/>
        </w:rPr>
        <w:t xml:space="preserve">la información ya se encuentra generada en el portal del SAT, al cual tiene acceso y administra el Sujeto Obligado, quien solo debe descargar el documento respectivo en </w:t>
      </w:r>
      <w:r w:rsidRPr="005A046A">
        <w:rPr>
          <w:rFonts w:ascii="Palatino Linotype" w:eastAsia="Palatino Linotype" w:hAnsi="Palatino Linotype" w:cs="Palatino Linotype"/>
          <w:b/>
          <w:u w:val="single"/>
        </w:rPr>
        <w:lastRenderedPageBreak/>
        <w:t>formato PDF</w:t>
      </w:r>
      <w:r w:rsidRPr="005A046A">
        <w:rPr>
          <w:rFonts w:ascii="Palatino Linotype" w:eastAsia="Palatino Linotype" w:hAnsi="Palatino Linotype" w:cs="Palatino Linotype"/>
        </w:rPr>
        <w:t>, que cuenta con los elementos de autenticidad que la misma autoridad fiscal dispone.</w:t>
      </w:r>
    </w:p>
    <w:p w:rsidR="0061743E" w:rsidRPr="005A046A" w:rsidRDefault="001A7589">
      <w:pPr>
        <w:spacing w:before="240" w:after="240" w:line="360" w:lineRule="auto"/>
        <w:ind w:right="51"/>
        <w:jc w:val="both"/>
        <w:rPr>
          <w:rFonts w:ascii="Palatino Linotype" w:eastAsia="Palatino Linotype" w:hAnsi="Palatino Linotype" w:cs="Palatino Linotype"/>
        </w:rPr>
      </w:pPr>
      <w:r w:rsidRPr="005A046A">
        <w:rPr>
          <w:rFonts w:ascii="Palatino Linotype" w:eastAsia="Palatino Linotype" w:hAnsi="Palatino Linotype" w:cs="Palatino Linotype"/>
        </w:rPr>
        <w:t>Asimismo, considero que la información contenida en el reporte vista anual acumulada es de interés público, al relacionarse con la erogaciones de recursos públicos; favorece a la rendición de cuentas y abona a la transparencia puesto que contribuye a la comprobación del monto total pagado por concepto de nómina, el ISR retenido, el ISR enterado, y la diferencia en caso de existir, durante un ejercicio fiscal, permitiendo conocer la información sintetizada de forma sencilla, ágil y veraz.</w:t>
      </w:r>
    </w:p>
    <w:p w:rsidR="00D45E55" w:rsidRPr="007D5832" w:rsidRDefault="001A7589" w:rsidP="00260ED0">
      <w:pPr>
        <w:spacing w:after="0" w:line="360" w:lineRule="auto"/>
        <w:jc w:val="both"/>
        <w:rPr>
          <w:rFonts w:ascii="Palatino Linotype" w:eastAsia="Palatino Linotype" w:hAnsi="Palatino Linotype" w:cs="Palatino Linotype"/>
        </w:rPr>
        <w:sectPr w:rsidR="00D45E55" w:rsidRPr="007D5832">
          <w:headerReference w:type="default" r:id="rId9"/>
          <w:pgSz w:w="12240" w:h="15840"/>
          <w:pgMar w:top="1985" w:right="1701" w:bottom="2552" w:left="1701" w:header="709" w:footer="586" w:gutter="0"/>
          <w:pgNumType w:start="1"/>
          <w:cols w:space="720"/>
        </w:sectPr>
      </w:pPr>
      <w:bookmarkStart w:id="2" w:name="_heading=h.1fob9te" w:colFirst="0" w:colLast="0"/>
      <w:bookmarkEnd w:id="2"/>
      <w:r w:rsidRPr="005A046A">
        <w:rPr>
          <w:rFonts w:ascii="Palatino Linotype" w:eastAsia="Palatino Linotype" w:hAnsi="Palatino Linotype" w:cs="Palatino Linotype"/>
        </w:rPr>
        <w:t>Es por las razones antes expuestas que</w:t>
      </w:r>
      <w:r w:rsidR="00867973">
        <w:rPr>
          <w:rFonts w:ascii="Palatino Linotype" w:eastAsia="Palatino Linotype" w:hAnsi="Palatino Linotype" w:cs="Palatino Linotype"/>
        </w:rPr>
        <w:t xml:space="preserve"> considero que se debió ordenar la entrega del documento denominado </w:t>
      </w:r>
      <w:r w:rsidR="00260ED0" w:rsidRPr="005A046A">
        <w:rPr>
          <w:rFonts w:ascii="Palatino Linotype" w:eastAsia="Palatino Linotype" w:hAnsi="Palatino Linotype" w:cs="Palatino Linotype"/>
        </w:rPr>
        <w:t xml:space="preserve">“Visor de comprobantes de nómina” el cual concentra la información de los pagos a los trabajadores a través de los CFDI y permite conciliar la información de las retenciones timbradas en las declaraciones provisionales del Impuesto sobre la renta, por lo que el </w:t>
      </w:r>
      <w:r w:rsidR="00260ED0" w:rsidRPr="005A046A">
        <w:rPr>
          <w:rFonts w:ascii="Palatino Linotype" w:eastAsia="Palatino Linotype" w:hAnsi="Palatino Linotype" w:cs="Palatino Linotype"/>
          <w:b/>
        </w:rPr>
        <w:t>Sujeto Obligado</w:t>
      </w:r>
      <w:r w:rsidR="00260ED0" w:rsidRPr="005A046A">
        <w:rPr>
          <w:rFonts w:ascii="Palatino Linotype" w:eastAsia="Palatino Linotype" w:hAnsi="Palatino Linotype" w:cs="Palatino Linotype"/>
        </w:rPr>
        <w:t xml:space="preserve"> al ser usuario del portal que concentra dicha información, no tiene ningún impedimento para consultar y obtener la misma, </w:t>
      </w:r>
      <w:r w:rsidR="007D5832">
        <w:rPr>
          <w:rFonts w:ascii="Palatino Linotype" w:eastAsia="Palatino Linotype" w:hAnsi="Palatino Linotype" w:cs="Palatino Linotype"/>
        </w:rPr>
        <w:t>de modo que</w:t>
      </w:r>
      <w:r w:rsidR="00260ED0" w:rsidRPr="005A046A">
        <w:rPr>
          <w:rFonts w:ascii="Palatino Linotype" w:eastAsia="Palatino Linotype" w:hAnsi="Palatino Linotype" w:cs="Palatino Linotype"/>
        </w:rPr>
        <w:t xml:space="preserve"> en términos de lo dispuesto por el artículo 12 de la l</w:t>
      </w:r>
      <w:bookmarkStart w:id="3" w:name="_GoBack"/>
      <w:bookmarkEnd w:id="3"/>
      <w:r w:rsidR="00260ED0" w:rsidRPr="005A046A">
        <w:rPr>
          <w:rFonts w:ascii="Palatino Linotype" w:eastAsia="Palatino Linotype" w:hAnsi="Palatino Linotype" w:cs="Palatino Linotype"/>
        </w:rPr>
        <w:t>ey de transparencia resultaba procedente su entrega, al ser administrador de dicha información</w:t>
      </w:r>
      <w:r w:rsidRPr="005A046A">
        <w:rPr>
          <w:rFonts w:ascii="Palatino Linotype" w:eastAsia="Palatino Linotype" w:hAnsi="Palatino Linotype" w:cs="Palatino Linotype"/>
        </w:rPr>
        <w:t xml:space="preserve">, y, por ende se emite el presente </w:t>
      </w:r>
      <w:r w:rsidRPr="005A046A">
        <w:rPr>
          <w:rFonts w:ascii="Palatino Linotype" w:eastAsia="Palatino Linotype" w:hAnsi="Palatino Linotype" w:cs="Palatino Linotype"/>
          <w:b/>
        </w:rPr>
        <w:t xml:space="preserve">VOTO </w:t>
      </w:r>
      <w:r w:rsidR="00C906A1" w:rsidRPr="005A046A">
        <w:rPr>
          <w:rFonts w:ascii="Palatino Linotype" w:eastAsia="Palatino Linotype" w:hAnsi="Palatino Linotype" w:cs="Palatino Linotype"/>
          <w:b/>
        </w:rPr>
        <w:t>DISIDENTE</w:t>
      </w:r>
      <w:r w:rsidRPr="005A046A">
        <w:rPr>
          <w:rFonts w:ascii="Palatino Linotype" w:eastAsia="Palatino Linotype" w:hAnsi="Palatino Linotype" w:cs="Palatino Linotype"/>
          <w:b/>
        </w:rPr>
        <w:t>.</w:t>
      </w:r>
      <w:bookmarkStart w:id="4" w:name="_heading=h.2et92p0" w:colFirst="0" w:colLast="0"/>
      <w:bookmarkStart w:id="5" w:name="_heading=h.30j0zll" w:colFirst="0" w:colLast="0"/>
      <w:bookmarkEnd w:id="4"/>
      <w:bookmarkEnd w:id="5"/>
    </w:p>
    <w:p w:rsidR="0061743E" w:rsidRPr="005A046A" w:rsidRDefault="0061743E" w:rsidP="00260ED0">
      <w:pPr>
        <w:spacing w:after="0" w:line="360" w:lineRule="auto"/>
        <w:jc w:val="both"/>
        <w:rPr>
          <w:rFonts w:ascii="Palatino Linotype" w:eastAsia="Palatino Linotype" w:hAnsi="Palatino Linotype" w:cs="Palatino Linotype"/>
          <w:b/>
        </w:rPr>
      </w:pPr>
    </w:p>
    <w:sectPr w:rsidR="0061743E" w:rsidRPr="005A046A">
      <w:headerReference w:type="default" r:id="rId10"/>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589" w:rsidRDefault="001A7589">
      <w:pPr>
        <w:spacing w:after="0" w:line="240" w:lineRule="auto"/>
      </w:pPr>
      <w:r>
        <w:separator/>
      </w:r>
    </w:p>
  </w:endnote>
  <w:endnote w:type="continuationSeparator" w:id="0">
    <w:p w:rsidR="001A7589" w:rsidRDefault="001A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589" w:rsidRDefault="001A7589">
      <w:pPr>
        <w:spacing w:after="0" w:line="240" w:lineRule="auto"/>
      </w:pPr>
      <w:r>
        <w:separator/>
      </w:r>
    </w:p>
  </w:footnote>
  <w:footnote w:type="continuationSeparator" w:id="0">
    <w:p w:rsidR="001A7589" w:rsidRDefault="001A7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3E" w:rsidRDefault="0061743E">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1"/>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263"/>
      <w:gridCol w:w="3544"/>
    </w:tblGrid>
    <w:tr w:rsidR="0061743E">
      <w:tc>
        <w:tcPr>
          <w:tcW w:w="2263" w:type="dxa"/>
          <w:vAlign w:val="center"/>
        </w:tcPr>
        <w:p w:rsidR="0061743E" w:rsidRDefault="0061743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544" w:type="dxa"/>
          <w:vAlign w:val="center"/>
        </w:tcPr>
        <w:p w:rsidR="0061743E" w:rsidRDefault="001A7589" w:rsidP="00EF7B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w:t>
          </w:r>
          <w:r w:rsidR="00EF7B71">
            <w:rPr>
              <w:rFonts w:ascii="Palatino Linotype" w:eastAsia="Palatino Linotype" w:hAnsi="Palatino Linotype" w:cs="Palatino Linotype"/>
              <w:b/>
              <w:color w:val="000000"/>
              <w:sz w:val="20"/>
              <w:szCs w:val="20"/>
            </w:rPr>
            <w:t>DISIDENTE</w:t>
          </w:r>
        </w:p>
      </w:tc>
    </w:tr>
    <w:tr w:rsidR="0061743E">
      <w:tc>
        <w:tcPr>
          <w:tcW w:w="2263" w:type="dxa"/>
          <w:vAlign w:val="center"/>
        </w:tcPr>
        <w:p w:rsidR="0061743E" w:rsidRDefault="001A7589">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544" w:type="dxa"/>
        </w:tcPr>
        <w:p w:rsidR="0061743E" w:rsidRDefault="00EF7B71" w:rsidP="00EF7B71">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05800</w:t>
          </w:r>
          <w:r w:rsidR="001A7589">
            <w:rPr>
              <w:rFonts w:ascii="Palatino Linotype" w:eastAsia="Palatino Linotype" w:hAnsi="Palatino Linotype" w:cs="Palatino Linotype"/>
              <w:b/>
              <w:color w:val="000000"/>
              <w:sz w:val="20"/>
              <w:szCs w:val="20"/>
            </w:rPr>
            <w:t xml:space="preserve">/INFOEM/IP/RR/2024 </w:t>
          </w:r>
        </w:p>
      </w:tc>
    </w:tr>
    <w:tr w:rsidR="0061743E">
      <w:tc>
        <w:tcPr>
          <w:tcW w:w="2263" w:type="dxa"/>
        </w:tcPr>
        <w:p w:rsidR="0061743E" w:rsidRDefault="001A7589">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544" w:type="dxa"/>
        </w:tcPr>
        <w:p w:rsidR="0061743E" w:rsidRDefault="00EF7B71">
          <w:pPr>
            <w:tabs>
              <w:tab w:val="center" w:pos="4419"/>
              <w:tab w:val="right" w:pos="8838"/>
            </w:tabs>
            <w:jc w:val="both"/>
            <w:rPr>
              <w:rFonts w:ascii="Palatino Linotype" w:eastAsia="Palatino Linotype" w:hAnsi="Palatino Linotype" w:cs="Palatino Linotype"/>
              <w:b/>
              <w:color w:val="000000"/>
              <w:sz w:val="20"/>
              <w:szCs w:val="20"/>
            </w:rPr>
          </w:pPr>
          <w:r w:rsidRPr="00EF7B71">
            <w:rPr>
              <w:rFonts w:ascii="Palatino Linotype" w:eastAsia="Palatino Linotype" w:hAnsi="Palatino Linotype" w:cs="Palatino Linotype"/>
              <w:b/>
              <w:color w:val="000000"/>
              <w:sz w:val="20"/>
              <w:szCs w:val="20"/>
            </w:rPr>
            <w:t>Ayuntamiento de Huixquilucan</w:t>
          </w:r>
        </w:p>
      </w:tc>
    </w:tr>
    <w:tr w:rsidR="0061743E">
      <w:tc>
        <w:tcPr>
          <w:tcW w:w="2263" w:type="dxa"/>
        </w:tcPr>
        <w:p w:rsidR="0061743E" w:rsidRDefault="001A7589">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544" w:type="dxa"/>
        </w:tcPr>
        <w:p w:rsidR="0061743E" w:rsidRDefault="001A7589">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rsidR="0061743E" w:rsidRDefault="001A758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-707525</wp:posOffset>
          </wp:positionH>
          <wp:positionV relativeFrom="paragraph">
            <wp:posOffset>-1205672</wp:posOffset>
          </wp:positionV>
          <wp:extent cx="7521053" cy="9897494"/>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E55" w:rsidRDefault="00D45E55">
    <w:pPr>
      <w:widowControl w:val="0"/>
      <w:pBdr>
        <w:top w:val="nil"/>
        <w:left w:val="nil"/>
        <w:bottom w:val="nil"/>
        <w:right w:val="nil"/>
        <w:between w:val="nil"/>
      </w:pBdr>
      <w:spacing w:after="0" w:line="276" w:lineRule="auto"/>
      <w:rPr>
        <w:rFonts w:ascii="Palatino Linotype" w:eastAsia="Palatino Linotype" w:hAnsi="Palatino Linotype" w:cs="Palatino Linotype"/>
        <w:b/>
      </w:rPr>
    </w:pPr>
  </w:p>
  <w:p w:rsidR="00D45E55" w:rsidRDefault="00D45E55">
    <w:pPr>
      <w:pBdr>
        <w:top w:val="nil"/>
        <w:left w:val="nil"/>
        <w:bottom w:val="nil"/>
        <w:right w:val="nil"/>
        <w:between w:val="nil"/>
      </w:pBdr>
      <w:tabs>
        <w:tab w:val="center" w:pos="4419"/>
        <w:tab w:val="right" w:pos="8838"/>
      </w:tabs>
      <w:spacing w:after="0" w:line="240" w:lineRule="auto"/>
      <w:rPr>
        <w:noProof/>
        <w:lang w:val="es-MX"/>
      </w:rPr>
    </w:pPr>
  </w:p>
  <w:p w:rsidR="00D45E55" w:rsidRDefault="00D45E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3E"/>
    <w:rsid w:val="001A7589"/>
    <w:rsid w:val="00246BAC"/>
    <w:rsid w:val="00260ED0"/>
    <w:rsid w:val="005A046A"/>
    <w:rsid w:val="0061743E"/>
    <w:rsid w:val="0071289F"/>
    <w:rsid w:val="007D5832"/>
    <w:rsid w:val="00867973"/>
    <w:rsid w:val="00C906A1"/>
    <w:rsid w:val="00D45E55"/>
    <w:rsid w:val="00EF7B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100C6-CE3F-4F8F-A009-DCF7D8BF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KBfWXK8Oh8aleJ5GmIKBm5FKvA==">CgMxLjAyCGguZ2pkZ3hzMgloLjN6bnlzaDcyCWguMWZvYjl0ZTIJaC4yZXQ5MnAwMgloLjMwajB6bGw4AHIhMUMyZlZpVDI5YzNqN3VWM3hGYW1GcFFkNG1kSkVhQWFq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1519</Words>
  <Characters>8359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11</cp:revision>
  <dcterms:created xsi:type="dcterms:W3CDTF">2024-11-04T16:46:00Z</dcterms:created>
  <dcterms:modified xsi:type="dcterms:W3CDTF">2025-01-16T23:49:00Z</dcterms:modified>
</cp:coreProperties>
</file>