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F0" w:rsidRDefault="009B4E37">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VOTO </w:t>
      </w:r>
      <w:r>
        <w:rPr>
          <w:rFonts w:ascii="Palatino Linotype" w:eastAsia="Palatino Linotype" w:hAnsi="Palatino Linotype" w:cs="Palatino Linotype"/>
          <w:b/>
          <w:color w:val="000000"/>
          <w:sz w:val="24"/>
          <w:szCs w:val="24"/>
        </w:rPr>
        <w:t>DISIDENTE</w:t>
      </w:r>
      <w:r>
        <w:rPr>
          <w:rFonts w:ascii="Palatino Linotype" w:eastAsia="Palatino Linotype" w:hAnsi="Palatino Linotype" w:cs="Palatino Linotype"/>
          <w:b/>
          <w:sz w:val="24"/>
          <w:szCs w:val="24"/>
        </w:rPr>
        <w:t xml:space="preserve"> QUE FORMULA LA COMISIONADA GUADALUPE RAMÍREZ PEÑA, EN RELACIÓN CON LA RESOLUCIÓN DICTADA POR EL PLENO DEL INSTITUTO DE TRANSPARENCIA, ACCESO A LA INFORMACIÓN PÚBLICA Y PROTECCIÓN DE DATOS PERSONALES DEL ESTADO DE MÉXICO Y MUNICIPIOS, EN LA TRIGÉSIMA CUART</w:t>
      </w:r>
      <w:r>
        <w:rPr>
          <w:rFonts w:ascii="Palatino Linotype" w:eastAsia="Palatino Linotype" w:hAnsi="Palatino Linotype" w:cs="Palatino Linotype"/>
          <w:b/>
          <w:sz w:val="24"/>
          <w:szCs w:val="24"/>
        </w:rPr>
        <w:t xml:space="preserve">A SESIÓN ORDINARIA DEL VEINTICINCO DE SEPTIEMBRE DE DOS MIL VEINTICUATRO, EN EL RECURSO DE REVISIÓN 03380/INFOEM/IP/RR/2024. </w:t>
      </w:r>
    </w:p>
    <w:p w:rsidR="00EA14F0" w:rsidRDefault="00EA14F0">
      <w:pPr>
        <w:spacing w:after="0" w:line="360" w:lineRule="auto"/>
        <w:jc w:val="both"/>
        <w:rPr>
          <w:rFonts w:ascii="Palatino Linotype" w:eastAsia="Palatino Linotype" w:hAnsi="Palatino Linotype" w:cs="Palatino Linotype"/>
          <w:b/>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w:t>
      </w:r>
      <w:r>
        <w:rPr>
          <w:rFonts w:ascii="Palatino Linotype" w:eastAsia="Palatino Linotype" w:hAnsi="Palatino Linotype" w:cs="Palatino Linotype"/>
          <w:sz w:val="24"/>
          <w:szCs w:val="24"/>
        </w:rPr>
        <w:t xml:space="preserve">Información Pública y Protección de Datos Personales del Estado de México, la que suscribe emite </w:t>
      </w:r>
      <w:r>
        <w:rPr>
          <w:rFonts w:ascii="Palatino Linotype" w:eastAsia="Palatino Linotype" w:hAnsi="Palatino Linotype" w:cs="Palatino Linotype"/>
          <w:b/>
        </w:rPr>
        <w:t>VOTO DISIDENTE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03380/INFOEM/IP/RR/2024, </w:t>
      </w:r>
      <w:r>
        <w:rPr>
          <w:rFonts w:ascii="Palatino Linotype" w:eastAsia="Palatino Linotype" w:hAnsi="Palatino Linotype" w:cs="Palatino Linotype"/>
          <w:sz w:val="24"/>
          <w:szCs w:val="24"/>
        </w:rPr>
        <w:t>pronunciada por el Pleno de este Instituto ante el pr</w:t>
      </w:r>
      <w:r>
        <w:rPr>
          <w:rFonts w:ascii="Palatino Linotype" w:eastAsia="Palatino Linotype" w:hAnsi="Palatino Linotype" w:cs="Palatino Linotype"/>
          <w:sz w:val="24"/>
          <w:szCs w:val="24"/>
        </w:rPr>
        <w:t>oyecto presentado por el Comisionado José Martínez Vilchis, el cual se formuló, conforme al tenor siguiente:</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left="567"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Antecedentes.</w:t>
      </w:r>
    </w:p>
    <w:p w:rsidR="00EA14F0" w:rsidRDefault="00EA14F0">
      <w:pPr>
        <w:spacing w:after="0" w:line="360" w:lineRule="auto"/>
        <w:ind w:left="567" w:right="142"/>
        <w:jc w:val="both"/>
        <w:rPr>
          <w:rFonts w:ascii="Palatino Linotype" w:eastAsia="Palatino Linotype" w:hAnsi="Palatino Linotype" w:cs="Palatino Linotype"/>
          <w:b/>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quedó debidamente asentado en la resolución, materia del presente </w:t>
      </w:r>
      <w:proofErr w:type="gramStart"/>
      <w:r>
        <w:rPr>
          <w:rFonts w:ascii="Palatino Linotype" w:eastAsia="Palatino Linotype" w:hAnsi="Palatino Linotype" w:cs="Palatino Linotype"/>
          <w:sz w:val="24"/>
          <w:szCs w:val="24"/>
        </w:rPr>
        <w:t>voto</w:t>
      </w:r>
      <w:proofErr w:type="gramEnd"/>
      <w:r>
        <w:rPr>
          <w:rFonts w:ascii="Palatino Linotype" w:eastAsia="Palatino Linotype" w:hAnsi="Palatino Linotype" w:cs="Palatino Linotype"/>
          <w:sz w:val="24"/>
          <w:szCs w:val="24"/>
        </w:rPr>
        <w:t xml:space="preserve"> la persona solicitante requirió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lo siguiente:</w:t>
      </w:r>
    </w:p>
    <w:p w:rsidR="00EA14F0" w:rsidRDefault="00EA14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1.</w:t>
      </w:r>
      <w:r>
        <w:rPr>
          <w:rFonts w:ascii="Palatino Linotype" w:eastAsia="Palatino Linotype" w:hAnsi="Palatino Linotype" w:cs="Palatino Linotype"/>
          <w:color w:val="000000"/>
          <w:sz w:val="24"/>
          <w:szCs w:val="24"/>
        </w:rPr>
        <w:tab/>
        <w:t xml:space="preserve">Solicito conocer el estado de fuerza total del personal de la Dirección de Seguridad Pública y Tránsito Municipal o su nomenclatura equivalente; por sectores, cuadrantes o su equivalencia. </w:t>
      </w:r>
    </w:p>
    <w:p w:rsidR="00EA14F0" w:rsidRDefault="00EA14F0">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w:t>
      </w:r>
      <w:r>
        <w:rPr>
          <w:rFonts w:ascii="Palatino Linotype" w:eastAsia="Palatino Linotype" w:hAnsi="Palatino Linotype" w:cs="Palatino Linotype"/>
          <w:color w:val="000000"/>
          <w:sz w:val="24"/>
          <w:szCs w:val="24"/>
        </w:rPr>
        <w:tab/>
        <w:t xml:space="preserve">Conocer el estado de fuerza de las unidades </w:t>
      </w:r>
      <w:r>
        <w:rPr>
          <w:rFonts w:ascii="Palatino Linotype" w:eastAsia="Palatino Linotype" w:hAnsi="Palatino Linotype" w:cs="Palatino Linotype"/>
          <w:color w:val="000000"/>
          <w:sz w:val="24"/>
          <w:szCs w:val="24"/>
        </w:rPr>
        <w:t xml:space="preserve">(patrullas) tanto </w:t>
      </w:r>
      <w:proofErr w:type="spellStart"/>
      <w:r>
        <w:rPr>
          <w:rFonts w:ascii="Palatino Linotype" w:eastAsia="Palatino Linotype" w:hAnsi="Palatino Linotype" w:cs="Palatino Linotype"/>
          <w:sz w:val="24"/>
          <w:szCs w:val="24"/>
        </w:rPr>
        <w:t>radiopatrullas</w:t>
      </w:r>
      <w:proofErr w:type="spellEnd"/>
      <w:r>
        <w:rPr>
          <w:rFonts w:ascii="Palatino Linotype" w:eastAsia="Palatino Linotype" w:hAnsi="Palatino Linotype" w:cs="Palatino Linotype"/>
          <w:color w:val="000000"/>
          <w:sz w:val="24"/>
          <w:szCs w:val="24"/>
        </w:rPr>
        <w:t xml:space="preserve">, como motocicletas, así mismo saber el motivo por el cual las moto-patrullas se encuentran paradas (sin salir a circular) si están descompuestas o cual es el motivo por el cual no realizan su función. </w:t>
      </w:r>
    </w:p>
    <w:p w:rsidR="00EA14F0" w:rsidRDefault="00EA14F0">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3.</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 xml:space="preserve">Se solicita saber el motivo y fundamento legal por el cual se encuentran asignadas 4 unidades con la leyenda y/o cromática de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marina, en virtud de que no se observan elementos de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marina conduzcan dichas unidades. </w:t>
      </w:r>
    </w:p>
    <w:p w:rsidR="00EA14F0" w:rsidRDefault="00EA14F0">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w:t>
      </w:r>
      <w:r>
        <w:rPr>
          <w:rFonts w:ascii="Palatino Linotype" w:eastAsia="Palatino Linotype" w:hAnsi="Palatino Linotype" w:cs="Palatino Linotype"/>
          <w:color w:val="000000"/>
          <w:sz w:val="24"/>
          <w:szCs w:val="24"/>
        </w:rPr>
        <w:tab/>
        <w:t>Cuán</w:t>
      </w:r>
      <w:r>
        <w:rPr>
          <w:rFonts w:ascii="Palatino Linotype" w:eastAsia="Palatino Linotype" w:hAnsi="Palatino Linotype" w:cs="Palatino Linotype"/>
          <w:color w:val="000000"/>
          <w:sz w:val="24"/>
          <w:szCs w:val="24"/>
        </w:rPr>
        <w:t xml:space="preserve">tos elementos de la Secretaría de Marina se encuentran comisionados al Ayuntamiento de Atizapán de Zaragoza y cuáles son sus sueldos de cada uno de ellos y los oficios de comisión de cada uno de ellos. </w:t>
      </w:r>
    </w:p>
    <w:p w:rsidR="00EA14F0" w:rsidRDefault="00EA14F0">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5.</w:t>
      </w:r>
      <w:r>
        <w:rPr>
          <w:rFonts w:ascii="Palatino Linotype" w:eastAsia="Palatino Linotype" w:hAnsi="Palatino Linotype" w:cs="Palatino Linotype"/>
          <w:color w:val="000000"/>
          <w:sz w:val="24"/>
          <w:szCs w:val="24"/>
        </w:rPr>
        <w:tab/>
        <w:t>Saber el motivo por el cual, el personal de tráns</w:t>
      </w:r>
      <w:r>
        <w:rPr>
          <w:rFonts w:ascii="Palatino Linotype" w:eastAsia="Palatino Linotype" w:hAnsi="Palatino Linotype" w:cs="Palatino Linotype"/>
          <w:color w:val="000000"/>
          <w:sz w:val="24"/>
          <w:szCs w:val="24"/>
        </w:rPr>
        <w:t xml:space="preserve">ito no está realizando sus funciones como lo ordena el reglamento de tránsito, conocer el fundamento legal por el cual se encuentran suspendidas dichas infracciones. </w:t>
      </w:r>
    </w:p>
    <w:p w:rsidR="00EA14F0" w:rsidRDefault="00EA14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A14F0" w:rsidRDefault="009B4E3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6.</w:t>
      </w:r>
      <w:r>
        <w:rPr>
          <w:rFonts w:ascii="Palatino Linotype" w:eastAsia="Palatino Linotype" w:hAnsi="Palatino Linotype" w:cs="Palatino Linotype"/>
          <w:color w:val="000000"/>
          <w:sz w:val="24"/>
          <w:szCs w:val="24"/>
        </w:rPr>
        <w:tab/>
        <w:t>Según la pregunta anterior, saber de dónde se obtiene el recurso económico para cubri</w:t>
      </w:r>
      <w:r>
        <w:rPr>
          <w:rFonts w:ascii="Palatino Linotype" w:eastAsia="Palatino Linotype" w:hAnsi="Palatino Linotype" w:cs="Palatino Linotype"/>
          <w:color w:val="000000"/>
          <w:sz w:val="24"/>
          <w:szCs w:val="24"/>
        </w:rPr>
        <w:t>r los gastos de mantenimiento y de concesión de las máquinas para imprimir infracciones (HANDHELD) toda la información anterior en su versión pública.</w:t>
      </w:r>
    </w:p>
    <w:p w:rsidR="00EA14F0" w:rsidRDefault="00EA14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emitió su respuesta de la siguiente forma:</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1. Reserva total mediante el co</w:t>
      </w:r>
      <w:r>
        <w:rPr>
          <w:rFonts w:ascii="Palatino Linotype" w:eastAsia="Palatino Linotype" w:hAnsi="Palatino Linotype" w:cs="Palatino Linotype"/>
          <w:sz w:val="24"/>
          <w:szCs w:val="24"/>
        </w:rPr>
        <w:t>mité de transparencia respecto del estado de fuerza del personal de la dirección de seguridad pública y tránsito municipal por sectores, cuadrante o su equivalencia.</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estado de fuerza que obra en la base de datos al día de la fecha es de 1355 agentes de</w:t>
      </w:r>
      <w:r>
        <w:rPr>
          <w:rFonts w:ascii="Palatino Linotype" w:eastAsia="Palatino Linotype" w:hAnsi="Palatino Linotype" w:cs="Palatino Linotype"/>
          <w:sz w:val="24"/>
          <w:szCs w:val="24"/>
        </w:rPr>
        <w:t xml:space="preserve"> Policía Municipal.</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2. El Director de Seguridad Pública y Tránsito Municipal, indicó que, en términos por lo dispuesto en los artículos 54 y 55 del Reglamento Orgánico de la Administración Pública Municipal de Atizapán de Zaragoza, esa Dirección no cuenta con la inf</w:t>
      </w:r>
      <w:r>
        <w:rPr>
          <w:rFonts w:ascii="Palatino Linotype" w:eastAsia="Palatino Linotype" w:hAnsi="Palatino Linotype" w:cs="Palatino Linotype"/>
          <w:sz w:val="24"/>
          <w:szCs w:val="24"/>
        </w:rPr>
        <w:t>ormación, al no encontrarse dentro de sus facultades, toda vez que es la Dirección de Administración la facultada.</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Subdirector Administrativo de la Dirección de Seguridad Pública y Tránsito Municipal, comunicó que, en relación al motivo por el cual, las patrullas se encuentran paradas, es Derecho de Petición.</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3. El Subdirector Administrativo de la Direcci</w:t>
      </w:r>
      <w:r>
        <w:rPr>
          <w:rFonts w:ascii="Palatino Linotype" w:eastAsia="Palatino Linotype" w:hAnsi="Palatino Linotype" w:cs="Palatino Linotype"/>
          <w:sz w:val="24"/>
          <w:szCs w:val="24"/>
        </w:rPr>
        <w:t>ón de Seguridad Pública y Tránsito Municipal, comunicó que, en relación al motivo por el cual, las patrullas se encuentran paradas, es Derecho de Petición.</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4. El Subdirector Administrativo de la Dirección de Seguridad Pública y Tránsito Municipa</w:t>
      </w:r>
      <w:r>
        <w:rPr>
          <w:rFonts w:ascii="Palatino Linotype" w:eastAsia="Palatino Linotype" w:hAnsi="Palatino Linotype" w:cs="Palatino Linotype"/>
          <w:sz w:val="24"/>
          <w:szCs w:val="24"/>
        </w:rPr>
        <w:t xml:space="preserve">l, informó que se encuentran comisionados a esa Dirección 18 elementos de la Secretaría de Marina, respecto a los sueldos y oficios de comisión, deberá solicitarlo a la Secretaría de Marina-Armada de México.  </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5. El Director de Seguridad Pública</w:t>
      </w:r>
      <w:r>
        <w:rPr>
          <w:rFonts w:ascii="Palatino Linotype" w:eastAsia="Palatino Linotype" w:hAnsi="Palatino Linotype" w:cs="Palatino Linotype"/>
          <w:sz w:val="24"/>
          <w:szCs w:val="24"/>
        </w:rPr>
        <w:t xml:space="preserve"> y Tránsito Municipal, informó que, es Derecho de Petición, por lo que, la entrega de una razón o razonamiento por parte del Sujeto Obligado no es algo que la Ley establezca como atribución.</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Adicionalmente, mediante el oficio número DSPYTM/STM/246/2024, f</w:t>
      </w:r>
      <w:r>
        <w:rPr>
          <w:rFonts w:ascii="Palatino Linotype" w:eastAsia="Palatino Linotype" w:hAnsi="Palatino Linotype" w:cs="Palatino Linotype"/>
          <w:sz w:val="24"/>
          <w:szCs w:val="24"/>
        </w:rPr>
        <w:t>irmado por el Subdirector de Tránsito Municipal, comunicó que dicha Subdirección no cuenta con la facultad de cancelar las infracciones dentro del Municipio.</w:t>
      </w:r>
    </w:p>
    <w:p w:rsidR="00EA14F0" w:rsidRDefault="00EA14F0">
      <w:pPr>
        <w:spacing w:after="0" w:line="360" w:lineRule="auto"/>
        <w:ind w:right="142"/>
        <w:jc w:val="both"/>
        <w:rPr>
          <w:rFonts w:ascii="Palatino Linotype" w:eastAsia="Palatino Linotype" w:hAnsi="Palatino Linotype" w:cs="Palatino Linotype"/>
          <w:sz w:val="24"/>
          <w:szCs w:val="24"/>
        </w:rPr>
      </w:pPr>
    </w:p>
    <w:p w:rsidR="00EA14F0" w:rsidRDefault="009B4E37">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punto 6. El Subdirector de Tránsito Municipal, informó que, al no contar con infracciones act</w:t>
      </w:r>
      <w:r>
        <w:rPr>
          <w:rFonts w:ascii="Palatino Linotype" w:eastAsia="Palatino Linotype" w:hAnsi="Palatino Linotype" w:cs="Palatino Linotype"/>
          <w:sz w:val="24"/>
          <w:szCs w:val="24"/>
        </w:rPr>
        <w:t>ivas no se genera gasto alguno para las máquinas de infracciones.</w:t>
      </w:r>
    </w:p>
    <w:p w:rsidR="00EA14F0" w:rsidRDefault="00EA14F0">
      <w:pPr>
        <w:spacing w:after="0" w:line="360" w:lineRule="auto"/>
        <w:ind w:right="-93"/>
        <w:jc w:val="both"/>
        <w:rPr>
          <w:rFonts w:ascii="Palatino Linotype" w:eastAsia="Palatino Linotype" w:hAnsi="Palatino Linotype" w:cs="Palatino Linotype"/>
        </w:rPr>
      </w:pPr>
    </w:p>
    <w:p w:rsidR="00EA14F0" w:rsidRDefault="009B4E37">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Bajo tales argumentos,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de la siguiente forma:</w:t>
      </w:r>
    </w:p>
    <w:p w:rsidR="00EA14F0" w:rsidRDefault="00EA14F0">
      <w:pPr>
        <w:spacing w:after="0" w:line="360" w:lineRule="auto"/>
        <w:ind w:right="-234"/>
        <w:jc w:val="both"/>
        <w:rPr>
          <w:rFonts w:ascii="Palatino Linotype" w:eastAsia="Palatino Linotype" w:hAnsi="Palatino Linotype" w:cs="Palatino Linotype"/>
          <w:b/>
          <w:color w:val="000000"/>
          <w:sz w:val="24"/>
          <w:szCs w:val="24"/>
        </w:rPr>
      </w:pPr>
    </w:p>
    <w:p w:rsidR="00EA14F0" w:rsidRDefault="009B4E37">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rsidR="00EA14F0" w:rsidRDefault="009B4E37">
      <w:pPr>
        <w:tabs>
          <w:tab w:val="left" w:pos="8222"/>
        </w:tabs>
        <w:spacing w:before="240" w:after="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“EXISTE NEGATIVA A LA INFORMACION SOLICTADA, ADEMAS DE QUE EXISTEN PUNTOS CONTRADICTORIOS ENTRE SUS PROPIAS RESPUESTAS, DICEN QUE SI ESTAN INFRACCIONANDO LOS ELEMENTOS DE TRANSITO, LUEGO ENCONTONCES, DICEN QUE ESTOS NO ESTAN INFRACCIONANDO. ADEMAS DE QUE E</w:t>
      </w:r>
      <w:r>
        <w:rPr>
          <w:rFonts w:ascii="Palatino Linotype" w:eastAsia="Palatino Linotype" w:hAnsi="Palatino Linotype" w:cs="Palatino Linotype"/>
          <w:i/>
          <w:color w:val="000000"/>
        </w:rPr>
        <w:t>STAN NEGANDO LA INFORMACION RESPECTO AL MOTIVO POR EL QUE LAS MOTOPATRULLAS NO ESTAN EN CIRCULACION, NO APORTAN INFORMACION CONVENCENTE, EN ESPECIAL EL CIUDADANO JULIO HELADIO, ES QUIEN NIEGA INFORMACION, ADEMAS QUE NIEGAN PROPORCIONAR INFORMACION RELACION</w:t>
      </w:r>
      <w:r>
        <w:rPr>
          <w:rFonts w:ascii="Palatino Linotype" w:eastAsia="Palatino Linotype" w:hAnsi="Palatino Linotype" w:cs="Palatino Linotype"/>
          <w:i/>
          <w:color w:val="000000"/>
        </w:rPr>
        <w:t>ADDA CON UNIDADES RETULADAS CON LA LEYENDA DE LA SEMAR, TAMBIEN NIEGAN ESA INFORMACION. NIEGAN INFORMAR PORQUE LAS MOTOPATRULLAS NO ESTAN EN CIRCULACION EN LA HOJA SEIS SE APRECIAN LOS HECHOS CONTRADICTORIOS” [sic]</w:t>
      </w:r>
    </w:p>
    <w:p w:rsidR="00EA14F0" w:rsidRDefault="009B4E37">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rsidR="00EA14F0" w:rsidRDefault="009B4E37">
      <w:pPr>
        <w:spacing w:before="240"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 xml:space="preserve">DICE LA AUTORIDAD QUE NO ESTAN SUSPENDIDAS LAS INFRACCIONES, MAS SIN EMBARGO NO APORTAN INFORACION QUE DIGA LO CONTRARIO, NO EXISNTEN BOLETAS DE INFRACCION EN LOS ULTIMOS AÑOS, ESTAN NEGANDO LA INFORMACION SOLICTADA EN EL </w:t>
      </w:r>
      <w:r>
        <w:rPr>
          <w:rFonts w:ascii="Palatino Linotype" w:eastAsia="Palatino Linotype" w:hAnsi="Palatino Linotype" w:cs="Palatino Linotype"/>
          <w:i/>
          <w:color w:val="000000"/>
        </w:rPr>
        <w:lastRenderedPageBreak/>
        <w:t>DOCUMENTO ANEXO SE APRECIA LAS CON</w:t>
      </w:r>
      <w:r>
        <w:rPr>
          <w:rFonts w:ascii="Palatino Linotype" w:eastAsia="Palatino Linotype" w:hAnsi="Palatino Linotype" w:cs="Palatino Linotype"/>
          <w:i/>
          <w:color w:val="000000"/>
        </w:rPr>
        <w:t>TRADICCIONES QUE INDICA LA AUTORIDAD ¡ESTAN FALSEANDO INFORMACION!</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sic</w:t>
      </w:r>
      <w:proofErr w:type="gramEnd"/>
      <w:r>
        <w:rPr>
          <w:rFonts w:ascii="Palatino Linotype" w:eastAsia="Palatino Linotype" w:hAnsi="Palatino Linotype" w:cs="Palatino Linotype"/>
          <w:i/>
          <w:color w:val="000000"/>
        </w:rPr>
        <w:t>]</w:t>
      </w:r>
    </w:p>
    <w:p w:rsidR="00EA14F0" w:rsidRDefault="00EA14F0">
      <w:pPr>
        <w:spacing w:after="0" w:line="360" w:lineRule="auto"/>
        <w:ind w:right="-93"/>
        <w:jc w:val="both"/>
        <w:rPr>
          <w:rFonts w:ascii="Palatino Linotype" w:eastAsia="Palatino Linotype" w:hAnsi="Palatino Linotype" w:cs="Palatino Linotype"/>
          <w:sz w:val="24"/>
          <w:szCs w:val="24"/>
        </w:rPr>
      </w:pPr>
    </w:p>
    <w:p w:rsidR="00EA14F0" w:rsidRDefault="009B4E37">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t xml:space="preserve">Durante la etapa de manifestaciones,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rindió su Informe Justificado ratificando su respuesta inicial. </w:t>
      </w:r>
    </w:p>
    <w:p w:rsidR="00EA14F0" w:rsidRDefault="00EA14F0">
      <w:pPr>
        <w:spacing w:after="0" w:line="360" w:lineRule="auto"/>
        <w:jc w:val="both"/>
        <w:rPr>
          <w:rFonts w:ascii="Palatino Linotype" w:eastAsia="Palatino Linotype" w:hAnsi="Palatino Linotype" w:cs="Palatino Linotype"/>
        </w:rPr>
      </w:pPr>
    </w:p>
    <w:p w:rsidR="00EA14F0" w:rsidRDefault="009B4E3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esta tesitura, derivado del análisis efectuado, la Pone</w:t>
      </w:r>
      <w:r>
        <w:rPr>
          <w:rFonts w:ascii="Palatino Linotype" w:eastAsia="Palatino Linotype" w:hAnsi="Palatino Linotype" w:cs="Palatino Linotype"/>
          <w:sz w:val="24"/>
          <w:szCs w:val="24"/>
        </w:rPr>
        <w:t xml:space="preserve">ncia </w:t>
      </w:r>
      <w:proofErr w:type="spellStart"/>
      <w:r>
        <w:rPr>
          <w:rFonts w:ascii="Palatino Linotype" w:eastAsia="Palatino Linotype" w:hAnsi="Palatino Linotype" w:cs="Palatino Linotype"/>
          <w:sz w:val="24"/>
          <w:szCs w:val="24"/>
        </w:rPr>
        <w:t>Resolutora</w:t>
      </w:r>
      <w:proofErr w:type="spellEnd"/>
      <w:r>
        <w:rPr>
          <w:rFonts w:ascii="Palatino Linotype" w:eastAsia="Palatino Linotype" w:hAnsi="Palatino Linotype" w:cs="Palatino Linotype"/>
          <w:sz w:val="24"/>
          <w:szCs w:val="24"/>
        </w:rPr>
        <w:t>, determinó sobreseer el recurso de revisión bajo el siguiente término:</w:t>
      </w:r>
    </w:p>
    <w:p w:rsidR="00EA14F0" w:rsidRDefault="00EA14F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EA14F0" w:rsidRDefault="009B4E37">
      <w:pPr>
        <w:spacing w:after="0" w:line="276" w:lineRule="auto"/>
        <w:ind w:left="851" w:right="708"/>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SOBRESEE</w:t>
      </w:r>
      <w:r>
        <w:rPr>
          <w:rFonts w:ascii="Palatino Linotype" w:eastAsia="Palatino Linotype" w:hAnsi="Palatino Linotype" w:cs="Palatino Linotype"/>
          <w:i/>
        </w:rPr>
        <w:t xml:space="preserve"> el recurso de revisión número </w:t>
      </w:r>
      <w:r>
        <w:rPr>
          <w:rFonts w:ascii="Palatino Linotype" w:eastAsia="Palatino Linotype" w:hAnsi="Palatino Linotype" w:cs="Palatino Linotype"/>
          <w:b/>
          <w:i/>
        </w:rPr>
        <w:t>03380/INFOEM/IP/RR/2024</w:t>
      </w:r>
      <w:r>
        <w:rPr>
          <w:rFonts w:ascii="Palatino Linotype" w:eastAsia="Palatino Linotype" w:hAnsi="Palatino Linotype" w:cs="Palatino Linotype"/>
          <w:i/>
        </w:rPr>
        <w:t xml:space="preserve">, por improcedente en términos de los artículos 191, fracción V y 192, fracción IV, de la Ley de Transparencia y Acceso a la Información Pública del Estado de México y Municipios, y en términos del Considerando </w:t>
      </w:r>
      <w:r>
        <w:rPr>
          <w:rFonts w:ascii="Palatino Linotype" w:eastAsia="Palatino Linotype" w:hAnsi="Palatino Linotype" w:cs="Palatino Linotype"/>
          <w:b/>
          <w:i/>
        </w:rPr>
        <w:t>TERCERO</w:t>
      </w:r>
      <w:r>
        <w:rPr>
          <w:rFonts w:ascii="Palatino Linotype" w:eastAsia="Palatino Linotype" w:hAnsi="Palatino Linotype" w:cs="Palatino Linotype"/>
          <w:i/>
        </w:rPr>
        <w:t xml:space="preserve"> de la presente resolución.</w:t>
      </w:r>
    </w:p>
    <w:p w:rsidR="00EA14F0" w:rsidRDefault="00EA14F0">
      <w:pPr>
        <w:spacing w:after="0" w:line="360" w:lineRule="auto"/>
        <w:ind w:right="-93"/>
        <w:jc w:val="both"/>
        <w:rPr>
          <w:rFonts w:ascii="Palatino Linotype" w:eastAsia="Palatino Linotype" w:hAnsi="Palatino Linotype" w:cs="Palatino Linotype"/>
        </w:rPr>
      </w:pPr>
    </w:p>
    <w:p w:rsidR="00EA14F0" w:rsidRDefault="009B4E3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inic</w:t>
      </w:r>
      <w:r>
        <w:rPr>
          <w:rFonts w:ascii="Palatino Linotype" w:eastAsia="Palatino Linotype" w:hAnsi="Palatino Linotype" w:cs="Palatino Linotype"/>
          <w:sz w:val="24"/>
          <w:szCs w:val="24"/>
        </w:rPr>
        <w:t xml:space="preserve">iar la emisión del presente voto, conviene mencionar, que, de manera respetuosa ya que no se </w:t>
      </w:r>
      <w:r>
        <w:rPr>
          <w:rFonts w:ascii="Palatino Linotype" w:eastAsia="Palatino Linotype" w:hAnsi="Palatino Linotype" w:cs="Palatino Linotype"/>
          <w:b/>
          <w:sz w:val="24"/>
          <w:szCs w:val="24"/>
        </w:rPr>
        <w:t>comparte las consideraciones que fueron vertidas en la presente resolución</w:t>
      </w:r>
      <w:r>
        <w:rPr>
          <w:rFonts w:ascii="Palatino Linotype" w:eastAsia="Palatino Linotype" w:hAnsi="Palatino Linotype" w:cs="Palatino Linotype"/>
          <w:sz w:val="24"/>
          <w:szCs w:val="24"/>
        </w:rPr>
        <w:t>,  toda vez que la suscrita considera que los motivos de inconformidad de LA PARTE RECURR</w:t>
      </w:r>
      <w:r>
        <w:rPr>
          <w:rFonts w:ascii="Palatino Linotype" w:eastAsia="Palatino Linotype" w:hAnsi="Palatino Linotype" w:cs="Palatino Linotype"/>
          <w:sz w:val="24"/>
          <w:szCs w:val="24"/>
        </w:rPr>
        <w:t>ENTE son susceptibles de atender.</w:t>
      </w:r>
    </w:p>
    <w:p w:rsidR="00EA14F0" w:rsidRDefault="00EA14F0">
      <w:pPr>
        <w:spacing w:after="0" w:line="360" w:lineRule="auto"/>
        <w:jc w:val="both"/>
        <w:rPr>
          <w:rFonts w:ascii="Palatino Linotype" w:eastAsia="Palatino Linotype" w:hAnsi="Palatino Linotype" w:cs="Palatino Linotype"/>
          <w:sz w:val="24"/>
          <w:szCs w:val="24"/>
        </w:rPr>
      </w:pPr>
    </w:p>
    <w:p w:rsidR="00EA14F0" w:rsidRDefault="009B4E37">
      <w:pPr>
        <w:spacing w:after="0" w:line="360" w:lineRule="auto"/>
        <w:ind w:right="706"/>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En efecto, al respecto en la resolución se consideró lo siguiente</w:t>
      </w:r>
      <w:r>
        <w:rPr>
          <w:rFonts w:ascii="Palatino Linotype" w:eastAsia="Palatino Linotype" w:hAnsi="Palatino Linotype" w:cs="Palatino Linotype"/>
          <w:i/>
          <w:sz w:val="24"/>
          <w:szCs w:val="24"/>
        </w:rPr>
        <w:t>:</w:t>
      </w:r>
    </w:p>
    <w:p w:rsidR="00EA14F0" w:rsidRDefault="00EA14F0">
      <w:pPr>
        <w:spacing w:after="0" w:line="360" w:lineRule="auto"/>
        <w:jc w:val="both"/>
        <w:rPr>
          <w:rFonts w:ascii="Palatino Linotype" w:eastAsia="Palatino Linotype" w:hAnsi="Palatino Linotype" w:cs="Palatino Linotype"/>
          <w:b/>
          <w:sz w:val="24"/>
          <w:szCs w:val="24"/>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Por lo que, inconforme con la respuesta emitida por parte del Sujeto Obligado, El Recurrente interpuso el presente recurso de revisión, señalando como sus Razones o Motivos de la Inconformidad, lo siguiente: “DICE LA AUTORIDAD QUE NO ESTAN SUSPENDIDAS LAS </w:t>
      </w:r>
      <w:r>
        <w:rPr>
          <w:rFonts w:ascii="Palatino Linotype" w:eastAsia="Palatino Linotype" w:hAnsi="Palatino Linotype" w:cs="Palatino Linotype"/>
          <w:i/>
        </w:rPr>
        <w:t>INFRACCIONES, MAS SIN EMBARGO NO APORTAN INFORACION QUE DIGA LO CONTRARIO, NO EXISNTEN BOLETAS DE INFRACCION EN LOS ULTIMOS AÑOS, ESTAN NEGANDO LA INFORMACION SOLICTADA EN EL DOCUMENTO ANEXO SE APRECIA LAS CONTRADICCIONES QUE INDICA LA AUTORIDAD ¡ESTAN FAL</w:t>
      </w:r>
      <w:r>
        <w:rPr>
          <w:rFonts w:ascii="Palatino Linotype" w:eastAsia="Palatino Linotype" w:hAnsi="Palatino Linotype" w:cs="Palatino Linotype"/>
          <w:i/>
        </w:rPr>
        <w:t>SEANDO INFORMACION!" [Sic].</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Hasta lo aquí expuesto, se advierte que se actualiza la hipótesis prevista en el artículo 191, fracción V, de la Ley de Transparencia y Acceso a la Información Pública del Estado de México y Municipios en vigor, que a la l</w:t>
      </w:r>
      <w:r>
        <w:rPr>
          <w:rFonts w:ascii="Palatino Linotype" w:eastAsia="Palatino Linotype" w:hAnsi="Palatino Linotype" w:cs="Palatino Linotype"/>
          <w:i/>
        </w:rPr>
        <w:t>etra dice:</w:t>
      </w:r>
    </w:p>
    <w:p w:rsidR="00EA14F0" w:rsidRDefault="00EA14F0">
      <w:pPr>
        <w:spacing w:after="0" w:line="276" w:lineRule="auto"/>
        <w:ind w:left="851" w:right="567"/>
        <w:jc w:val="both"/>
        <w:rPr>
          <w:rFonts w:ascii="Palatino Linotype" w:eastAsia="Palatino Linotype" w:hAnsi="Palatino Linotype" w:cs="Palatino Linotype"/>
          <w:b/>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191</w:t>
      </w:r>
      <w:r>
        <w:rPr>
          <w:rFonts w:ascii="Palatino Linotype" w:eastAsia="Palatino Linotype" w:hAnsi="Palatino Linotype" w:cs="Palatino Linotype"/>
          <w:i/>
        </w:rPr>
        <w:t>. El recurso será desechado por improcedente cuando:</w:t>
      </w: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Se impugne la veracidad de la información proporcionada</w:t>
      </w:r>
      <w:r>
        <w:rPr>
          <w:rFonts w:ascii="Palatino Linotype" w:eastAsia="Palatino Linotype" w:hAnsi="Palatino Linotype" w:cs="Palatino Linotype"/>
          <w:i/>
        </w:rPr>
        <w:t>;</w:t>
      </w: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En conclusión, la ley de la materia establece en la fracción IV, del artículo 192, de la Ley de Transparencia</w:t>
      </w:r>
      <w:r>
        <w:rPr>
          <w:rFonts w:ascii="Palatino Linotype" w:eastAsia="Palatino Linotype" w:hAnsi="Palatino Linotype" w:cs="Palatino Linotype"/>
          <w:i/>
        </w:rPr>
        <w:t xml:space="preserve"> vigente en la entidad, que a la letra establecen:</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192. </w:t>
      </w:r>
      <w:r>
        <w:rPr>
          <w:rFonts w:ascii="Palatino Linotype" w:eastAsia="Palatino Linotype" w:hAnsi="Palatino Linotype" w:cs="Palatino Linotype"/>
          <w:b/>
          <w:i/>
          <w:u w:val="single"/>
        </w:rPr>
        <w:t>El recurso será sobreseído, en todo o en parte, cuando una vez admitido, se actualicen alguno de los siguientes supuestos</w:t>
      </w:r>
      <w:r>
        <w:rPr>
          <w:rFonts w:ascii="Palatino Linotype" w:eastAsia="Palatino Linotype" w:hAnsi="Palatino Linotype" w:cs="Palatino Linotype"/>
          <w:i/>
        </w:rPr>
        <w:t>:</w:t>
      </w:r>
    </w:p>
    <w:p w:rsidR="00EA14F0" w:rsidRDefault="009B4E37">
      <w:pPr>
        <w:numPr>
          <w:ilvl w:val="0"/>
          <w:numId w:val="2"/>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recurrente se desista expresamente del recurso; </w:t>
      </w:r>
    </w:p>
    <w:p w:rsidR="00EA14F0" w:rsidRDefault="009B4E37">
      <w:pPr>
        <w:numPr>
          <w:ilvl w:val="0"/>
          <w:numId w:val="2"/>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El recurrente fallezca o, tratándose de personas jurídicas colectivas, se disuelva; </w:t>
      </w:r>
    </w:p>
    <w:p w:rsidR="00EA14F0" w:rsidRDefault="009B4E37">
      <w:pPr>
        <w:numPr>
          <w:ilvl w:val="0"/>
          <w:numId w:val="2"/>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sujeto obligado responsable del acto lo modifique o revoque de tal manera que el recurso de revisión quede sin materia; </w:t>
      </w:r>
    </w:p>
    <w:p w:rsidR="00EA14F0" w:rsidRDefault="009B4E37">
      <w:pPr>
        <w:numPr>
          <w:ilvl w:val="0"/>
          <w:numId w:val="2"/>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b/>
          <w:i/>
          <w:u w:val="single"/>
        </w:rPr>
        <w:t>Admitido el recurso de revisión, aparezca algun</w:t>
      </w:r>
      <w:r>
        <w:rPr>
          <w:rFonts w:ascii="Palatino Linotype" w:eastAsia="Palatino Linotype" w:hAnsi="Palatino Linotype" w:cs="Palatino Linotype"/>
          <w:b/>
          <w:i/>
          <w:u w:val="single"/>
        </w:rPr>
        <w:t>a causal de improcedencia en los términos de la presente Ley</w:t>
      </w:r>
      <w:r>
        <w:rPr>
          <w:rFonts w:ascii="Palatino Linotype" w:eastAsia="Palatino Linotype" w:hAnsi="Palatino Linotype" w:cs="Palatino Linotype"/>
          <w:i/>
        </w:rPr>
        <w:t xml:space="preserve">; y </w:t>
      </w:r>
    </w:p>
    <w:p w:rsidR="00EA14F0" w:rsidRDefault="009B4E37">
      <w:pPr>
        <w:numPr>
          <w:ilvl w:val="0"/>
          <w:numId w:val="2"/>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t>Cuando por cualquier motivo quede sin materia el recurso.”</w:t>
      </w:r>
    </w:p>
    <w:p w:rsidR="00EA14F0" w:rsidRDefault="00EA14F0">
      <w:pPr>
        <w:spacing w:after="0" w:line="276" w:lineRule="auto"/>
        <w:ind w:left="851" w:right="567"/>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Por lo que hace a los requisitos de procedencia del sobreseimiento en términos del artículo 192, de la Ley de Transparencia estatal</w:t>
      </w:r>
      <w:r>
        <w:rPr>
          <w:rFonts w:ascii="Palatino Linotype" w:eastAsia="Palatino Linotype" w:hAnsi="Palatino Linotype" w:cs="Palatino Linotype"/>
          <w:i/>
        </w:rPr>
        <w:t xml:space="preserve"> se establece lo siguiente:</w:t>
      </w:r>
    </w:p>
    <w:p w:rsidR="00EA14F0" w:rsidRDefault="00EA14F0">
      <w:pPr>
        <w:spacing w:after="0" w:line="276" w:lineRule="auto"/>
        <w:ind w:left="851" w:right="567"/>
        <w:rPr>
          <w:i/>
        </w:rPr>
      </w:pPr>
    </w:p>
    <w:p w:rsidR="00EA14F0" w:rsidRDefault="009B4E37">
      <w:pPr>
        <w:numPr>
          <w:ilvl w:val="0"/>
          <w:numId w:val="3"/>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Mediante acuerdo de fecha </w:t>
      </w:r>
      <w:r>
        <w:rPr>
          <w:rFonts w:ascii="Palatino Linotype" w:eastAsia="Palatino Linotype" w:hAnsi="Palatino Linotype" w:cs="Palatino Linotype"/>
          <w:b/>
          <w:i/>
        </w:rPr>
        <w:t>cuatro de junio de dos mil veinticuatro</w:t>
      </w:r>
      <w:r>
        <w:rPr>
          <w:rFonts w:ascii="Palatino Linotype" w:eastAsia="Palatino Linotype" w:hAnsi="Palatino Linotype" w:cs="Palatino Linotype"/>
          <w:i/>
        </w:rPr>
        <w:t xml:space="preserve">, el Comisionado </w:t>
      </w:r>
      <w:r>
        <w:rPr>
          <w:rFonts w:ascii="Palatino Linotype" w:eastAsia="Palatino Linotype" w:hAnsi="Palatino Linotype" w:cs="Palatino Linotype"/>
          <w:b/>
          <w:i/>
        </w:rPr>
        <w:t>José Martínez Vilchis</w:t>
      </w:r>
      <w:r>
        <w:rPr>
          <w:rFonts w:ascii="Palatino Linotype" w:eastAsia="Palatino Linotype" w:hAnsi="Palatino Linotype" w:cs="Palatino Linotype"/>
          <w:i/>
        </w:rPr>
        <w:t>, admitió a trámite el recurso de revisión que nos ocupa.</w:t>
      </w:r>
    </w:p>
    <w:p w:rsidR="00EA14F0" w:rsidRDefault="009B4E37">
      <w:pPr>
        <w:numPr>
          <w:ilvl w:val="0"/>
          <w:numId w:val="3"/>
        </w:numPr>
        <w:spacing w:after="0" w:line="276" w:lineRule="auto"/>
        <w:ind w:left="851" w:right="567" w:firstLine="0"/>
        <w:jc w:val="both"/>
        <w:rPr>
          <w:i/>
        </w:rPr>
      </w:pPr>
      <w:r>
        <w:rPr>
          <w:rFonts w:ascii="Palatino Linotype" w:eastAsia="Palatino Linotype" w:hAnsi="Palatino Linotype" w:cs="Palatino Linotype"/>
          <w:i/>
        </w:rPr>
        <w:t xml:space="preserve">Lo esgrimido por el particular dentro del recurso de revisión, toda vez que se impugnó la veracidad de la información proporcionada por parte del </w:t>
      </w:r>
      <w:r>
        <w:rPr>
          <w:rFonts w:ascii="Palatino Linotype" w:eastAsia="Palatino Linotype" w:hAnsi="Palatino Linotype" w:cs="Palatino Linotype"/>
          <w:b/>
          <w:i/>
        </w:rPr>
        <w:t>Sujeto Obligado</w:t>
      </w:r>
      <w:r>
        <w:rPr>
          <w:rFonts w:ascii="Palatino Linotype" w:eastAsia="Palatino Linotype" w:hAnsi="Palatino Linotype" w:cs="Palatino Linotype"/>
          <w:i/>
        </w:rPr>
        <w:t>.</w:t>
      </w:r>
    </w:p>
    <w:p w:rsidR="00EA14F0" w:rsidRDefault="009B4E37">
      <w:pPr>
        <w:numPr>
          <w:ilvl w:val="0"/>
          <w:numId w:val="3"/>
        </w:numPr>
        <w:spacing w:after="0" w:line="276" w:lineRule="auto"/>
        <w:ind w:left="851" w:right="567"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recurso </w:t>
      </w:r>
      <w:r>
        <w:rPr>
          <w:rFonts w:ascii="Palatino Linotype" w:eastAsia="Palatino Linotype" w:hAnsi="Palatino Linotype" w:cs="Palatino Linotype"/>
          <w:b/>
          <w:i/>
        </w:rPr>
        <w:t>03380/INFOEM/IP/RR/2024</w:t>
      </w:r>
      <w:r>
        <w:rPr>
          <w:rFonts w:ascii="Palatino Linotype" w:eastAsia="Palatino Linotype" w:hAnsi="Palatino Linotype" w:cs="Palatino Linotype"/>
          <w:i/>
        </w:rPr>
        <w:t>, se sobresee por improcedente, toda vez que se actualiza l</w:t>
      </w:r>
      <w:r>
        <w:rPr>
          <w:rFonts w:ascii="Palatino Linotype" w:eastAsia="Palatino Linotype" w:hAnsi="Palatino Linotype" w:cs="Palatino Linotype"/>
          <w:i/>
        </w:rPr>
        <w:t>a fracción IV, del artículo 192, de la Ley de Transparencia y Acceso a la Información Pública del Estado de México y Municipios, en correlación con el diverso 191, fracción V, del mismo ordenamiento.</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b/>
          <w:i/>
          <w:u w:val="single"/>
        </w:rPr>
      </w:pPr>
      <w:r>
        <w:rPr>
          <w:rFonts w:ascii="Palatino Linotype" w:eastAsia="Palatino Linotype" w:hAnsi="Palatino Linotype" w:cs="Palatino Linotype"/>
          <w:i/>
        </w:rPr>
        <w:t>Es importante resaltar a manera de analogía que la Supr</w:t>
      </w:r>
      <w:r>
        <w:rPr>
          <w:rFonts w:ascii="Palatino Linotype" w:eastAsia="Palatino Linotype" w:hAnsi="Palatino Linotype" w:cs="Palatino Linotype"/>
          <w:i/>
        </w:rPr>
        <w:t xml:space="preserve">ema Corte de Justicia de la Nación mediante el número 2 de la Serie Estudios Introductorios sobre el Juicio de Amparo relativo a LA IMPROCEDENCIA DE LA ACCIÓN DE AMPARO definió a la improcedencia del amparo como la institución jurídica procesal en la que, </w:t>
      </w:r>
      <w:r>
        <w:rPr>
          <w:rFonts w:ascii="Palatino Linotype" w:eastAsia="Palatino Linotype" w:hAnsi="Palatino Linotype" w:cs="Palatino Linotype"/>
          <w:i/>
        </w:rPr>
        <w:t xml:space="preserve">al actualizarse ciertas circunstancias previstas en la Constitución Federal, en la Ley de Amparo o en la Jurisprudencia, el órgano jurisdiccional se ve </w:t>
      </w:r>
      <w:r>
        <w:rPr>
          <w:rFonts w:ascii="Palatino Linotype" w:eastAsia="Palatino Linotype" w:hAnsi="Palatino Linotype" w:cs="Palatino Linotype"/>
          <w:i/>
        </w:rPr>
        <w:lastRenderedPageBreak/>
        <w:t xml:space="preserve">impedido para analizar y resolver el fondo del asunto y que la causa de improcedencia puede tenerse por </w:t>
      </w:r>
      <w:r>
        <w:rPr>
          <w:rFonts w:ascii="Palatino Linotype" w:eastAsia="Palatino Linotype" w:hAnsi="Palatino Linotype" w:cs="Palatino Linotype"/>
          <w:i/>
        </w:rPr>
        <w:t xml:space="preserve">acreditada desde el momento en que se presenta la demanda de amparo, </w:t>
      </w:r>
      <w:r>
        <w:rPr>
          <w:rFonts w:ascii="Palatino Linotype" w:eastAsia="Palatino Linotype" w:hAnsi="Palatino Linotype" w:cs="Palatino Linotype"/>
          <w:b/>
          <w:i/>
          <w:u w:val="single"/>
        </w:rPr>
        <w:t>lo que generará que la demanda sea desechada; o bien, después de admitida la demanda, lo que tendrá como consecuencia que se sobresea en el juicio.</w:t>
      </w:r>
    </w:p>
    <w:p w:rsidR="00EA14F0" w:rsidRDefault="00EA14F0">
      <w:pPr>
        <w:spacing w:after="0" w:line="276" w:lineRule="auto"/>
        <w:ind w:left="851" w:right="567"/>
        <w:jc w:val="both"/>
        <w:rPr>
          <w:rFonts w:ascii="Palatino Linotype" w:eastAsia="Palatino Linotype" w:hAnsi="Palatino Linotype" w:cs="Palatino Linotype"/>
          <w:b/>
          <w:i/>
          <w:u w:val="single"/>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Por tanto, al acreditarse la procedenc</w:t>
      </w:r>
      <w:r>
        <w:rPr>
          <w:rFonts w:ascii="Palatino Linotype" w:eastAsia="Palatino Linotype" w:hAnsi="Palatino Linotype" w:cs="Palatino Linotype"/>
          <w:i/>
        </w:rPr>
        <w:t>ia del sobreseimiento, este Instituto está imposibilitado para analizar las cuestiones de fondo, en virtud de que el sobreseimiento constituye un acto procesal que termina el proceso por cuestiones ajenas al fondo del asunto, lo anterior conforme a la juri</w:t>
      </w:r>
      <w:r>
        <w:rPr>
          <w:rFonts w:ascii="Palatino Linotype" w:eastAsia="Palatino Linotype" w:hAnsi="Palatino Linotype" w:cs="Palatino Linotype"/>
          <w:i/>
        </w:rPr>
        <w:t>sprudencia identificada como el registro digital 220705 2, en la que se estipula lo siguiente:</w:t>
      </w:r>
    </w:p>
    <w:p w:rsidR="00EA14F0" w:rsidRDefault="00EA14F0">
      <w:pPr>
        <w:spacing w:after="0" w:line="276" w:lineRule="auto"/>
        <w:ind w:left="851" w:right="567"/>
        <w:jc w:val="both"/>
        <w:rPr>
          <w:rFonts w:ascii="Palatino Linotype" w:eastAsia="Palatino Linotype" w:hAnsi="Palatino Linotype" w:cs="Palatino Linotype"/>
          <w:i/>
        </w:rPr>
      </w:pPr>
    </w:p>
    <w:p w:rsidR="00EA14F0" w:rsidRDefault="009B4E37">
      <w:pPr>
        <w:spacing w:after="0" w:line="276" w:lineRule="auto"/>
        <w:ind w:left="851" w:right="567"/>
        <w:jc w:val="both"/>
        <w:rPr>
          <w:rFonts w:ascii="Palatino Linotype" w:eastAsia="Palatino Linotype" w:hAnsi="Palatino Linotype" w:cs="Palatino Linotype"/>
          <w:b/>
          <w:i/>
        </w:rPr>
      </w:pPr>
      <w:r>
        <w:rPr>
          <w:rFonts w:ascii="Palatino Linotype" w:eastAsia="Palatino Linotype" w:hAnsi="Palatino Linotype" w:cs="Palatino Linotype"/>
          <w:b/>
          <w:i/>
        </w:rPr>
        <w:t>SOBRESEIMIENTO. IMPIDE EL ESTUDIO DE LAS CUESTIONES DE FONDO.</w:t>
      </w: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La resolución en que se decreta el sobreseimiento en el juicio, constituye un acto procesal que te</w:t>
      </w:r>
      <w:r>
        <w:rPr>
          <w:rFonts w:ascii="Palatino Linotype" w:eastAsia="Palatino Linotype" w:hAnsi="Palatino Linotype" w:cs="Palatino Linotype"/>
          <w:i/>
        </w:rPr>
        <w:t>rmina la instancia por cuestiones ajenas al aspecto de fondo planteado. Así, no causa agravio la sentencia que no se ocupa de examinar la constitucionalidad o inconstitucionalidad del acto reclamado, ya que tal cuestión constituye el problema de fondo plan</w:t>
      </w:r>
      <w:r>
        <w:rPr>
          <w:rFonts w:ascii="Palatino Linotype" w:eastAsia="Palatino Linotype" w:hAnsi="Palatino Linotype" w:cs="Palatino Linotype"/>
          <w:i/>
        </w:rPr>
        <w:t>teado.</w:t>
      </w:r>
    </w:p>
    <w:p w:rsidR="00EA14F0" w:rsidRDefault="00EA14F0">
      <w:pPr>
        <w:spacing w:after="0" w:line="276" w:lineRule="auto"/>
        <w:ind w:left="851" w:right="567"/>
        <w:jc w:val="both"/>
        <w:rPr>
          <w:rFonts w:ascii="Palatino Linotype" w:eastAsia="Palatino Linotype" w:hAnsi="Palatino Linotype" w:cs="Palatino Linotype"/>
          <w:b/>
          <w:i/>
          <w:u w:val="single"/>
        </w:rPr>
      </w:pPr>
    </w:p>
    <w:p w:rsidR="00EA14F0" w:rsidRDefault="009B4E37">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En mérito de lo expuesto en líneas anteriores, resultan parcialmente procedentes los motivos de inconformidad que arguye </w:t>
      </w:r>
      <w:r>
        <w:rPr>
          <w:rFonts w:ascii="Palatino Linotype" w:eastAsia="Palatino Linotype" w:hAnsi="Palatino Linotype" w:cs="Palatino Linotype"/>
          <w:b/>
          <w:i/>
        </w:rPr>
        <w:t>El Recurrente</w:t>
      </w:r>
      <w:r>
        <w:rPr>
          <w:rFonts w:ascii="Palatino Linotype" w:eastAsia="Palatino Linotype" w:hAnsi="Palatino Linotype" w:cs="Palatino Linotype"/>
          <w:i/>
        </w:rPr>
        <w:t xml:space="preserve"> en su medio de impugnación que fue materia de estudio, por ello con fundamento en el artículo 186, fracción I, en</w:t>
      </w:r>
      <w:r>
        <w:rPr>
          <w:rFonts w:ascii="Palatino Linotype" w:eastAsia="Palatino Linotype" w:hAnsi="Palatino Linotype" w:cs="Palatino Linotype"/>
          <w:i/>
        </w:rPr>
        <w:t xml:space="preserve"> concordancia con el artículo 192, fracción IV, de la Ley de Transparencia y Acceso a la Información Pública del Estado de México y Municipios, se </w:t>
      </w:r>
      <w:r>
        <w:rPr>
          <w:rFonts w:ascii="Palatino Linotype" w:eastAsia="Palatino Linotype" w:hAnsi="Palatino Linotype" w:cs="Palatino Linotype"/>
          <w:b/>
          <w:i/>
        </w:rPr>
        <w:t>SOBRESEE</w:t>
      </w:r>
      <w:r>
        <w:rPr>
          <w:rFonts w:ascii="Palatino Linotype" w:eastAsia="Palatino Linotype" w:hAnsi="Palatino Linotype" w:cs="Palatino Linotype"/>
          <w:i/>
        </w:rPr>
        <w:t xml:space="preserve"> el recurso de revisión </w:t>
      </w:r>
      <w:r>
        <w:rPr>
          <w:rFonts w:ascii="Palatino Linotype" w:eastAsia="Palatino Linotype" w:hAnsi="Palatino Linotype" w:cs="Palatino Linotype"/>
          <w:b/>
          <w:i/>
        </w:rPr>
        <w:t>03380/INFOEM/IP/RR/2024</w:t>
      </w:r>
      <w:r>
        <w:rPr>
          <w:rFonts w:ascii="Palatino Linotype" w:eastAsia="Palatino Linotype" w:hAnsi="Palatino Linotype" w:cs="Palatino Linotype"/>
          <w:i/>
        </w:rPr>
        <w:t>,</w:t>
      </w:r>
      <w:r>
        <w:rPr>
          <w:rFonts w:ascii="Palatino Linotype" w:eastAsia="Palatino Linotype" w:hAnsi="Palatino Linotype" w:cs="Palatino Linotype"/>
          <w:b/>
          <w:i/>
        </w:rPr>
        <w:t xml:space="preserve"> </w:t>
      </w:r>
      <w:r>
        <w:rPr>
          <w:rFonts w:ascii="Palatino Linotype" w:eastAsia="Palatino Linotype" w:hAnsi="Palatino Linotype" w:cs="Palatino Linotype"/>
          <w:i/>
        </w:rPr>
        <w:t>que ha sido materia del presente fallo.</w:t>
      </w:r>
    </w:p>
    <w:p w:rsidR="00EA14F0" w:rsidRDefault="00EA14F0">
      <w:pPr>
        <w:spacing w:after="0" w:line="276" w:lineRule="auto"/>
        <w:ind w:left="851" w:right="567"/>
        <w:jc w:val="both"/>
        <w:rPr>
          <w:rFonts w:ascii="Palatino Linotype" w:eastAsia="Palatino Linotype" w:hAnsi="Palatino Linotype" w:cs="Palatino Linotype"/>
          <w:i/>
          <w:sz w:val="24"/>
          <w:szCs w:val="24"/>
        </w:rPr>
      </w:pPr>
    </w:p>
    <w:p w:rsidR="00EA14F0" w:rsidRDefault="009B4E37">
      <w:pPr>
        <w:spacing w:after="0" w:line="360" w:lineRule="auto"/>
        <w:jc w:val="both"/>
        <w:rPr>
          <w:rFonts w:ascii="Palatino Linotype" w:eastAsia="Palatino Linotype" w:hAnsi="Palatino Linotype" w:cs="Palatino Linotype"/>
          <w:color w:val="000000"/>
        </w:rPr>
      </w:pPr>
      <w:bookmarkStart w:id="0" w:name="_heading=h.1t3h5sf" w:colFirst="0" w:colLast="0"/>
      <w:bookmarkEnd w:id="0"/>
      <w:r>
        <w:rPr>
          <w:rFonts w:ascii="Palatino Linotype" w:eastAsia="Palatino Linotype" w:hAnsi="Palatino Linotype" w:cs="Palatino Linotype"/>
          <w:color w:val="000000"/>
          <w:sz w:val="24"/>
          <w:szCs w:val="24"/>
        </w:rPr>
        <w:lastRenderedPageBreak/>
        <w:t>Aclar</w:t>
      </w:r>
      <w:r>
        <w:rPr>
          <w:rFonts w:ascii="Palatino Linotype" w:eastAsia="Palatino Linotype" w:hAnsi="Palatino Linotype" w:cs="Palatino Linotype"/>
          <w:sz w:val="24"/>
          <w:szCs w:val="24"/>
        </w:rPr>
        <w:t>ado</w:t>
      </w:r>
      <w:r>
        <w:rPr>
          <w:rFonts w:ascii="Palatino Linotype" w:eastAsia="Palatino Linotype" w:hAnsi="Palatino Linotype" w:cs="Palatino Linotype"/>
          <w:color w:val="000000"/>
          <w:sz w:val="24"/>
          <w:szCs w:val="24"/>
        </w:rPr>
        <w:t xml:space="preserve"> lo anterior, y en atención al acto impugnado y a los motivos y razones de inconformidad vertidos por </w:t>
      </w:r>
      <w:r>
        <w:rPr>
          <w:rFonts w:ascii="Palatino Linotype" w:eastAsia="Palatino Linotype" w:hAnsi="Palatino Linotype" w:cs="Palatino Linotype"/>
          <w:b/>
          <w:color w:val="000000"/>
          <w:sz w:val="24"/>
          <w:szCs w:val="24"/>
        </w:rPr>
        <w:t xml:space="preserve">LA PARTE RECURRENTE </w:t>
      </w:r>
      <w:r>
        <w:rPr>
          <w:rFonts w:ascii="Palatino Linotype" w:eastAsia="Palatino Linotype" w:hAnsi="Palatino Linotype" w:cs="Palatino Linotype"/>
          <w:color w:val="000000"/>
          <w:sz w:val="24"/>
          <w:szCs w:val="24"/>
        </w:rPr>
        <w:t>al emitir su recurso de revisión, se considera que no se debió sobreseer por considerar que en su totalidad de los agravi</w:t>
      </w:r>
      <w:r>
        <w:rPr>
          <w:rFonts w:ascii="Palatino Linotype" w:eastAsia="Palatino Linotype" w:hAnsi="Palatino Linotype" w:cs="Palatino Linotype"/>
          <w:sz w:val="24"/>
          <w:szCs w:val="24"/>
        </w:rPr>
        <w:t>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LA PARTE R</w:t>
      </w:r>
      <w:r>
        <w:rPr>
          <w:rFonts w:ascii="Palatino Linotype" w:eastAsia="Palatino Linotype" w:hAnsi="Palatino Linotype" w:cs="Palatino Linotype"/>
          <w:b/>
          <w:color w:val="000000"/>
          <w:sz w:val="24"/>
          <w:szCs w:val="24"/>
        </w:rPr>
        <w:t>ECURRENTE</w:t>
      </w:r>
      <w:r>
        <w:rPr>
          <w:rFonts w:ascii="Palatino Linotype" w:eastAsia="Palatino Linotype" w:hAnsi="Palatino Linotype" w:cs="Palatino Linotype"/>
          <w:color w:val="000000"/>
          <w:sz w:val="24"/>
          <w:szCs w:val="24"/>
        </w:rPr>
        <w:t xml:space="preserve"> se duda de la veracidad de la respuesta proporcionada, por </w:t>
      </w:r>
      <w:r>
        <w:rPr>
          <w:rFonts w:ascii="Palatino Linotype" w:eastAsia="Palatino Linotype" w:hAnsi="Palatino Linotype" w:cs="Palatino Linotype"/>
          <w:sz w:val="24"/>
          <w:szCs w:val="24"/>
        </w:rPr>
        <w:t xml:space="preserve">el contrario </w:t>
      </w:r>
      <w:proofErr w:type="spellStart"/>
      <w:r>
        <w:rPr>
          <w:rFonts w:ascii="Palatino Linotype" w:eastAsia="Palatino Linotype" w:hAnsi="Palatino Linotype" w:cs="Palatino Linotype"/>
          <w:sz w:val="24"/>
          <w:szCs w:val="24"/>
        </w:rPr>
        <w:t>de</w:t>
      </w:r>
      <w:proofErr w:type="spellEnd"/>
      <w:r>
        <w:rPr>
          <w:rFonts w:ascii="Palatino Linotype" w:eastAsia="Palatino Linotype" w:hAnsi="Palatino Linotype" w:cs="Palatino Linotype"/>
          <w:sz w:val="24"/>
          <w:szCs w:val="24"/>
        </w:rPr>
        <w:t xml:space="preserve"> advierte que dentro del acto impugnado y </w:t>
      </w:r>
      <w:r>
        <w:rPr>
          <w:rFonts w:ascii="Palatino Linotype" w:eastAsia="Palatino Linotype" w:hAnsi="Palatino Linotype" w:cs="Palatino Linotype"/>
          <w:color w:val="000000"/>
          <w:sz w:val="24"/>
          <w:szCs w:val="24"/>
        </w:rPr>
        <w:t xml:space="preserve">las razones o motivos de inconformidad, vertidos por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 xml:space="preserve"> se actualizan causales de procedencia del recurso de rev</w:t>
      </w:r>
      <w:r>
        <w:rPr>
          <w:rFonts w:ascii="Palatino Linotype" w:eastAsia="Palatino Linotype" w:hAnsi="Palatino Linotype" w:cs="Palatino Linotype"/>
          <w:sz w:val="24"/>
          <w:szCs w:val="24"/>
        </w:rPr>
        <w:t>isión previstas en el artículo 179 de la Ley de transparencia estatal  pues señala que “</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EXISTE NEGATIVA A LA INFORMACION SOLICTADA</w:t>
      </w:r>
      <w:r>
        <w:rPr>
          <w:rFonts w:ascii="Palatino Linotype" w:eastAsia="Palatino Linotype" w:hAnsi="Palatino Linotype" w:cs="Palatino Linotype"/>
        </w:rPr>
        <w:t>” “</w:t>
      </w:r>
      <w:r>
        <w:rPr>
          <w:rFonts w:ascii="Palatino Linotype" w:eastAsia="Palatino Linotype" w:hAnsi="Palatino Linotype" w:cs="Palatino Linotype"/>
          <w:color w:val="000000"/>
        </w:rPr>
        <w:t>ESTAN NEGANDO LA INFORMACION</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w:t>
      </w:r>
      <w:r>
        <w:rPr>
          <w:rFonts w:ascii="Palatino Linotype" w:eastAsia="Palatino Linotype" w:hAnsi="Palatino Linotype" w:cs="Palatino Linotype"/>
          <w:color w:val="000000"/>
        </w:rPr>
        <w:t>NIEGAN PROPORCIONAR INFORMACION RELACIONADDA CON UNIDADES RETULADAS CON LA LEYENDA DE LA SE</w:t>
      </w:r>
      <w:r>
        <w:rPr>
          <w:rFonts w:ascii="Palatino Linotype" w:eastAsia="Palatino Linotype" w:hAnsi="Palatino Linotype" w:cs="Palatino Linotype"/>
          <w:color w:val="000000"/>
        </w:rPr>
        <w:t>MAR</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w:t>
      </w:r>
      <w:r>
        <w:rPr>
          <w:rFonts w:ascii="Palatino Linotype" w:eastAsia="Palatino Linotype" w:hAnsi="Palatino Linotype" w:cs="Palatino Linotype"/>
          <w:color w:val="000000"/>
        </w:rPr>
        <w:t>NIEGAN INFORMAR PORQUE LAS MOTOPATRULLAS NO ESTAN EN CIRCULACION</w:t>
      </w:r>
      <w:r>
        <w:rPr>
          <w:rFonts w:ascii="Palatino Linotype" w:eastAsia="Palatino Linotype" w:hAnsi="Palatino Linotype" w:cs="Palatino Linotype"/>
        </w:rPr>
        <w:t>”  “</w:t>
      </w:r>
      <w:r>
        <w:rPr>
          <w:rFonts w:ascii="Palatino Linotype" w:eastAsia="Palatino Linotype" w:hAnsi="Palatino Linotype" w:cs="Palatino Linotype"/>
          <w:i/>
          <w:color w:val="000000"/>
        </w:rPr>
        <w:t>ESTAN NEGANDO LA INFORMACION SOLICTADA</w:t>
      </w: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 </w:t>
      </w:r>
    </w:p>
    <w:p w:rsidR="00EA14F0" w:rsidRDefault="009B4E37">
      <w:pPr>
        <w:pBdr>
          <w:top w:val="nil"/>
          <w:left w:val="nil"/>
          <w:bottom w:val="nil"/>
          <w:right w:val="nil"/>
          <w:between w:val="nil"/>
        </w:pBdr>
        <w:spacing w:before="240" w:after="0" w:line="360" w:lineRule="auto"/>
        <w:ind w:right="-147"/>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Al respecto, se considera que con dichas manifestaciones se </w:t>
      </w:r>
      <w:r>
        <w:rPr>
          <w:rFonts w:ascii="Palatino Linotype" w:eastAsia="Palatino Linotype" w:hAnsi="Palatino Linotype" w:cs="Palatino Linotype"/>
          <w:sz w:val="24"/>
          <w:szCs w:val="24"/>
        </w:rPr>
        <w:t xml:space="preserve">actualizan </w:t>
      </w:r>
      <w:r>
        <w:rPr>
          <w:rFonts w:ascii="Palatino Linotype" w:eastAsia="Palatino Linotype" w:hAnsi="Palatino Linotype" w:cs="Palatino Linotype"/>
          <w:color w:val="000000"/>
          <w:sz w:val="24"/>
          <w:szCs w:val="24"/>
        </w:rPr>
        <w:t>la causal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de proceden</w:t>
      </w:r>
      <w:r>
        <w:rPr>
          <w:rFonts w:ascii="Palatino Linotype" w:eastAsia="Palatino Linotype" w:hAnsi="Palatino Linotype" w:cs="Palatino Linotype"/>
          <w:sz w:val="24"/>
          <w:szCs w:val="24"/>
        </w:rPr>
        <w:t>cia del recurso de revisión  previstas en el artículo 179, fracción I, de la Ley de Transparencia y Acceso a la Información Pública del Estado de México y Municipios, que a la letra dice:</w:t>
      </w:r>
    </w:p>
    <w:p w:rsidR="00411EA4" w:rsidRDefault="00411EA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sz w:val="24"/>
          <w:szCs w:val="24"/>
        </w:rPr>
      </w:pPr>
    </w:p>
    <w:p w:rsidR="00EA14F0" w:rsidRDefault="00411EA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bookmarkStart w:id="1" w:name="_GoBack"/>
      <w:bookmarkEnd w:id="1"/>
      <w:r>
        <w:rPr>
          <w:rFonts w:ascii="Palatino Linotype" w:eastAsia="Palatino Linotype" w:hAnsi="Palatino Linotype" w:cs="Palatino Linotype"/>
          <w:b/>
          <w:i/>
          <w:color w:val="000000"/>
        </w:rPr>
        <w:t xml:space="preserve"> </w:t>
      </w:r>
      <w:r w:rsidR="009B4E37">
        <w:rPr>
          <w:rFonts w:ascii="Palatino Linotype" w:eastAsia="Palatino Linotype" w:hAnsi="Palatino Linotype" w:cs="Palatino Linotype"/>
          <w:b/>
          <w:i/>
          <w:color w:val="000000"/>
        </w:rPr>
        <w:t xml:space="preserve">“Artículo 179. </w:t>
      </w:r>
      <w:r w:rsidR="009B4E37">
        <w:rPr>
          <w:rFonts w:ascii="Palatino Linotype" w:eastAsia="Palatino Linotype" w:hAnsi="Palatino Linotype" w:cs="Palatino Linotype"/>
          <w:i/>
          <w:color w:val="000000"/>
        </w:rPr>
        <w:t>El recurso de revisión es un medio de protección qu</w:t>
      </w:r>
      <w:r w:rsidR="009B4E37">
        <w:rPr>
          <w:rFonts w:ascii="Palatino Linotype" w:eastAsia="Palatino Linotype" w:hAnsi="Palatino Linotype" w:cs="Palatino Linotype"/>
          <w:i/>
          <w:color w:val="000000"/>
        </w:rPr>
        <w:t>e la Ley otorga a los particulares, para hacer valer su derecho de acceso a la información pública, y procederá en contra de las siguientes causas:</w:t>
      </w:r>
    </w:p>
    <w:p w:rsidR="00EA14F0" w:rsidRDefault="009B4E3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i/>
          <w:color w:val="000000"/>
        </w:rPr>
        <w:lastRenderedPageBreak/>
        <w:t>I. La negativa a la información solicitada;</w:t>
      </w:r>
    </w:p>
    <w:p w:rsidR="00EA14F0" w:rsidRDefault="00EA14F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color w:val="000000"/>
          <w:sz w:val="24"/>
          <w:szCs w:val="24"/>
        </w:rPr>
      </w:pPr>
    </w:p>
    <w:p w:rsidR="00EA14F0" w:rsidRDefault="009B4E37">
      <w:pPr>
        <w:spacing w:after="0" w:line="360" w:lineRule="auto"/>
        <w:jc w:val="both"/>
        <w:rPr>
          <w:rFonts w:ascii="Palatino Linotype" w:eastAsia="Palatino Linotype" w:hAnsi="Palatino Linotype" w:cs="Palatino Linotype"/>
          <w:sz w:val="24"/>
          <w:szCs w:val="24"/>
          <w:highlight w:val="red"/>
        </w:rPr>
      </w:pPr>
      <w:r>
        <w:rPr>
          <w:rFonts w:ascii="Palatino Linotype" w:eastAsia="Palatino Linotype" w:hAnsi="Palatino Linotype" w:cs="Palatino Linotype"/>
          <w:color w:val="000000"/>
          <w:sz w:val="24"/>
          <w:szCs w:val="24"/>
        </w:rPr>
        <w:t>Por lo que en atención a e</w:t>
      </w:r>
      <w:r>
        <w:rPr>
          <w:rFonts w:ascii="Palatino Linotype" w:eastAsia="Palatino Linotype" w:hAnsi="Palatino Linotype" w:cs="Palatino Linotype"/>
          <w:sz w:val="24"/>
          <w:szCs w:val="24"/>
        </w:rPr>
        <w:t>llo</w:t>
      </w:r>
      <w:r>
        <w:rPr>
          <w:rFonts w:ascii="Palatino Linotype" w:eastAsia="Palatino Linotype" w:hAnsi="Palatino Linotype" w:cs="Palatino Linotype"/>
          <w:color w:val="000000"/>
          <w:sz w:val="24"/>
          <w:szCs w:val="24"/>
        </w:rPr>
        <w:t xml:space="preserve">, se debió analizar si la información proporcionada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colma la solicitud o en su defecto ordenar la información pertinente que dé cuenta de lo solicitado, desestimando únicamente los motivos de inconformidad que se consideran improcede</w:t>
      </w:r>
      <w:r>
        <w:rPr>
          <w:rFonts w:ascii="Palatino Linotype" w:eastAsia="Palatino Linotype" w:hAnsi="Palatino Linotype" w:cs="Palatino Linotype"/>
          <w:color w:val="000000"/>
          <w:sz w:val="24"/>
          <w:szCs w:val="24"/>
        </w:rPr>
        <w:t>ntes.</w:t>
      </w:r>
    </w:p>
    <w:p w:rsidR="00EA14F0" w:rsidRDefault="00EA14F0">
      <w:pPr>
        <w:spacing w:after="0" w:line="360" w:lineRule="auto"/>
        <w:jc w:val="both"/>
        <w:rPr>
          <w:rFonts w:ascii="Palatino Linotype" w:eastAsia="Palatino Linotype" w:hAnsi="Palatino Linotype" w:cs="Palatino Linotype"/>
          <w:sz w:val="24"/>
          <w:szCs w:val="24"/>
          <w:highlight w:val="red"/>
        </w:rPr>
      </w:pPr>
    </w:p>
    <w:p w:rsidR="00EA14F0" w:rsidRDefault="009B4E3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todo lo vertido en líneas argumentativas anteriores que la suscrita no comparte el sentido de la resolución, razón por la cual se emite el presente </w:t>
      </w:r>
      <w:r>
        <w:rPr>
          <w:rFonts w:ascii="Palatino Linotype" w:eastAsia="Palatino Linotype" w:hAnsi="Palatino Linotype" w:cs="Palatino Linotype"/>
          <w:b/>
          <w:sz w:val="24"/>
          <w:szCs w:val="24"/>
        </w:rPr>
        <w:t>Voto disidente</w:t>
      </w:r>
      <w:r>
        <w:rPr>
          <w:rFonts w:ascii="Palatino Linotype" w:eastAsia="Palatino Linotype" w:hAnsi="Palatino Linotype" w:cs="Palatino Linotype"/>
          <w:sz w:val="24"/>
          <w:szCs w:val="24"/>
        </w:rPr>
        <w:t>.</w:t>
      </w:r>
    </w:p>
    <w:p w:rsidR="00EA14F0" w:rsidRDefault="00EA14F0">
      <w:pPr>
        <w:spacing w:after="0" w:line="360" w:lineRule="auto"/>
        <w:ind w:right="423"/>
        <w:jc w:val="both"/>
        <w:rPr>
          <w:rFonts w:ascii="Palatino Linotype" w:eastAsia="Palatino Linotype" w:hAnsi="Palatino Linotype" w:cs="Palatino Linotype"/>
          <w:highlight w:val="red"/>
        </w:rPr>
      </w:pPr>
      <w:bookmarkStart w:id="3" w:name="_heading=h.30j0zll" w:colFirst="0" w:colLast="0"/>
      <w:bookmarkEnd w:id="3"/>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bookmarkStart w:id="4" w:name="_heading=h.3znysh7" w:colFirst="0" w:colLast="0"/>
      <w:bookmarkEnd w:id="4"/>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bookmarkStart w:id="5" w:name="_heading=h.gjdgxs" w:colFirst="0" w:colLast="0"/>
      <w:bookmarkEnd w:id="5"/>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Pr>
        <w:spacing w:after="0" w:line="360" w:lineRule="auto"/>
        <w:ind w:right="423"/>
        <w:jc w:val="both"/>
        <w:rPr>
          <w:rFonts w:ascii="Palatino Linotype" w:eastAsia="Palatino Linotype" w:hAnsi="Palatino Linotype" w:cs="Palatino Linotype"/>
        </w:rPr>
      </w:pPr>
    </w:p>
    <w:p w:rsidR="00EA14F0" w:rsidRDefault="00EA14F0"/>
    <w:p w:rsidR="00EA14F0" w:rsidRDefault="00EA14F0"/>
    <w:p w:rsidR="00EA14F0" w:rsidRDefault="00EA14F0"/>
    <w:p w:rsidR="00EA14F0" w:rsidRDefault="00EA14F0"/>
    <w:p w:rsidR="00EA14F0" w:rsidRDefault="00EA14F0"/>
    <w:sectPr w:rsidR="00EA14F0">
      <w:headerReference w:type="default" r:id="rId8"/>
      <w:footerReference w:type="default" r:id="rId9"/>
      <w:pgSz w:w="12240" w:h="15840"/>
      <w:pgMar w:top="1871" w:right="231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4E37">
      <w:pPr>
        <w:spacing w:after="0" w:line="240" w:lineRule="auto"/>
      </w:pPr>
      <w:r>
        <w:separator/>
      </w:r>
    </w:p>
  </w:endnote>
  <w:endnote w:type="continuationSeparator" w:id="0">
    <w:p w:rsidR="00000000" w:rsidRDefault="009B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F0" w:rsidRDefault="009B4E37">
    <w:pPr>
      <w:jc w:val="right"/>
      <w:rPr>
        <w:rFonts w:ascii="Palatino Linotype" w:eastAsia="Palatino Linotype" w:hAnsi="Palatino Linotype" w:cs="Palatino Linotype"/>
      </w:rPr>
    </w:pPr>
    <w:r>
      <w:rPr>
        <w:rFonts w:ascii="Palatino Linotype" w:eastAsia="Palatino Linotype" w:hAnsi="Palatino Linotype" w:cs="Palatino Linotype"/>
      </w:rPr>
      <w:t xml:space="preserve">Página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PAGE</w:instrText>
    </w:r>
    <w:r w:rsidR="00411EA4">
      <w:rPr>
        <w:rFonts w:ascii="Palatino Linotype" w:eastAsia="Palatino Linotype" w:hAnsi="Palatino Linotype" w:cs="Palatino Linotype"/>
      </w:rPr>
      <w:fldChar w:fldCharType="separate"/>
    </w:r>
    <w:r>
      <w:rPr>
        <w:rFonts w:ascii="Palatino Linotype" w:eastAsia="Palatino Linotype" w:hAnsi="Palatino Linotype" w:cs="Palatino Linotype"/>
        <w:noProof/>
      </w:rPr>
      <w:t>12</w:t>
    </w:r>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de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NUMPAGES</w:instrText>
    </w:r>
    <w:r w:rsidR="00411EA4">
      <w:rPr>
        <w:rFonts w:ascii="Palatino Linotype" w:eastAsia="Palatino Linotype" w:hAnsi="Palatino Linotype" w:cs="Palatino Linotype"/>
      </w:rPr>
      <w:fldChar w:fldCharType="separate"/>
    </w:r>
    <w:r>
      <w:rPr>
        <w:rFonts w:ascii="Palatino Linotype" w:eastAsia="Palatino Linotype" w:hAnsi="Palatino Linotype" w:cs="Palatino Linotype"/>
        <w:noProof/>
      </w:rPr>
      <w:t>12</w:t>
    </w:r>
    <w:r>
      <w:rPr>
        <w:rFonts w:ascii="Palatino Linotype" w:eastAsia="Palatino Linotype" w:hAnsi="Palatino Linotype" w:cs="Palatino Linotype"/>
      </w:rPr>
      <w:fldChar w:fldCharType="end"/>
    </w:r>
  </w:p>
  <w:p w:rsidR="00EA14F0" w:rsidRDefault="00EA14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4E37">
      <w:pPr>
        <w:spacing w:after="0" w:line="240" w:lineRule="auto"/>
      </w:pPr>
      <w:r>
        <w:separator/>
      </w:r>
    </w:p>
  </w:footnote>
  <w:footnote w:type="continuationSeparator" w:id="0">
    <w:p w:rsidR="00000000" w:rsidRDefault="009B4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F0" w:rsidRDefault="009B4E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-683888</wp:posOffset>
          </wp:positionH>
          <wp:positionV relativeFrom="paragraph">
            <wp:posOffset>-455922</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A14F0" w:rsidRDefault="009B4E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EA14F0" w:rsidRDefault="009B4E3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03380/INFOEM/IP/RR/2024.</w:t>
    </w:r>
  </w:p>
  <w:p w:rsidR="00EA14F0" w:rsidRDefault="009B4E3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Atizapán de Zaragoza.</w:t>
    </w:r>
  </w:p>
  <w:p w:rsidR="00EA14F0" w:rsidRDefault="009B4E3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 xml:space="preserve">José Martínez Vilchis. </w:t>
    </w:r>
  </w:p>
  <w:p w:rsidR="00EA14F0" w:rsidRDefault="00EA14F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76C"/>
    <w:multiLevelType w:val="multilevel"/>
    <w:tmpl w:val="2C6EF23A"/>
    <w:lvl w:ilvl="0">
      <w:start w:val="1"/>
      <w:numFmt w:val="decimal"/>
      <w:lvlText w:val="%1."/>
      <w:lvlJc w:val="left"/>
      <w:pPr>
        <w:ind w:left="2258" w:hanging="720"/>
      </w:pPr>
      <w:rPr>
        <w:rFonts w:ascii="Palatino Linotype" w:eastAsia="Palatino Linotype" w:hAnsi="Palatino Linotype" w:cs="Palatino Linotype"/>
        <w:b/>
        <w:sz w:val="24"/>
        <w:szCs w:val="24"/>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 w15:restartNumberingAfterBreak="0">
    <w:nsid w:val="2EAA611E"/>
    <w:multiLevelType w:val="multilevel"/>
    <w:tmpl w:val="1D20B6F2"/>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2" w15:restartNumberingAfterBreak="0">
    <w:nsid w:val="31292E95"/>
    <w:multiLevelType w:val="multilevel"/>
    <w:tmpl w:val="73DA08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F0"/>
    <w:rsid w:val="00411EA4"/>
    <w:rsid w:val="009B4E37"/>
    <w:rsid w:val="00EA1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F91CB-0FFD-423B-94C6-4EEB158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D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C40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0D9"/>
    <w:rPr>
      <w:rFonts w:ascii="Calibri" w:eastAsia="Calibri" w:hAnsi="Calibri" w:cs="Calibri"/>
      <w:kern w:val="0"/>
      <w:lang w:eastAsia="es-MX"/>
    </w:rPr>
  </w:style>
  <w:style w:type="paragraph" w:styleId="Piedepgina">
    <w:name w:val="footer"/>
    <w:basedOn w:val="Normal"/>
    <w:link w:val="PiedepginaCar"/>
    <w:uiPriority w:val="99"/>
    <w:unhideWhenUsed/>
    <w:rsid w:val="009C40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0D9"/>
    <w:rPr>
      <w:rFonts w:ascii="Calibri" w:eastAsia="Calibri" w:hAnsi="Calibri" w:cs="Calibri"/>
      <w:kern w:val="0"/>
      <w:lang w:eastAsia="es-MX"/>
    </w:rPr>
  </w:style>
  <w:style w:type="paragraph" w:styleId="Prrafodelista">
    <w:name w:val="List Paragraph"/>
    <w:basedOn w:val="Normal"/>
    <w:uiPriority w:val="34"/>
    <w:qFormat/>
    <w:rsid w:val="009C40D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CE+mQ5koJC2JDfIIxG9cP1+TQ==">CgMxLjAyCWguMXQzaDVzZjIJaC4xZm9iOXRlMgloLjMwajB6bGwyCWguM3pueXNoNzIIaC5namRneHM4AHIhMWhGel9iUWluZ2ZDRzZ2cWFfS1VaNzFTNFAySkhxWkNP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2024</Words>
  <Characters>11135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Garcia</dc:creator>
  <cp:lastModifiedBy>INFOEM505</cp:lastModifiedBy>
  <cp:revision>3</cp:revision>
  <cp:lastPrinted>2024-09-30T19:10:00Z</cp:lastPrinted>
  <dcterms:created xsi:type="dcterms:W3CDTF">2024-09-30T19:10:00Z</dcterms:created>
  <dcterms:modified xsi:type="dcterms:W3CDTF">2024-09-30T19:11:00Z</dcterms:modified>
</cp:coreProperties>
</file>