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71BB2" w14:textId="77777777" w:rsidR="0041766F" w:rsidRPr="00777297" w:rsidRDefault="0041766F">
      <w:pPr>
        <w:spacing w:after="0" w:line="360" w:lineRule="auto"/>
        <w:jc w:val="both"/>
        <w:rPr>
          <w:rFonts w:ascii="Palatino Linotype" w:eastAsia="Palatino Linotype" w:hAnsi="Palatino Linotype" w:cs="Palatino Linotype"/>
          <w:b/>
        </w:rPr>
      </w:pPr>
      <w:bookmarkStart w:id="0" w:name="_heading=h.4s2qapfj6qj3" w:colFirst="0" w:colLast="0"/>
      <w:bookmarkStart w:id="1" w:name="_GoBack"/>
      <w:bookmarkEnd w:id="0"/>
      <w:bookmarkEnd w:id="1"/>
    </w:p>
    <w:p w14:paraId="225E538F" w14:textId="77777777" w:rsidR="0041766F" w:rsidRPr="00777297" w:rsidRDefault="008C34EA">
      <w:pPr>
        <w:spacing w:after="0" w:line="360" w:lineRule="auto"/>
        <w:jc w:val="both"/>
        <w:rPr>
          <w:rFonts w:ascii="Palatino Linotype" w:eastAsia="Palatino Linotype" w:hAnsi="Palatino Linotype" w:cs="Palatino Linotype"/>
          <w:b/>
        </w:rPr>
      </w:pPr>
      <w:bookmarkStart w:id="2" w:name="_heading=h.gjdgxs" w:colFirst="0" w:colLast="0"/>
      <w:bookmarkEnd w:id="2"/>
      <w:r w:rsidRPr="00777297">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TERCERA SESIÓN ORDINARIA DEL TREINTA Y UNO DE ENERO DE DOS MIL VEINTICUATRO, EN EL RECURSO DE REVISIÓN 07511/INFOEM/IP/RR/2023.</w:t>
      </w:r>
    </w:p>
    <w:p w14:paraId="17B84AE6" w14:textId="77777777" w:rsidR="0041766F" w:rsidRPr="00777297" w:rsidRDefault="0041766F">
      <w:pPr>
        <w:spacing w:after="0" w:line="360" w:lineRule="auto"/>
        <w:jc w:val="both"/>
        <w:rPr>
          <w:rFonts w:ascii="Palatino Linotype" w:eastAsia="Palatino Linotype" w:hAnsi="Palatino Linotype" w:cs="Palatino Linotype"/>
          <w:b/>
        </w:rPr>
      </w:pPr>
    </w:p>
    <w:p w14:paraId="141E2B01" w14:textId="77777777" w:rsidR="0041766F" w:rsidRPr="00777297" w:rsidRDefault="008C34EA">
      <w:pPr>
        <w:spacing w:after="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la suscrita emite </w:t>
      </w:r>
      <w:r w:rsidRPr="00777297">
        <w:rPr>
          <w:rFonts w:ascii="Palatino Linotype" w:eastAsia="Palatino Linotype" w:hAnsi="Palatino Linotype" w:cs="Palatino Linotype"/>
          <w:b/>
        </w:rPr>
        <w:t xml:space="preserve">VOTO PARTICULAR </w:t>
      </w:r>
      <w:r w:rsidRPr="00777297">
        <w:rPr>
          <w:rFonts w:ascii="Palatino Linotype" w:eastAsia="Palatino Linotype" w:hAnsi="Palatino Linotype" w:cs="Palatino Linotype"/>
        </w:rPr>
        <w:t xml:space="preserve">respecto a la resolución dictada en el recurso de revisión número </w:t>
      </w:r>
      <w:r w:rsidRPr="00777297">
        <w:rPr>
          <w:rFonts w:ascii="Palatino Linotype" w:eastAsia="Palatino Linotype" w:hAnsi="Palatino Linotype" w:cs="Palatino Linotype"/>
          <w:b/>
        </w:rPr>
        <w:t>07511/INFOEM/IP/RR/2023</w:t>
      </w:r>
      <w:r w:rsidRPr="00777297">
        <w:rPr>
          <w:rFonts w:ascii="Palatino Linotype" w:eastAsia="Palatino Linotype" w:hAnsi="Palatino Linotype" w:cs="Palatino Linotype"/>
          <w:color w:val="000000"/>
        </w:rPr>
        <w:t xml:space="preserve">, </w:t>
      </w:r>
      <w:r w:rsidRPr="00777297">
        <w:rPr>
          <w:rFonts w:ascii="Palatino Linotype" w:eastAsia="Palatino Linotype" w:hAnsi="Palatino Linotype" w:cs="Palatino Linotype"/>
        </w:rPr>
        <w:t xml:space="preserve">pronunciada por el Pleno de este Instituto ante el proyecto presentado por el </w:t>
      </w:r>
      <w:r w:rsidRPr="00777297">
        <w:rPr>
          <w:rFonts w:ascii="Palatino Linotype" w:eastAsia="Palatino Linotype" w:hAnsi="Palatino Linotype" w:cs="Palatino Linotype"/>
          <w:b/>
        </w:rPr>
        <w:t>Comisionado Luis Gustavo Parra Noriega</w:t>
      </w:r>
      <w:r w:rsidRPr="00777297">
        <w:rPr>
          <w:rFonts w:ascii="Palatino Linotype" w:eastAsia="Palatino Linotype" w:hAnsi="Palatino Linotype" w:cs="Palatino Linotype"/>
        </w:rPr>
        <w:t>, el cual es al tenor siguiente:</w:t>
      </w:r>
    </w:p>
    <w:p w14:paraId="646489D9" w14:textId="77777777" w:rsidR="0041766F" w:rsidRPr="00777297" w:rsidRDefault="0041766F">
      <w:pPr>
        <w:spacing w:after="0" w:line="360" w:lineRule="auto"/>
        <w:jc w:val="both"/>
        <w:rPr>
          <w:rFonts w:ascii="Palatino Linotype" w:eastAsia="Palatino Linotype" w:hAnsi="Palatino Linotype" w:cs="Palatino Linotype"/>
        </w:rPr>
      </w:pPr>
    </w:p>
    <w:p w14:paraId="0009246D" w14:textId="77777777" w:rsidR="0041766F" w:rsidRPr="00777297" w:rsidRDefault="008C34EA">
      <w:pPr>
        <w:numPr>
          <w:ilvl w:val="0"/>
          <w:numId w:val="1"/>
        </w:numPr>
        <w:spacing w:after="0" w:line="360" w:lineRule="auto"/>
        <w:ind w:left="567" w:hanging="141"/>
        <w:jc w:val="both"/>
        <w:rPr>
          <w:rFonts w:ascii="Palatino Linotype" w:eastAsia="Palatino Linotype" w:hAnsi="Palatino Linotype" w:cs="Palatino Linotype"/>
          <w:b/>
        </w:rPr>
      </w:pPr>
      <w:r w:rsidRPr="00777297">
        <w:rPr>
          <w:rFonts w:ascii="Palatino Linotype" w:eastAsia="Palatino Linotype" w:hAnsi="Palatino Linotype" w:cs="Palatino Linotype"/>
          <w:b/>
        </w:rPr>
        <w:t>Antecedentes.</w:t>
      </w:r>
    </w:p>
    <w:p w14:paraId="79C70DDC" w14:textId="77777777" w:rsidR="0041766F" w:rsidRPr="00777297" w:rsidRDefault="0041766F">
      <w:pPr>
        <w:spacing w:after="0" w:line="360" w:lineRule="auto"/>
        <w:ind w:left="567"/>
        <w:jc w:val="both"/>
        <w:rPr>
          <w:rFonts w:ascii="Palatino Linotype" w:eastAsia="Palatino Linotype" w:hAnsi="Palatino Linotype" w:cs="Palatino Linotype"/>
          <w:b/>
        </w:rPr>
      </w:pPr>
    </w:p>
    <w:p w14:paraId="646BADD4" w14:textId="77777777" w:rsidR="0041766F" w:rsidRPr="00777297" w:rsidRDefault="008C34EA">
      <w:pPr>
        <w:spacing w:after="12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En el asunto que nos ocupa, la parte Recurrente solicitó al </w:t>
      </w:r>
      <w:r w:rsidRPr="00777297">
        <w:rPr>
          <w:rFonts w:ascii="Palatino Linotype" w:hAnsi="Palatino Linotype"/>
        </w:rPr>
        <w:t xml:space="preserve">Ayuntamiento </w:t>
      </w:r>
      <w:r w:rsidRPr="00777297">
        <w:rPr>
          <w:rFonts w:ascii="Palatino Linotype" w:eastAsia="Palatino Linotype" w:hAnsi="Palatino Linotype" w:cs="Palatino Linotype"/>
        </w:rPr>
        <w:t xml:space="preserve">de Nezahualcóyotl, en su carácter de </w:t>
      </w:r>
      <w:r w:rsidRPr="00777297">
        <w:rPr>
          <w:rFonts w:ascii="Palatino Linotype" w:eastAsia="Palatino Linotype" w:hAnsi="Palatino Linotype" w:cs="Palatino Linotype"/>
          <w:b/>
        </w:rPr>
        <w:t>Sujeto Obligado</w:t>
      </w:r>
      <w:r w:rsidRPr="00777297">
        <w:rPr>
          <w:rFonts w:ascii="Palatino Linotype" w:eastAsia="Palatino Linotype" w:hAnsi="Palatino Linotype" w:cs="Palatino Linotype"/>
        </w:rPr>
        <w:t xml:space="preserve">, le proporcionará la siguiente información: </w:t>
      </w:r>
    </w:p>
    <w:p w14:paraId="11F87DB4" w14:textId="77777777" w:rsidR="0041766F" w:rsidRPr="00777297" w:rsidRDefault="008C34EA">
      <w:pPr>
        <w:numPr>
          <w:ilvl w:val="0"/>
          <w:numId w:val="4"/>
        </w:numPr>
        <w:pBdr>
          <w:top w:val="nil"/>
          <w:left w:val="nil"/>
          <w:bottom w:val="nil"/>
          <w:right w:val="nil"/>
          <w:between w:val="nil"/>
        </w:pBdr>
        <w:spacing w:after="120" w:line="360" w:lineRule="auto"/>
        <w:jc w:val="both"/>
        <w:rPr>
          <w:rFonts w:ascii="Palatino Linotype" w:eastAsia="Palatino Linotype" w:hAnsi="Palatino Linotype" w:cs="Palatino Linotype"/>
          <w:color w:val="000000"/>
        </w:rPr>
      </w:pPr>
      <w:r w:rsidRPr="00777297">
        <w:rPr>
          <w:rFonts w:ascii="Palatino Linotype" w:eastAsia="Palatino Linotype" w:hAnsi="Palatino Linotype" w:cs="Palatino Linotype"/>
          <w:color w:val="000000"/>
        </w:rPr>
        <w:t xml:space="preserve">El recibo de nómina y </w:t>
      </w:r>
      <w:proofErr w:type="spellStart"/>
      <w:r w:rsidRPr="00777297">
        <w:rPr>
          <w:rFonts w:ascii="Palatino Linotype" w:eastAsia="Palatino Linotype" w:hAnsi="Palatino Linotype" w:cs="Palatino Linotype"/>
          <w:color w:val="000000"/>
        </w:rPr>
        <w:t>cfdi</w:t>
      </w:r>
      <w:proofErr w:type="spellEnd"/>
      <w:r w:rsidRPr="00777297">
        <w:rPr>
          <w:rFonts w:ascii="Palatino Linotype" w:eastAsia="Palatino Linotype" w:hAnsi="Palatino Linotype" w:cs="Palatino Linotype"/>
          <w:color w:val="000000"/>
        </w:rPr>
        <w:t xml:space="preserve"> emitido a favor de JUAN CARLOS GARCIA LOPEZ </w:t>
      </w:r>
      <w:proofErr w:type="spellStart"/>
      <w:r w:rsidRPr="00777297">
        <w:rPr>
          <w:rFonts w:ascii="Palatino Linotype" w:eastAsia="Palatino Linotype" w:hAnsi="Palatino Linotype" w:cs="Palatino Linotype"/>
          <w:color w:val="000000"/>
        </w:rPr>
        <w:t>asi</w:t>
      </w:r>
      <w:proofErr w:type="spellEnd"/>
      <w:r w:rsidRPr="00777297">
        <w:rPr>
          <w:rFonts w:ascii="Palatino Linotype" w:eastAsia="Palatino Linotype" w:hAnsi="Palatino Linotype" w:cs="Palatino Linotype"/>
          <w:color w:val="000000"/>
        </w:rPr>
        <w:t xml:space="preserve"> como el expediente del mismo, área donde se encuentra y el nombre del encargado de esa área”.</w:t>
      </w:r>
    </w:p>
    <w:p w14:paraId="04FB1426" w14:textId="77777777" w:rsidR="0041766F" w:rsidRPr="00777297" w:rsidRDefault="008C34EA">
      <w:pPr>
        <w:spacing w:line="360" w:lineRule="auto"/>
        <w:ind w:right="49"/>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El </w:t>
      </w:r>
      <w:r w:rsidRPr="00777297">
        <w:rPr>
          <w:rFonts w:ascii="Palatino Linotype" w:eastAsia="Palatino Linotype" w:hAnsi="Palatino Linotype" w:cs="Palatino Linotype"/>
          <w:b/>
        </w:rPr>
        <w:t>Sujeto Obligado</w:t>
      </w:r>
      <w:r w:rsidRPr="00777297">
        <w:rPr>
          <w:rFonts w:ascii="Palatino Linotype" w:eastAsia="Palatino Linotype" w:hAnsi="Palatino Linotype" w:cs="Palatino Linotype"/>
        </w:rPr>
        <w:t xml:space="preserve"> a través de su Dirección de Administración y Tesorería Municipal, proporcionó un recibo de nómina correspondiente a la segunda quincena de septiembre de </w:t>
      </w:r>
      <w:r w:rsidRPr="00777297">
        <w:rPr>
          <w:rFonts w:ascii="Palatino Linotype" w:eastAsia="Palatino Linotype" w:hAnsi="Palatino Linotype" w:cs="Palatino Linotype"/>
        </w:rPr>
        <w:lastRenderedPageBreak/>
        <w:t>dos mil veintitrés parcialmente legible y precisó que a la fecha contaban con el currículum vitae en el expediente del personal, mismo que se adjuntó en versión pública, así mismo precisó el área administrativa al que se encontraba adscrito y el nombre del titular de la unidad administrativa a la que se encontraba adscrito al cinco de octubre de dos mil veintitrés.</w:t>
      </w:r>
    </w:p>
    <w:p w14:paraId="2F409A4C" w14:textId="77777777" w:rsidR="0041766F" w:rsidRPr="00777297" w:rsidRDefault="008C34EA">
      <w:pPr>
        <w:spacing w:line="360" w:lineRule="auto"/>
        <w:ind w:right="49"/>
        <w:jc w:val="both"/>
        <w:rPr>
          <w:rFonts w:ascii="Palatino Linotype" w:eastAsia="Palatino Linotype" w:hAnsi="Palatino Linotype" w:cs="Palatino Linotype"/>
        </w:rPr>
      </w:pPr>
      <w:r w:rsidRPr="00777297">
        <w:rPr>
          <w:rFonts w:ascii="Palatino Linotype" w:eastAsia="Palatino Linotype" w:hAnsi="Palatino Linotype" w:cs="Palatino Linotype"/>
        </w:rPr>
        <w:t>Una vez conocida la respuesta la parte Recurrente se inconforma porque la entrega de información incompleta y parcialmente legible.</w:t>
      </w:r>
    </w:p>
    <w:p w14:paraId="5C6C1AB1" w14:textId="77777777" w:rsidR="0041766F" w:rsidRPr="00777297" w:rsidRDefault="008C34EA">
      <w:pPr>
        <w:spacing w:after="0" w:line="360" w:lineRule="auto"/>
        <w:ind w:right="-28"/>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El </w:t>
      </w:r>
      <w:r w:rsidRPr="00777297">
        <w:rPr>
          <w:rFonts w:ascii="Palatino Linotype" w:eastAsia="Palatino Linotype" w:hAnsi="Palatino Linotype" w:cs="Palatino Linotype"/>
          <w:b/>
        </w:rPr>
        <w:t>Sujeto Obligado</w:t>
      </w:r>
      <w:r w:rsidRPr="00777297">
        <w:rPr>
          <w:rFonts w:ascii="Palatino Linotype" w:eastAsia="Palatino Linotype" w:hAnsi="Palatino Linotype" w:cs="Palatino Linotype"/>
        </w:rPr>
        <w:t xml:space="preserve"> a través de su informe justificado, ratificó su respuesta inicial y proporcionó el recibo de nómina en versión pública de forma visible. </w:t>
      </w:r>
    </w:p>
    <w:p w14:paraId="3A48E446" w14:textId="77777777" w:rsidR="0041766F" w:rsidRPr="00777297" w:rsidRDefault="0041766F">
      <w:pPr>
        <w:spacing w:after="0" w:line="360" w:lineRule="auto"/>
        <w:jc w:val="both"/>
        <w:rPr>
          <w:rFonts w:ascii="Palatino Linotype" w:eastAsia="Palatino Linotype" w:hAnsi="Palatino Linotype" w:cs="Palatino Linotype"/>
        </w:rPr>
      </w:pPr>
    </w:p>
    <w:p w14:paraId="196A2175" w14:textId="77777777" w:rsidR="0041766F" w:rsidRPr="00777297" w:rsidRDefault="008C34EA">
      <w:pPr>
        <w:spacing w:after="120" w:line="360" w:lineRule="auto"/>
        <w:jc w:val="both"/>
        <w:rPr>
          <w:rFonts w:ascii="Palatino Linotype" w:hAnsi="Palatino Linotype"/>
          <w:color w:val="000000"/>
        </w:rPr>
      </w:pPr>
      <w:r w:rsidRPr="00777297">
        <w:rPr>
          <w:rFonts w:ascii="Palatino Linotype" w:eastAsia="Palatino Linotype" w:hAnsi="Palatino Linotype" w:cs="Palatino Linotype"/>
        </w:rPr>
        <w:t>Así las cosas, la ponencia Resolutora una vez analizadas las constancias que obran en el expediente electrónico del SAIMEX, determina que los motivos de inconformidad de la parte Recurrente son fundados, por lo que modifica la respuesta y ordena la entrega en versión pública, del Auxiliar Administrativo A, referido en el Considerando SEXTO de la resolución, lo siguiente</w:t>
      </w:r>
      <w:r w:rsidRPr="00777297">
        <w:rPr>
          <w:rFonts w:ascii="Palatino Linotype" w:hAnsi="Palatino Linotype"/>
          <w:color w:val="000000"/>
        </w:rPr>
        <w:t>:</w:t>
      </w:r>
    </w:p>
    <w:p w14:paraId="179238AF" w14:textId="77777777" w:rsidR="0041766F" w:rsidRPr="00777297" w:rsidRDefault="008C34EA">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777297">
        <w:rPr>
          <w:rFonts w:ascii="Palatino Linotype" w:eastAsia="Palatino Linotype" w:hAnsi="Palatino Linotype" w:cs="Palatino Linotype"/>
          <w:color w:val="000000"/>
        </w:rPr>
        <w:t>El recibo de nómina entregado en Informe Justificado, y</w:t>
      </w:r>
    </w:p>
    <w:p w14:paraId="5F95475F" w14:textId="77777777" w:rsidR="0041766F" w:rsidRPr="00777297" w:rsidRDefault="008C34EA">
      <w:pPr>
        <w:numPr>
          <w:ilvl w:val="0"/>
          <w:numId w:val="2"/>
        </w:numPr>
        <w:pBdr>
          <w:top w:val="nil"/>
          <w:left w:val="nil"/>
          <w:bottom w:val="nil"/>
          <w:right w:val="nil"/>
          <w:between w:val="nil"/>
        </w:pBdr>
        <w:spacing w:after="120" w:line="360" w:lineRule="auto"/>
        <w:jc w:val="both"/>
        <w:rPr>
          <w:rFonts w:ascii="Palatino Linotype" w:eastAsia="Palatino Linotype" w:hAnsi="Palatino Linotype" w:cs="Palatino Linotype"/>
          <w:color w:val="000000"/>
        </w:rPr>
      </w:pPr>
      <w:r w:rsidRPr="00777297">
        <w:rPr>
          <w:rFonts w:ascii="Palatino Linotype" w:eastAsia="Palatino Linotype" w:hAnsi="Palatino Linotype" w:cs="Palatino Linotype"/>
          <w:color w:val="000000"/>
        </w:rPr>
        <w:t xml:space="preserve">Los documentos que conformaban el Expediente laboral, al cinco de octubre de dos mil veintitrés.  </w:t>
      </w:r>
    </w:p>
    <w:p w14:paraId="7CDFF162" w14:textId="77777777" w:rsidR="0041766F" w:rsidRPr="00777297" w:rsidRDefault="008C34EA">
      <w:pPr>
        <w:numPr>
          <w:ilvl w:val="0"/>
          <w:numId w:val="1"/>
        </w:numPr>
        <w:spacing w:after="0" w:line="360" w:lineRule="auto"/>
        <w:ind w:left="567" w:hanging="283"/>
        <w:jc w:val="both"/>
        <w:rPr>
          <w:rFonts w:ascii="Palatino Linotype" w:eastAsia="Palatino Linotype" w:hAnsi="Palatino Linotype" w:cs="Palatino Linotype"/>
          <w:b/>
        </w:rPr>
      </w:pPr>
      <w:bookmarkStart w:id="3" w:name="_heading=h.30j0zll" w:colFirst="0" w:colLast="0"/>
      <w:bookmarkEnd w:id="3"/>
      <w:r w:rsidRPr="00777297">
        <w:rPr>
          <w:rFonts w:ascii="Palatino Linotype" w:eastAsia="Palatino Linotype" w:hAnsi="Palatino Linotype" w:cs="Palatino Linotype"/>
          <w:b/>
        </w:rPr>
        <w:t xml:space="preserve">Razones del Voto Particular. </w:t>
      </w:r>
    </w:p>
    <w:p w14:paraId="363C2FB1" w14:textId="77777777" w:rsidR="0041766F" w:rsidRPr="00777297" w:rsidRDefault="0041766F">
      <w:pPr>
        <w:spacing w:after="0" w:line="360" w:lineRule="auto"/>
        <w:jc w:val="both"/>
        <w:rPr>
          <w:rFonts w:ascii="Palatino Linotype" w:eastAsia="Palatino Linotype" w:hAnsi="Palatino Linotype" w:cs="Palatino Linotype"/>
          <w:b/>
        </w:rPr>
      </w:pPr>
    </w:p>
    <w:p w14:paraId="3DFE7324" w14:textId="77777777" w:rsidR="0041766F" w:rsidRPr="00777297" w:rsidRDefault="008C34EA">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777297">
        <w:rPr>
          <w:rFonts w:ascii="Palatino Linotype" w:eastAsia="Palatino Linotype" w:hAnsi="Palatino Linotype" w:cs="Palatino Linotype"/>
          <w:color w:val="000000"/>
        </w:rPr>
        <w:t>En este orden de ideas, resulta importante señalar que coincido con los términos generales planteados en la Resolución, no así en cuanto a lo siguiente:</w:t>
      </w:r>
    </w:p>
    <w:p w14:paraId="6593FDBF" w14:textId="77777777" w:rsidR="0041766F" w:rsidRPr="00777297" w:rsidRDefault="008C34EA">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sidRPr="00777297">
        <w:rPr>
          <w:rFonts w:ascii="Palatino Linotype" w:eastAsia="Palatino Linotype" w:hAnsi="Palatino Linotype" w:cs="Palatino Linotype"/>
          <w:b/>
          <w:color w:val="000000"/>
        </w:rPr>
        <w:t xml:space="preserve">De la publicidad de la fotografía de servidores públicos. </w:t>
      </w:r>
    </w:p>
    <w:p w14:paraId="797A8823" w14:textId="77777777" w:rsidR="0041766F" w:rsidRPr="00777297" w:rsidRDefault="008C34EA">
      <w:pPr>
        <w:spacing w:before="240" w:after="240" w:line="360" w:lineRule="auto"/>
        <w:ind w:right="142"/>
        <w:jc w:val="both"/>
        <w:rPr>
          <w:rFonts w:ascii="Palatino Linotype" w:eastAsia="Palatino Linotype" w:hAnsi="Palatino Linotype" w:cs="Palatino Linotype"/>
        </w:rPr>
      </w:pPr>
      <w:r w:rsidRPr="00777297">
        <w:rPr>
          <w:rFonts w:ascii="Palatino Linotype" w:eastAsia="Palatino Linotype" w:hAnsi="Palatino Linotype" w:cs="Palatino Linotype"/>
        </w:rPr>
        <w:lastRenderedPageBreak/>
        <w:t>Derivado de lo anterior,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6CC59B4D" w14:textId="77777777" w:rsidR="0041766F" w:rsidRPr="00777297" w:rsidRDefault="008C34EA">
      <w:pPr>
        <w:spacing w:before="240" w:after="24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Sin embargo, es preciso mencionar que, el presente voto se formula con relación a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73E3CB16" w14:textId="77777777" w:rsidR="0041766F" w:rsidRPr="00777297" w:rsidRDefault="008C34EA">
      <w:pPr>
        <w:spacing w:before="240" w:after="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Al respecto la Ponencia que resolvió, consideró lo siguiente:</w:t>
      </w:r>
    </w:p>
    <w:p w14:paraId="04F2FD69" w14:textId="77777777" w:rsidR="0041766F" w:rsidRPr="00777297" w:rsidRDefault="0041766F">
      <w:pPr>
        <w:widowControl w:val="0"/>
        <w:spacing w:after="0" w:line="240" w:lineRule="auto"/>
        <w:ind w:left="851" w:right="709"/>
        <w:jc w:val="both"/>
        <w:rPr>
          <w:rFonts w:ascii="Palatino Linotype" w:eastAsia="Palatino Linotype" w:hAnsi="Palatino Linotype" w:cs="Palatino Linotype"/>
        </w:rPr>
      </w:pPr>
    </w:p>
    <w:p w14:paraId="78F066B4" w14:textId="77777777" w:rsidR="0041766F" w:rsidRPr="00777297" w:rsidRDefault="008C34EA">
      <w:pPr>
        <w:widowControl w:val="0"/>
        <w:spacing w:after="0" w:line="240" w:lineRule="auto"/>
        <w:ind w:left="851" w:right="709"/>
        <w:jc w:val="both"/>
        <w:rPr>
          <w:rFonts w:ascii="Palatino Linotype" w:eastAsia="Palatino Linotype" w:hAnsi="Palatino Linotype" w:cs="Palatino Linotype"/>
          <w:b/>
          <w:i/>
          <w:color w:val="000000"/>
        </w:rPr>
      </w:pPr>
      <w:proofErr w:type="gramStart"/>
      <w:r w:rsidRPr="00777297">
        <w:rPr>
          <w:rFonts w:ascii="Palatino Linotype" w:eastAsia="Palatino Linotype" w:hAnsi="Palatino Linotype" w:cs="Palatino Linotype"/>
          <w:i/>
        </w:rPr>
        <w:t xml:space="preserve">“  </w:t>
      </w:r>
      <w:proofErr w:type="gramEnd"/>
      <w:r w:rsidRPr="00777297">
        <w:rPr>
          <w:rFonts w:ascii="Palatino Linotype" w:eastAsia="Palatino Linotype" w:hAnsi="Palatino Linotype" w:cs="Palatino Linotype"/>
          <w:i/>
        </w:rPr>
        <w:t xml:space="preserve">   </w:t>
      </w:r>
      <w:r w:rsidRPr="00777297">
        <w:rPr>
          <w:rFonts w:ascii="Palatino Linotype" w:eastAsia="Palatino Linotype" w:hAnsi="Palatino Linotype" w:cs="Palatino Linotype"/>
          <w:b/>
          <w:i/>
          <w:color w:val="000000"/>
        </w:rPr>
        <w:t>Fotografía</w:t>
      </w:r>
    </w:p>
    <w:p w14:paraId="39A1051F" w14:textId="77777777" w:rsidR="0041766F" w:rsidRPr="00777297" w:rsidRDefault="008C34EA">
      <w:pPr>
        <w:tabs>
          <w:tab w:val="left" w:pos="4962"/>
        </w:tabs>
        <w:spacing w:after="0" w:line="240" w:lineRule="auto"/>
        <w:ind w:left="851" w:right="709"/>
        <w:jc w:val="both"/>
        <w:rPr>
          <w:rFonts w:ascii="Palatino Linotype" w:eastAsia="Palatino Linotype" w:hAnsi="Palatino Linotype" w:cs="Palatino Linotype"/>
          <w:i/>
        </w:rPr>
      </w:pPr>
      <w:r w:rsidRPr="00777297">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14E484E" w14:textId="77777777" w:rsidR="0041766F" w:rsidRPr="00777297" w:rsidRDefault="008C34EA">
      <w:pPr>
        <w:tabs>
          <w:tab w:val="left" w:pos="4962"/>
        </w:tabs>
        <w:spacing w:after="0" w:line="240" w:lineRule="auto"/>
        <w:ind w:left="851" w:right="709"/>
        <w:jc w:val="both"/>
        <w:rPr>
          <w:rFonts w:ascii="Palatino Linotype" w:eastAsia="Palatino Linotype" w:hAnsi="Palatino Linotype" w:cs="Palatino Linotype"/>
          <w:i/>
        </w:rPr>
      </w:pPr>
      <w:r w:rsidRPr="00777297">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338D491" w14:textId="77777777" w:rsidR="0041766F" w:rsidRPr="00777297" w:rsidRDefault="008C34EA">
      <w:pPr>
        <w:tabs>
          <w:tab w:val="left" w:pos="4962"/>
        </w:tabs>
        <w:spacing w:after="0" w:line="240" w:lineRule="auto"/>
        <w:ind w:left="851" w:right="709"/>
        <w:jc w:val="both"/>
        <w:rPr>
          <w:rFonts w:ascii="Palatino Linotype" w:eastAsia="Palatino Linotype" w:hAnsi="Palatino Linotype" w:cs="Palatino Linotype"/>
          <w:i/>
        </w:rPr>
      </w:pPr>
      <w:r w:rsidRPr="00777297">
        <w:rPr>
          <w:rFonts w:ascii="Palatino Linotype" w:eastAsia="Palatino Linotype" w:hAnsi="Palatino Linotype" w:cs="Palatino Linotype"/>
          <w:i/>
        </w:rPr>
        <w:t xml:space="preserve">Además, existen documentos que contienen la fotografía con los cuales se permite identificar que una persona que se acredita como trabajador gubernamental, realmente tiene el cargo con el que se ostenta, otros documentos con los cuales se </w:t>
      </w:r>
      <w:r w:rsidRPr="00777297">
        <w:rPr>
          <w:rFonts w:ascii="Palatino Linotype" w:eastAsia="Palatino Linotype" w:hAnsi="Palatino Linotype" w:cs="Palatino Linotype"/>
          <w:i/>
        </w:rPr>
        <w:lastRenderedPageBreak/>
        <w:t>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63F9ED0" w14:textId="77777777" w:rsidR="0041766F" w:rsidRPr="00777297" w:rsidRDefault="008C34EA">
      <w:pPr>
        <w:tabs>
          <w:tab w:val="left" w:pos="4962"/>
        </w:tabs>
        <w:spacing w:after="0" w:line="240" w:lineRule="auto"/>
        <w:ind w:left="851" w:right="709"/>
        <w:jc w:val="both"/>
        <w:rPr>
          <w:rFonts w:ascii="Palatino Linotype" w:eastAsia="Palatino Linotype" w:hAnsi="Palatino Linotype" w:cs="Palatino Linotype"/>
          <w:i/>
        </w:rPr>
      </w:pPr>
      <w:r w:rsidRPr="00777297">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21BC46C4" w14:textId="77777777" w:rsidR="0041766F" w:rsidRPr="00777297" w:rsidRDefault="008C34EA">
      <w:pPr>
        <w:tabs>
          <w:tab w:val="left" w:pos="4962"/>
        </w:tabs>
        <w:spacing w:after="0" w:line="240" w:lineRule="auto"/>
        <w:ind w:left="851" w:right="709"/>
        <w:jc w:val="both"/>
        <w:rPr>
          <w:rFonts w:ascii="Palatino Linotype" w:eastAsia="Palatino Linotype" w:hAnsi="Palatino Linotype" w:cs="Palatino Linotype"/>
          <w:i/>
        </w:rPr>
      </w:pPr>
      <w:r w:rsidRPr="00777297">
        <w:rPr>
          <w:rFonts w:ascii="Palatino Linotype" w:eastAsia="Palatino Linotype" w:hAnsi="Palatino Linotype" w:cs="Palatino Linotype"/>
          <w:i/>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4EF37F54" w14:textId="77777777" w:rsidR="0041766F" w:rsidRPr="00777297" w:rsidRDefault="008C34EA">
      <w:pPr>
        <w:tabs>
          <w:tab w:val="left" w:pos="4962"/>
        </w:tabs>
        <w:spacing w:after="0" w:line="240" w:lineRule="auto"/>
        <w:ind w:left="851" w:right="709"/>
        <w:jc w:val="both"/>
        <w:rPr>
          <w:rFonts w:ascii="Palatino Linotype" w:eastAsia="Palatino Linotype" w:hAnsi="Palatino Linotype" w:cs="Palatino Linotype"/>
          <w:i/>
        </w:rPr>
      </w:pPr>
      <w:r w:rsidRPr="00777297">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E68A735" w14:textId="77777777" w:rsidR="0041766F" w:rsidRPr="00777297" w:rsidRDefault="008C34EA">
      <w:pPr>
        <w:tabs>
          <w:tab w:val="left" w:pos="4962"/>
        </w:tabs>
        <w:spacing w:after="0" w:line="240" w:lineRule="auto"/>
        <w:ind w:left="851" w:right="709"/>
        <w:jc w:val="both"/>
        <w:rPr>
          <w:rFonts w:ascii="Palatino Linotype" w:eastAsia="Palatino Linotype" w:hAnsi="Palatino Linotype" w:cs="Palatino Linotype"/>
          <w:i/>
        </w:rPr>
      </w:pPr>
      <w:r w:rsidRPr="00777297">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FE39976" w14:textId="77777777" w:rsidR="0041766F" w:rsidRPr="00777297" w:rsidRDefault="008C34EA">
      <w:pPr>
        <w:tabs>
          <w:tab w:val="left" w:pos="4962"/>
        </w:tabs>
        <w:spacing w:after="0" w:line="240" w:lineRule="auto"/>
        <w:ind w:left="851" w:right="709"/>
        <w:jc w:val="both"/>
        <w:rPr>
          <w:rFonts w:ascii="Palatino Linotype" w:eastAsia="Palatino Linotype" w:hAnsi="Palatino Linotype" w:cs="Palatino Linotype"/>
          <w:i/>
        </w:rPr>
      </w:pPr>
      <w:r w:rsidRPr="00777297">
        <w:rPr>
          <w:rFonts w:ascii="Palatino Linotype" w:eastAsia="Palatino Linotype" w:hAnsi="Palatino Linotype" w:cs="Palatino Linotype"/>
          <w:b/>
          <w:i/>
        </w:rPr>
        <w:t xml:space="preserve">Conforme a lo anterior, </w:t>
      </w:r>
      <w:r w:rsidRPr="00777297">
        <w:rPr>
          <w:rFonts w:ascii="Palatino Linotype" w:eastAsia="Palatino Linotype" w:hAnsi="Palatino Linotype" w:cs="Palatino Linotype"/>
          <w:b/>
          <w:i/>
          <w:u w:val="single"/>
        </w:rPr>
        <w:t>las fotografías de servidores públicos sin importar el nivel o rango guardan la naturaleza de públicas (con excepción del personal operativo en materia de seguridad) y no procede su clasificación</w:t>
      </w:r>
      <w:r w:rsidRPr="00777297">
        <w:rPr>
          <w:rFonts w:ascii="Palatino Linotype" w:eastAsia="Palatino Linotype" w:hAnsi="Palatino Linotype" w:cs="Palatino Linotype"/>
          <w:b/>
          <w:i/>
        </w:rPr>
        <w:t>,</w:t>
      </w:r>
      <w:r w:rsidRPr="00777297">
        <w:rPr>
          <w:rFonts w:ascii="Palatino Linotype" w:eastAsia="Palatino Linotype" w:hAnsi="Palatino Linotype" w:cs="Palatino Linotype"/>
          <w:i/>
        </w:rPr>
        <w:t xml:space="preserve"> </w:t>
      </w:r>
      <w:r w:rsidRPr="00777297">
        <w:rPr>
          <w:rFonts w:ascii="Palatino Linotype" w:eastAsia="Palatino Linotype" w:hAnsi="Palatino Linotype" w:cs="Palatino Linotype"/>
          <w:i/>
        </w:rPr>
        <w:lastRenderedPageBreak/>
        <w:t>en términos del artículo 143, fracción I, de la Ley de Transparencia y Acceso a la Información Pública del Estado de México y Municipios, por lo que en las versiones públicas que se ordenen, no podrá clasificarse esa información, por lo que el currículum vitae proporcionado en respuesta deberá hacerse entrega con la fotografía del servidor público visible. 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roofErr w:type="gramStart"/>
      <w:r w:rsidRPr="00777297">
        <w:rPr>
          <w:rFonts w:ascii="Palatino Linotype" w:eastAsia="Palatino Linotype" w:hAnsi="Palatino Linotype" w:cs="Palatino Linotype"/>
          <w:i/>
        </w:rPr>
        <w:t>.”(</w:t>
      </w:r>
      <w:proofErr w:type="gramEnd"/>
      <w:r w:rsidRPr="00777297">
        <w:rPr>
          <w:rFonts w:ascii="Palatino Linotype" w:eastAsia="Palatino Linotype" w:hAnsi="Palatino Linotype" w:cs="Palatino Linotype"/>
          <w:i/>
        </w:rPr>
        <w:t>Sic)</w:t>
      </w:r>
    </w:p>
    <w:p w14:paraId="19830B6D" w14:textId="77777777" w:rsidR="0041766F" w:rsidRPr="00777297" w:rsidRDefault="008C34EA">
      <w:pPr>
        <w:spacing w:before="240" w:after="240" w:line="360" w:lineRule="auto"/>
        <w:jc w:val="both"/>
        <w:rPr>
          <w:rFonts w:ascii="Palatino Linotype" w:eastAsia="Palatino Linotype" w:hAnsi="Palatino Linotype" w:cs="Palatino Linotype"/>
        </w:rPr>
      </w:pPr>
      <w:bookmarkStart w:id="4" w:name="_heading=h.2et92p0" w:colFirst="0" w:colLast="0"/>
      <w:bookmarkEnd w:id="4"/>
      <w:r w:rsidRPr="00777297">
        <w:rPr>
          <w:rFonts w:ascii="Palatino Linotype" w:eastAsia="Palatino Linotype" w:hAnsi="Palatino Linotype" w:cs="Palatino Linotype"/>
        </w:rPr>
        <w:t>No obstante, no escapa 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535A19FB" w14:textId="77777777" w:rsidR="0041766F" w:rsidRPr="00777297" w:rsidRDefault="008C34EA">
      <w:pPr>
        <w:tabs>
          <w:tab w:val="left" w:pos="4962"/>
        </w:tabs>
        <w:spacing w:before="240" w:after="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Ahora bien, en lo que respecta a los servidores públicos existen funciones que por su naturaleza pueden ser de un mayor interés público, es decir, aquellas que tienen un impacto directo en la vida de las personas y en el funcionamiento de la sociedad o de las instituciones públicas, ejemplo de ello pueden ser los servidores públicos cuya función implica una posición de poder que deba estar sujeta a escrutinio y rendición de cuentas ante la sociedad; otros ejemplos son los servidores públicos responsables de la administración de recursos públicos, la implementación de políticas públicas, la prestación de servicios públicos, entre otros.</w:t>
      </w:r>
    </w:p>
    <w:p w14:paraId="42A393AA" w14:textId="77777777" w:rsidR="0041766F" w:rsidRPr="00777297" w:rsidRDefault="008C34EA">
      <w:pPr>
        <w:tabs>
          <w:tab w:val="left" w:pos="4962"/>
        </w:tabs>
        <w:spacing w:before="240" w:after="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lastRenderedPageBreak/>
        <w:t xml:space="preserve"> Por lo que, dado el interés público que reviste a las funciones de las y los funcionarios que dan atención al público, así como aquellos que cuenten con la calidad de mando medio y/o superior, la</w:t>
      </w:r>
      <w:r w:rsidR="00777297" w:rsidRPr="00777297">
        <w:rPr>
          <w:rFonts w:ascii="Palatino Linotype" w:eastAsia="Palatino Linotype" w:hAnsi="Palatino Linotype" w:cs="Palatino Linotype"/>
        </w:rPr>
        <w:t xml:space="preserve"> suscrita considero</w:t>
      </w:r>
      <w:r w:rsidRPr="00777297">
        <w:rPr>
          <w:rFonts w:ascii="Palatino Linotype" w:eastAsia="Palatino Linotype" w:hAnsi="Palatino Linotype" w:cs="Palatino Linotype"/>
        </w:rPr>
        <w:t xml:space="preserve"> que se debe dejar visible su fotografía pues, hacer pública la imagen de éstos, puede contribuir a la transparencia y la rendición de cuentas, ya que permite a la ciudadanía identificar a los funcionarios que toman decisiones importantes en su nombre.</w:t>
      </w:r>
    </w:p>
    <w:p w14:paraId="1864C6AA" w14:textId="77777777" w:rsidR="0041766F" w:rsidRPr="00777297" w:rsidRDefault="008C34EA">
      <w:pPr>
        <w:tabs>
          <w:tab w:val="left" w:pos="4962"/>
        </w:tabs>
        <w:spacing w:before="240" w:after="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 Sin embargo, en la resolución se estipuló que </w:t>
      </w:r>
      <w:r w:rsidRPr="00777297">
        <w:rPr>
          <w:rFonts w:ascii="Palatino Linotype" w:eastAsia="Palatino Linotype" w:hAnsi="Palatino Linotype" w:cs="Palatino Linotype"/>
          <w:b/>
          <w:u w:val="single"/>
        </w:rPr>
        <w:t>las fotografías de servidores públicos, sin importar el nivel o rango, guardan la naturaleza de públicas</w:t>
      </w:r>
      <w:r w:rsidRPr="00777297">
        <w:rPr>
          <w:rFonts w:ascii="Palatino Linotype" w:eastAsia="Palatino Linotype" w:hAnsi="Palatino Linotype" w:cs="Palatino Linotype"/>
        </w:rPr>
        <w:t xml:space="preserve">, -con excepción del personal operativo en materia de seguridad-, </w:t>
      </w:r>
      <w:r w:rsidRPr="00777297">
        <w:rPr>
          <w:rFonts w:ascii="Palatino Linotype" w:eastAsia="Palatino Linotype" w:hAnsi="Palatino Linotype" w:cs="Palatino Linotype"/>
          <w:b/>
          <w:u w:val="single"/>
        </w:rPr>
        <w:t>por lo tanto, que no procede su clasificación</w:t>
      </w:r>
      <w:r w:rsidRPr="00777297">
        <w:rPr>
          <w:rFonts w:ascii="Palatino Linotype" w:eastAsia="Palatino Linotype" w:hAnsi="Palatino Linotype" w:cs="Palatino Linotype"/>
        </w:rPr>
        <w:t xml:space="preserve"> en términos del artículo 143, fracción I, de la Ley de Transparencia y Acceso a la Información Pública del Estado de México y Municipios, sin embargo,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ya que como se ha expresado con anterioridad, en algunos casos, el interés público de hacer pública la imagen de un servidor público puede justificar la limitación de su derecho a la privacidad, pero esto debe evaluarse cuidadosamente en cada caso y no ser la regla general.</w:t>
      </w:r>
    </w:p>
    <w:p w14:paraId="6D261C6E" w14:textId="77777777" w:rsidR="0041766F" w:rsidRPr="00777297" w:rsidRDefault="008C34EA">
      <w:pPr>
        <w:tabs>
          <w:tab w:val="left" w:pos="4962"/>
        </w:tabs>
        <w:spacing w:before="240" w:after="24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Lo anterior se estima así, dado que el acceso a los documentos que contengan el dato materia de análisis, aún clasificado, daría cuenta de lo que en realidad se pretende transparentar, como lo es, por ejemplo, la preparación académica que se refleja en la toma de decisiones para el óptimo desempeño de las funciones para las cuales fueron designados, la idoneidad </w:t>
      </w:r>
      <w:r w:rsidRPr="00777297">
        <w:rPr>
          <w:rFonts w:ascii="Palatino Linotype" w:eastAsia="Palatino Linotype" w:hAnsi="Palatino Linotype" w:cs="Palatino Linotype"/>
        </w:rPr>
        <w:lastRenderedPageBreak/>
        <w:t>para ocupar un cargo, entre otros aspectos, pues el hecho de clasificar la fotografía no le resta validez a los documentos para los fines señalados.</w:t>
      </w:r>
    </w:p>
    <w:p w14:paraId="6A1D9C66" w14:textId="77777777" w:rsidR="0041766F" w:rsidRPr="00777297" w:rsidRDefault="008C34EA">
      <w:pPr>
        <w:tabs>
          <w:tab w:val="left" w:pos="4962"/>
        </w:tabs>
        <w:spacing w:before="240" w:after="24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En el caso de los documentos que dan cuenta del grado de estudios, por ejemplo, acreditan ante la ciudadanía que el servidor público </w:t>
      </w:r>
      <w:r w:rsidRPr="00777297">
        <w:rPr>
          <w:rFonts w:ascii="Palatino Linotype" w:eastAsia="Palatino Linotype" w:hAnsi="Palatino Linotype" w:cs="Palatino Linotype"/>
          <w:b/>
          <w:u w:val="single"/>
        </w:rPr>
        <w:t>posee los conocimientos propios de su profesión.</w:t>
      </w:r>
      <w:r w:rsidRPr="00777297">
        <w:rPr>
          <w:rFonts w:ascii="Palatino Linotype" w:eastAsia="Palatino Linotype" w:hAnsi="Palatino Linotype" w:cs="Palatino Linotype"/>
        </w:rPr>
        <w:t xml:space="preserve"> Por lo que, </w:t>
      </w:r>
      <w:r w:rsidRPr="00777297">
        <w:rPr>
          <w:rFonts w:ascii="Palatino Linotype" w:eastAsia="Palatino Linotype" w:hAnsi="Palatino Linotype" w:cs="Palatino Linotype"/>
          <w:b/>
          <w:u w:val="single"/>
        </w:rPr>
        <w:t>su finalidad no es acreditar la identidad de su titular</w:t>
      </w:r>
      <w:r w:rsidRPr="00777297">
        <w:rPr>
          <w:rFonts w:ascii="Palatino Linotype" w:eastAsia="Palatino Linotype" w:hAnsi="Palatino Linotype" w:cs="Palatino Linotype"/>
          <w:b/>
        </w:rPr>
        <w:t xml:space="preserve">, </w:t>
      </w:r>
      <w:proofErr w:type="gramStart"/>
      <w:r w:rsidRPr="00777297">
        <w:rPr>
          <w:rFonts w:ascii="Palatino Linotype" w:eastAsia="Palatino Linotype" w:hAnsi="Palatino Linotype" w:cs="Palatino Linotype"/>
        </w:rPr>
        <w:t>ya que</w:t>
      </w:r>
      <w:proofErr w:type="gramEnd"/>
      <w:r w:rsidRPr="00777297">
        <w:rPr>
          <w:rFonts w:ascii="Palatino Linotype" w:eastAsia="Palatino Linotype" w:hAnsi="Palatino Linotype" w:cs="Palatino Linotype"/>
        </w:rPr>
        <w:t xml:space="preserve"> para ello, se generan documentos específicos. </w:t>
      </w:r>
    </w:p>
    <w:p w14:paraId="0D05D963" w14:textId="77777777" w:rsidR="0041766F" w:rsidRPr="00777297" w:rsidRDefault="008C34EA">
      <w:pPr>
        <w:tabs>
          <w:tab w:val="left" w:pos="4962"/>
        </w:tabs>
        <w:spacing w:before="240" w:after="24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Asimismo, es importante señalar que los objetivos de la transparencia se alcanzan al momento de permitir el acceso a los documentos,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347166C2" w14:textId="77777777" w:rsidR="0041766F" w:rsidRPr="00777297" w:rsidRDefault="008C34EA">
      <w:pPr>
        <w:tabs>
          <w:tab w:val="left" w:pos="4962"/>
        </w:tabs>
        <w:spacing w:before="240" w:after="24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Pr="00777297">
        <w:rPr>
          <w:rFonts w:ascii="Palatino Linotype" w:eastAsia="Palatino Linotype" w:hAnsi="Palatino Linotype" w:cs="Palatino Linotype"/>
          <w:b/>
        </w:rPr>
        <w:t xml:space="preserve">Voto Particular pues considero que </w:t>
      </w:r>
      <w:r w:rsidRPr="00777297">
        <w:rPr>
          <w:rFonts w:ascii="Palatino Linotype" w:eastAsia="Palatino Linotype" w:hAnsi="Palatino Linotype" w:cs="Palatino Linotype"/>
          <w:b/>
          <w:u w:val="single"/>
        </w:rPr>
        <w:t>no se debe dejar visible la fotografía de las y los servidores públicos que NO cuenten con la calidad de mando medio y/o superior,</w:t>
      </w:r>
      <w:r w:rsidRPr="00777297">
        <w:rPr>
          <w:rFonts w:ascii="Palatino Linotype" w:eastAsia="Palatino Linotype" w:hAnsi="Palatino Linotype" w:cs="Palatino Linotype"/>
        </w:rPr>
        <w:t xml:space="preserve"> </w:t>
      </w:r>
      <w:r w:rsidRPr="00777297">
        <w:rPr>
          <w:rFonts w:ascii="Palatino Linotype" w:eastAsia="Palatino Linotype" w:hAnsi="Palatino Linotype" w:cs="Palatino Linotype"/>
          <w:b/>
          <w:u w:val="single"/>
        </w:rPr>
        <w:t>o no tengan atención al público</w:t>
      </w:r>
      <w:r w:rsidRPr="00777297">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7D7FF85D" w14:textId="77777777" w:rsidR="0041766F" w:rsidRPr="00777297" w:rsidRDefault="008C34EA">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sidRPr="00777297">
        <w:rPr>
          <w:rFonts w:ascii="Palatino Linotype" w:eastAsia="Palatino Linotype" w:hAnsi="Palatino Linotype" w:cs="Palatino Linotype"/>
          <w:b/>
          <w:color w:val="000000"/>
        </w:rPr>
        <w:t xml:space="preserve">Certificado </w:t>
      </w:r>
      <w:proofErr w:type="gramStart"/>
      <w:r w:rsidRPr="00777297">
        <w:rPr>
          <w:rFonts w:ascii="Palatino Linotype" w:eastAsia="Palatino Linotype" w:hAnsi="Palatino Linotype" w:cs="Palatino Linotype"/>
          <w:b/>
          <w:color w:val="000000"/>
        </w:rPr>
        <w:t>de  no</w:t>
      </w:r>
      <w:proofErr w:type="gramEnd"/>
      <w:r w:rsidRPr="00777297">
        <w:rPr>
          <w:rFonts w:ascii="Palatino Linotype" w:eastAsia="Palatino Linotype" w:hAnsi="Palatino Linotype" w:cs="Palatino Linotype"/>
          <w:b/>
          <w:color w:val="000000"/>
        </w:rPr>
        <w:t xml:space="preserve">  deudor alimentario moroso. </w:t>
      </w:r>
    </w:p>
    <w:p w14:paraId="31680A76" w14:textId="77777777" w:rsidR="0041766F" w:rsidRPr="00777297" w:rsidRDefault="008C34EA">
      <w:pPr>
        <w:spacing w:before="240" w:after="24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A consideración de la suscrita en cuanto a los certificados de no deudor alimentario moroso este debe ser protegido mediante su clasificación como </w:t>
      </w:r>
      <w:r w:rsidRPr="00777297">
        <w:rPr>
          <w:rFonts w:ascii="Palatino Linotype" w:eastAsia="Palatino Linotype" w:hAnsi="Palatino Linotype" w:cs="Palatino Linotype"/>
          <w:b/>
        </w:rPr>
        <w:t>confidencial en su totalidad</w:t>
      </w:r>
      <w:r w:rsidRPr="00777297">
        <w:rPr>
          <w:rFonts w:ascii="Palatino Linotype" w:eastAsia="Palatino Linotype" w:hAnsi="Palatino Linotype" w:cs="Palatino Linotype"/>
        </w:rPr>
        <w:t xml:space="preserve">, ello </w:t>
      </w:r>
      <w:r w:rsidRPr="00777297">
        <w:rPr>
          <w:rFonts w:ascii="Palatino Linotype" w:eastAsia="Palatino Linotype" w:hAnsi="Palatino Linotype" w:cs="Palatino Linotype"/>
        </w:rPr>
        <w:lastRenderedPageBreak/>
        <w:t>derivado a que el estar inscrito en dicho registro tiene un impacto en la imagen de un servidor público y se trata de un tema estrictamente de carácter personal e incluso de tipo familiar.</w:t>
      </w:r>
    </w:p>
    <w:p w14:paraId="7F662250" w14:textId="77777777" w:rsidR="0041766F" w:rsidRPr="00777297" w:rsidRDefault="008C34EA">
      <w:pPr>
        <w:spacing w:before="240" w:after="24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14:paraId="0C3F41EA" w14:textId="77777777" w:rsidR="0041766F" w:rsidRPr="00777297" w:rsidRDefault="008C34EA">
      <w:pPr>
        <w:spacing w:after="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Más aún cuando en el Proyecto de Decreto por el que se Reforman y Adicionan Diversas Disposiciones para crear el Registro de Deudores Alimentarios del Estado de México, disponible en la dirección electrónica </w:t>
      </w:r>
      <w:hyperlink r:id="rId8" w:anchor=":~:text=La%20inscripci%C3%B3n%20con%20el%20car%C3%A1cter,del%20Estado%20de%20M%C3%A9xico%20e">
        <w:r w:rsidRPr="00777297">
          <w:rPr>
            <w:rFonts w:ascii="Palatino Linotype" w:eastAsia="Palatino Linotype" w:hAnsi="Palatino Linotype" w:cs="Palatino Linotype"/>
            <w:color w:val="0000FF"/>
            <w:u w:val="single"/>
          </w:rPr>
          <w:t>https://www.ipomex.org.mx/recursos/ipo/files_ipo/2014/8/11/630bc7787b59af912a96a9e1bca1c770.pdf#:~:text=La%20inscripci%C3%B3n%20con%20el%20car%C3%A1cter,del%20Estado%20de%20M%C3%A9xico%20e</w:t>
        </w:r>
      </w:hyperlink>
      <w:r w:rsidRPr="00777297">
        <w:rPr>
          <w:rFonts w:ascii="Palatino Linotype" w:eastAsia="Palatino Linotype" w:hAnsi="Palatino Linotype" w:cs="Palatino Linotype"/>
        </w:rPr>
        <w:t xml:space="preserve">, pueden advertirse los objetivos de crear dicho registro: </w:t>
      </w:r>
    </w:p>
    <w:p w14:paraId="71D06261" w14:textId="77777777" w:rsidR="0041766F" w:rsidRPr="00777297" w:rsidRDefault="0041766F">
      <w:pPr>
        <w:spacing w:after="0" w:line="360" w:lineRule="auto"/>
        <w:jc w:val="both"/>
        <w:rPr>
          <w:rFonts w:ascii="Palatino Linotype" w:eastAsia="Palatino Linotype" w:hAnsi="Palatino Linotype" w:cs="Palatino Linotype"/>
        </w:rPr>
      </w:pPr>
    </w:p>
    <w:p w14:paraId="625B222A" w14:textId="77777777" w:rsidR="0041766F" w:rsidRPr="00777297" w:rsidRDefault="008C34EA">
      <w:pPr>
        <w:spacing w:after="0" w:line="240" w:lineRule="auto"/>
        <w:ind w:left="567" w:right="539"/>
        <w:jc w:val="both"/>
        <w:rPr>
          <w:rFonts w:ascii="Palatino Linotype" w:eastAsia="Palatino Linotype" w:hAnsi="Palatino Linotype" w:cs="Palatino Linotype"/>
          <w:i/>
        </w:rPr>
      </w:pPr>
      <w:r w:rsidRPr="00777297">
        <w:rPr>
          <w:rFonts w:ascii="Palatino Linotype" w:eastAsia="Palatino Linotype" w:hAnsi="Palatino Linotype" w:cs="Palatino Linotype"/>
          <w:i/>
        </w:rPr>
        <w:t>“El interés superior del menor debe prevalecer en cualquier controversia de derecho familiar, situación que obliga a las autoridades a establecer las medidas necesarias para asegurar el cumplimiento del pago de la pensión alimenticia decretada a su favor.</w:t>
      </w:r>
    </w:p>
    <w:p w14:paraId="5D3A9A12" w14:textId="77777777" w:rsidR="0041766F" w:rsidRPr="00777297" w:rsidRDefault="008C34EA">
      <w:pPr>
        <w:spacing w:after="0" w:line="240" w:lineRule="auto"/>
        <w:ind w:left="567" w:right="539"/>
        <w:jc w:val="both"/>
        <w:rPr>
          <w:rFonts w:ascii="Palatino Linotype" w:eastAsia="Palatino Linotype" w:hAnsi="Palatino Linotype" w:cs="Palatino Linotype"/>
          <w:i/>
        </w:rPr>
      </w:pPr>
      <w:r w:rsidRPr="00777297">
        <w:rPr>
          <w:rFonts w:ascii="Palatino Linotype" w:eastAsia="Palatino Linotype" w:hAnsi="Palatino Linotype" w:cs="Palatino Linotype"/>
          <w:i/>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14:paraId="2C358533" w14:textId="77777777" w:rsidR="0041766F" w:rsidRPr="00777297" w:rsidRDefault="008C34EA">
      <w:pPr>
        <w:spacing w:after="0" w:line="240" w:lineRule="auto"/>
        <w:ind w:left="567" w:right="539"/>
        <w:jc w:val="both"/>
        <w:rPr>
          <w:rFonts w:ascii="Palatino Linotype" w:eastAsia="Palatino Linotype" w:hAnsi="Palatino Linotype" w:cs="Palatino Linotype"/>
          <w:i/>
        </w:rPr>
      </w:pPr>
      <w:r w:rsidRPr="00777297">
        <w:rPr>
          <w:rFonts w:ascii="Palatino Linotype" w:eastAsia="Palatino Linotype" w:hAnsi="Palatino Linotype" w:cs="Palatino Linotype"/>
          <w:i/>
        </w:rPr>
        <w:t>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14:paraId="1C43B525" w14:textId="77777777" w:rsidR="0041766F" w:rsidRPr="00777297" w:rsidRDefault="008C34EA">
      <w:pPr>
        <w:spacing w:after="0" w:line="240" w:lineRule="auto"/>
        <w:ind w:left="567" w:right="539"/>
        <w:jc w:val="both"/>
        <w:rPr>
          <w:rFonts w:ascii="Palatino Linotype" w:eastAsia="Palatino Linotype" w:hAnsi="Palatino Linotype" w:cs="Palatino Linotype"/>
          <w:i/>
        </w:rPr>
      </w:pPr>
      <w:r w:rsidRPr="00777297">
        <w:rPr>
          <w:rFonts w:ascii="Palatino Linotype" w:eastAsia="Palatino Linotype" w:hAnsi="Palatino Linotype" w:cs="Palatino Linotype"/>
          <w:i/>
        </w:rPr>
        <w:lastRenderedPageBreak/>
        <w:t>Los alimentos tienen carácter preferente a favor de los hijos, sin que pueda eximirse el deudor alimentario de su cumplimiento cuando esté en posibilidades de hacerlo. En el Estado de México,</w:t>
      </w:r>
      <w:r w:rsidRPr="00777297">
        <w:rPr>
          <w:rFonts w:ascii="Palatino Linotype" w:eastAsia="Palatino Linotype" w:hAnsi="Palatino Linotype" w:cs="Palatino Linotype"/>
        </w:rPr>
        <w:t xml:space="preserve"> </w:t>
      </w:r>
      <w:r w:rsidRPr="00777297">
        <w:rPr>
          <w:rFonts w:ascii="Palatino Linotype" w:eastAsia="Palatino Linotype" w:hAnsi="Palatino Linotype" w:cs="Palatino Linotype"/>
          <w:i/>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14:paraId="6C890815" w14:textId="77777777" w:rsidR="0041766F" w:rsidRPr="00777297" w:rsidRDefault="008C34EA">
      <w:pPr>
        <w:spacing w:after="0" w:line="240" w:lineRule="auto"/>
        <w:ind w:left="567" w:right="539"/>
        <w:jc w:val="both"/>
        <w:rPr>
          <w:rFonts w:ascii="Palatino Linotype" w:eastAsia="Palatino Linotype" w:hAnsi="Palatino Linotype" w:cs="Palatino Linotype"/>
          <w:i/>
        </w:rPr>
      </w:pPr>
      <w:r w:rsidRPr="00777297">
        <w:rPr>
          <w:rFonts w:ascii="Palatino Linotype" w:eastAsia="Palatino Linotype" w:hAnsi="Palatino Linotype" w:cs="Palatino Linotype"/>
          <w:i/>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sidRPr="00777297">
        <w:rPr>
          <w:rFonts w:ascii="Palatino Linotype" w:eastAsia="Palatino Linotype" w:hAnsi="Palatino Linotype" w:cs="Palatino Linotype"/>
          <w:b/>
          <w:i/>
          <w:u w:val="single"/>
        </w:rPr>
        <w:t>con la finalidad de asegurar el cumplimiento de las obligaciones alimentarias que tienen los padres para con sus menores hijos.” (Sic)</w:t>
      </w:r>
    </w:p>
    <w:p w14:paraId="6007FDF2" w14:textId="77777777" w:rsidR="0041766F" w:rsidRPr="00777297" w:rsidRDefault="0041766F">
      <w:pPr>
        <w:spacing w:after="0" w:line="360" w:lineRule="auto"/>
        <w:jc w:val="both"/>
        <w:rPr>
          <w:rFonts w:ascii="Palatino Linotype" w:eastAsia="Palatino Linotype" w:hAnsi="Palatino Linotype" w:cs="Palatino Linotype"/>
        </w:rPr>
      </w:pPr>
    </w:p>
    <w:p w14:paraId="2DA6118B" w14:textId="77777777" w:rsidR="0041766F" w:rsidRPr="00777297" w:rsidRDefault="008C34EA">
      <w:pPr>
        <w:spacing w:after="8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 en este sentido si bien dicho registro no es público, para el caso de proporcionar los que no están inscritos como deudores morosos y se clasifiquen los que sí se encuentran inscritos se puede arribar a la conclusión de quiénes sí se encuentran como deudores alimentarios morosos, por lo tanto, no es procedente entrega esta información ni de quienes están ni de quienes no están, por lo que resulta procedente clasificar la información solicitada de manera general como </w:t>
      </w:r>
      <w:r w:rsidRPr="00777297">
        <w:rPr>
          <w:rFonts w:ascii="Palatino Linotype" w:eastAsia="Palatino Linotype" w:hAnsi="Palatino Linotype" w:cs="Palatino Linotype"/>
          <w:b/>
        </w:rPr>
        <w:t>información confidencial en su totalidad</w:t>
      </w:r>
      <w:r w:rsidRPr="00777297">
        <w:rPr>
          <w:rFonts w:ascii="Palatino Linotype" w:eastAsia="Palatino Linotype" w:hAnsi="Palatino Linotype" w:cs="Palatino Linotype"/>
        </w:rPr>
        <w:t xml:space="preserve"> </w:t>
      </w:r>
      <w:r w:rsidRPr="00777297">
        <w:rPr>
          <w:rFonts w:ascii="Palatino Linotype" w:eastAsia="Palatino Linotype" w:hAnsi="Palatino Linotype" w:cs="Palatino Linotype"/>
        </w:rPr>
        <w:lastRenderedPageBreak/>
        <w:t xml:space="preserve">en términos del artículo 143, fracción I, de la Ley de Transparencia y Acceso a la Información Pública del Estado de México y Municipios. </w:t>
      </w:r>
    </w:p>
    <w:p w14:paraId="56FBD929" w14:textId="77777777" w:rsidR="0041766F" w:rsidRPr="00777297" w:rsidRDefault="008C34EA">
      <w:pPr>
        <w:spacing w:before="240" w:after="240" w:line="360" w:lineRule="auto"/>
        <w:jc w:val="both"/>
        <w:rPr>
          <w:rFonts w:ascii="Palatino Linotype" w:eastAsia="Palatino Linotype" w:hAnsi="Palatino Linotype" w:cs="Palatino Linotype"/>
        </w:rPr>
      </w:pPr>
      <w:r w:rsidRPr="00777297">
        <w:rPr>
          <w:rFonts w:ascii="Palatino Linotype" w:eastAsia="Palatino Linotype" w:hAnsi="Palatino Linotype" w:cs="Palatino Linotype"/>
        </w:rPr>
        <w:t xml:space="preserve">Por otro lado, clasificar en su totalidad esa información de igual forma, da certeza del cumplimiento del requisito, toda vez que la clasificación y la inexistencia no pueden coexistir. A efecto de robustecer lo anterior, sirve de sustento el criterio orientador 29/10 emitido por el Instituto Nacional de Transparencia, Acceso a la Información y Protección de Datos Personales, INAI, el cual refiere lo siguiente: </w:t>
      </w:r>
    </w:p>
    <w:p w14:paraId="16C6E7AB" w14:textId="77777777" w:rsidR="00777297" w:rsidRDefault="008C34EA" w:rsidP="00777297">
      <w:pPr>
        <w:spacing w:before="240" w:after="0" w:line="240" w:lineRule="auto"/>
        <w:ind w:left="425" w:right="561"/>
        <w:contextualSpacing/>
        <w:jc w:val="both"/>
        <w:rPr>
          <w:rFonts w:ascii="Palatino Linotype" w:eastAsia="Palatino Linotype" w:hAnsi="Palatino Linotype" w:cs="Palatino Linotype"/>
          <w:i/>
        </w:rPr>
      </w:pPr>
      <w:r w:rsidRPr="00777297">
        <w:rPr>
          <w:rFonts w:ascii="Palatino Linotype" w:eastAsia="Palatino Linotype" w:hAnsi="Palatino Linotype" w:cs="Palatino Linotype"/>
          <w:i/>
        </w:rPr>
        <w:t xml:space="preserve">“La clasificación y la inexistencia de información son conceptos que no pueden coexistir.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w:t>
      </w:r>
    </w:p>
    <w:p w14:paraId="67B24291" w14:textId="77777777" w:rsidR="0041766F" w:rsidRPr="00777297" w:rsidRDefault="008C34EA" w:rsidP="00777297">
      <w:pPr>
        <w:spacing w:before="240" w:after="0" w:line="240" w:lineRule="auto"/>
        <w:ind w:left="425" w:right="561"/>
        <w:contextualSpacing/>
        <w:jc w:val="both"/>
        <w:rPr>
          <w:rFonts w:ascii="Palatino Linotype" w:eastAsia="Palatino Linotype" w:hAnsi="Palatino Linotype" w:cs="Palatino Linotype"/>
          <w:i/>
        </w:rPr>
      </w:pPr>
      <w:r w:rsidRPr="00777297">
        <w:rPr>
          <w:rFonts w:ascii="Palatino Linotype" w:eastAsia="Palatino Linotype" w:hAnsi="Palatino Linotype" w:cs="Palatino Linotype"/>
          <w:i/>
        </w:rPr>
        <w:t xml:space="preserve">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(Énfasis añadido) </w:t>
      </w:r>
    </w:p>
    <w:p w14:paraId="3CB09E66" w14:textId="77777777" w:rsidR="0041766F" w:rsidRPr="00777297" w:rsidRDefault="0041766F">
      <w:pPr>
        <w:tabs>
          <w:tab w:val="left" w:pos="4962"/>
        </w:tabs>
        <w:spacing w:after="0" w:line="360" w:lineRule="auto"/>
        <w:ind w:right="-3"/>
        <w:jc w:val="both"/>
        <w:rPr>
          <w:rFonts w:ascii="Palatino Linotype" w:eastAsia="Palatino Linotype" w:hAnsi="Palatino Linotype" w:cs="Palatino Linotype"/>
        </w:rPr>
      </w:pPr>
      <w:bookmarkStart w:id="5" w:name="_heading=h.1fob9te" w:colFirst="0" w:colLast="0"/>
      <w:bookmarkEnd w:id="5"/>
    </w:p>
    <w:bookmarkStart w:id="6" w:name="_heading=h.3znysh7" w:colFirst="0" w:colLast="0"/>
    <w:bookmarkEnd w:id="6"/>
    <w:p w14:paraId="5EB99435" w14:textId="77777777" w:rsidR="0041766F" w:rsidRPr="00777297" w:rsidRDefault="00777297">
      <w:pPr>
        <w:tabs>
          <w:tab w:val="left" w:pos="4962"/>
        </w:tabs>
        <w:spacing w:after="0" w:line="360" w:lineRule="auto"/>
        <w:ind w:right="-3"/>
        <w:jc w:val="both"/>
        <w:rPr>
          <w:rFonts w:ascii="Palatino Linotype" w:eastAsia="Palatino Linotype" w:hAnsi="Palatino Linotype" w:cs="Palatino Linotype"/>
        </w:rPr>
        <w:sectPr w:rsidR="0041766F" w:rsidRPr="00777297">
          <w:headerReference w:type="even" r:id="rId9"/>
          <w:headerReference w:type="default" r:id="rId10"/>
          <w:footerReference w:type="default" r:id="rId11"/>
          <w:pgSz w:w="12240" w:h="15840"/>
          <w:pgMar w:top="1871" w:right="1327" w:bottom="2836" w:left="1985" w:header="709" w:footer="586" w:gutter="0"/>
          <w:pgNumType w:start="1"/>
          <w:cols w:space="720"/>
        </w:sectPr>
      </w:pPr>
      <w:r w:rsidRPr="00777297">
        <w:rPr>
          <w:rFonts w:ascii="Palatino Linotype" w:hAnsi="Palatino Linotype"/>
          <w:noProof/>
          <w:lang w:val="es-MX"/>
        </w:rPr>
        <mc:AlternateContent>
          <mc:Choice Requires="wps">
            <w:drawing>
              <wp:anchor distT="0" distB="0" distL="114300" distR="114300" simplePos="0" relativeHeight="251658240" behindDoc="0" locked="0" layoutInCell="1" hidden="0" allowOverlap="1" wp14:anchorId="56F58F2A" wp14:editId="25821EB1">
                <wp:simplePos x="0" y="0"/>
                <wp:positionH relativeFrom="column">
                  <wp:posOffset>50341</wp:posOffset>
                </wp:positionH>
                <wp:positionV relativeFrom="paragraph">
                  <wp:posOffset>190567</wp:posOffset>
                </wp:positionV>
                <wp:extent cx="5245100" cy="1495810"/>
                <wp:effectExtent l="0" t="0" r="31750" b="28575"/>
                <wp:wrapNone/>
                <wp:docPr id="6" name="Conector recto de flecha 6"/>
                <wp:cNvGraphicFramePr/>
                <a:graphic xmlns:a="http://schemas.openxmlformats.org/drawingml/2006/main">
                  <a:graphicData uri="http://schemas.microsoft.com/office/word/2010/wordprocessingShape">
                    <wps:wsp>
                      <wps:cNvCnPr/>
                      <wps:spPr>
                        <a:xfrm>
                          <a:off x="0" y="0"/>
                          <a:ext cx="5245100" cy="149581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EF31BC7" id="_x0000_t32" coordsize="21600,21600" o:spt="32" o:oned="t" path="m,l21600,21600e" filled="f">
                <v:path arrowok="t" fillok="f" o:connecttype="none"/>
                <o:lock v:ext="edit" shapetype="t"/>
              </v:shapetype>
              <v:shape id="Conector recto de flecha 6" o:spid="_x0000_s1026" type="#_x0000_t32" style="position:absolute;margin-left:3.95pt;margin-top:15pt;width:413pt;height:1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" strokecolor="black [3200]" strokeweight="2pt">
                <v:stroke startarrowwidth="narrow" startarrowlength="short" endarrowwidth="narrow" endarrowlength="short"/>
              </v:shape>
            </w:pict>
          </mc:Fallback>
        </mc:AlternateContent>
      </w:r>
      <w:r w:rsidR="008C34EA" w:rsidRPr="00777297">
        <w:rPr>
          <w:rFonts w:ascii="Palatino Linotype" w:eastAsia="Palatino Linotype" w:hAnsi="Palatino Linotype" w:cs="Palatino Linotype"/>
        </w:rPr>
        <w:t>Por las razones antes expuestas, se emite el presente Voto Particular.</w:t>
      </w:r>
    </w:p>
    <w:p w14:paraId="10779757" w14:textId="77777777" w:rsidR="0041766F" w:rsidRPr="00777297" w:rsidRDefault="0041766F">
      <w:pPr>
        <w:spacing w:before="240" w:after="240" w:line="360" w:lineRule="auto"/>
        <w:ind w:right="423"/>
        <w:jc w:val="both"/>
        <w:rPr>
          <w:rFonts w:ascii="Palatino Linotype" w:eastAsia="Palatino Linotype" w:hAnsi="Palatino Linotype" w:cs="Palatino Linotype"/>
        </w:rPr>
      </w:pPr>
    </w:p>
    <w:sectPr w:rsidR="0041766F" w:rsidRPr="00777297">
      <w:headerReference w:type="default" r:id="rId12"/>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6BFD1" w14:textId="77777777" w:rsidR="00033636" w:rsidRDefault="00033636">
      <w:pPr>
        <w:spacing w:after="0" w:line="240" w:lineRule="auto"/>
      </w:pPr>
      <w:r>
        <w:separator/>
      </w:r>
    </w:p>
  </w:endnote>
  <w:endnote w:type="continuationSeparator" w:id="0">
    <w:p w14:paraId="22EF51AF" w14:textId="77777777" w:rsidR="00033636" w:rsidRDefault="0003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D3BB4" w14:textId="77777777" w:rsidR="0041766F" w:rsidRDefault="008C34E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77297">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77297">
      <w:rPr>
        <w:rFonts w:ascii="Arial" w:eastAsia="Arial" w:hAnsi="Arial" w:cs="Arial"/>
        <w:b/>
        <w:noProof/>
        <w:color w:val="000000"/>
        <w:sz w:val="20"/>
        <w:szCs w:val="20"/>
      </w:rPr>
      <w:t>11</w:t>
    </w:r>
    <w:r>
      <w:rPr>
        <w:rFonts w:ascii="Arial" w:eastAsia="Arial" w:hAnsi="Arial" w:cs="Arial"/>
        <w:b/>
        <w:color w:val="000000"/>
        <w:sz w:val="20"/>
        <w:szCs w:val="20"/>
      </w:rPr>
      <w:fldChar w:fldCharType="end"/>
    </w:r>
  </w:p>
  <w:p w14:paraId="6D4835A4" w14:textId="77777777" w:rsidR="0041766F" w:rsidRDefault="0041766F">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23296" w14:textId="77777777" w:rsidR="00033636" w:rsidRDefault="00033636">
      <w:pPr>
        <w:spacing w:after="0" w:line="240" w:lineRule="auto"/>
      </w:pPr>
      <w:r>
        <w:separator/>
      </w:r>
    </w:p>
  </w:footnote>
  <w:footnote w:type="continuationSeparator" w:id="0">
    <w:p w14:paraId="3878FE9F" w14:textId="77777777" w:rsidR="00033636" w:rsidRDefault="00033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3ACB" w14:textId="77777777" w:rsidR="0041766F" w:rsidRDefault="008C34E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g">
          <w:drawing>
            <wp:anchor distT="0" distB="0" distL="0" distR="0" simplePos="0" relativeHeight="251659264" behindDoc="1" locked="0" layoutInCell="1" hidden="0" allowOverlap="1" wp14:anchorId="4513E5CE" wp14:editId="2763DD8A">
              <wp:simplePos x="0" y="0"/>
              <wp:positionH relativeFrom="margin">
                <wp:align>center</wp:align>
              </wp:positionH>
              <wp:positionV relativeFrom="margin">
                <wp:align>center</wp:align>
              </wp:positionV>
              <wp:extent cx="21305332" cy="21305332"/>
              <wp:effectExtent l="0" t="0" r="0" b="0"/>
              <wp:wrapNone/>
              <wp:docPr id="7" name="Rectángulo 7"/>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14:paraId="48FC3321" w14:textId="77777777" w:rsidR="0041766F" w:rsidRDefault="008C34EA">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1305332" cy="21305332"/>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1305332" cy="21305332"/>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2F7C7" w14:textId="77777777" w:rsidR="0041766F" w:rsidRDefault="008C34E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3D36B879" wp14:editId="774FBC6A">
          <wp:simplePos x="0" y="0"/>
          <wp:positionH relativeFrom="column">
            <wp:posOffset>-695323</wp:posOffset>
          </wp:positionH>
          <wp:positionV relativeFrom="paragraph">
            <wp:posOffset>-433067</wp:posOffset>
          </wp:positionV>
          <wp:extent cx="7510628" cy="988377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06C848A4" w14:textId="77777777" w:rsidR="0041766F" w:rsidRDefault="004176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4C9769A9" w14:textId="77777777" w:rsidR="0041766F" w:rsidRDefault="004176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67BD4711" w14:textId="77777777" w:rsidR="0041766F" w:rsidRDefault="008C34E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635C4CBD" w14:textId="77777777" w:rsidR="0041766F" w:rsidRDefault="008C34E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 xml:space="preserve">   RECURSOS DE REVISIÓN 07511/INFOEM/IP/RR/202</w:t>
    </w:r>
    <w:r>
      <w:rPr>
        <w:rFonts w:ascii="Palatino Linotype" w:eastAsia="Palatino Linotype" w:hAnsi="Palatino Linotype" w:cs="Palatino Linotype"/>
        <w:b/>
        <w:sz w:val="20"/>
        <w:szCs w:val="20"/>
      </w:rPr>
      <w:t>3</w:t>
    </w:r>
  </w:p>
  <w:p w14:paraId="66F8C846" w14:textId="77777777" w:rsidR="0041766F" w:rsidRDefault="0041766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59EB8" w14:textId="77777777" w:rsidR="0041766F" w:rsidRDefault="004176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1CE6BC6E" w14:textId="77777777" w:rsidR="0041766F" w:rsidRDefault="004176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5AD79BA8" w14:textId="77777777" w:rsidR="0041766F" w:rsidRDefault="004176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1C7B51C0" w14:textId="77777777" w:rsidR="0041766F" w:rsidRDefault="0041766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A0A1E"/>
    <w:multiLevelType w:val="multilevel"/>
    <w:tmpl w:val="A5BA4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162D89"/>
    <w:multiLevelType w:val="multilevel"/>
    <w:tmpl w:val="42762F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035390"/>
    <w:multiLevelType w:val="multilevel"/>
    <w:tmpl w:val="13841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9F4984"/>
    <w:multiLevelType w:val="multilevel"/>
    <w:tmpl w:val="FF228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6F"/>
    <w:rsid w:val="00033636"/>
    <w:rsid w:val="002D090F"/>
    <w:rsid w:val="0041766F"/>
    <w:rsid w:val="00777297"/>
    <w:rsid w:val="008C3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EE75"/>
  <w15:docId w15:val="{A9504AF0-CF2B-4C34-B0C3-CFDBD039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862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0AB"/>
  </w:style>
  <w:style w:type="paragraph" w:styleId="Encabezado">
    <w:name w:val="header"/>
    <w:basedOn w:val="Normal"/>
    <w:link w:val="EncabezadoCar"/>
    <w:uiPriority w:val="99"/>
    <w:unhideWhenUsed/>
    <w:rsid w:val="00862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0A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620AB"/>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620AB"/>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pomex.org.mx/recursos/ipo/files_ipo/2014/8/11/630bc7787b59af912a96a9e1bca1c77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uhyfG4WtU1OUP/BjyiBnpR9J6g==">CgMxLjAyDmguNHMycWFwZmo2cWozMghoLmdqZGd4czIJaC4zMGowemxsMgloLjJldDkycDAyCWguMWZvYjl0ZTIJaC4zem55c2g3OAByITFyWkxTRnlMdWVYUWw0RWdaMkx1NkdsNXRKUnJNTWNPdw==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3080</Words>
  <Characters>16942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cp:lastPrinted>2024-02-06T17:34:00Z</cp:lastPrinted>
  <dcterms:created xsi:type="dcterms:W3CDTF">2024-02-16T17:44:00Z</dcterms:created>
  <dcterms:modified xsi:type="dcterms:W3CDTF">2024-02-16T17:44:00Z</dcterms:modified>
</cp:coreProperties>
</file>