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C10B" w14:textId="77777777" w:rsidR="004A246E" w:rsidRDefault="004A246E" w:rsidP="005527AD">
      <w:pPr>
        <w:spacing w:after="0" w:line="360" w:lineRule="auto"/>
        <w:ind w:right="49"/>
        <w:jc w:val="both"/>
        <w:rPr>
          <w:rFonts w:ascii="Palatino Linotype" w:hAnsi="Palatino Linotype" w:cs="Tahoma"/>
          <w:b/>
        </w:rPr>
      </w:pPr>
    </w:p>
    <w:p w14:paraId="2A8BB99B" w14:textId="18151503" w:rsidR="00321F12" w:rsidRPr="00F51AA9" w:rsidRDefault="005527AD" w:rsidP="005527AD">
      <w:pPr>
        <w:spacing w:after="0" w:line="360" w:lineRule="auto"/>
        <w:ind w:right="49"/>
        <w:jc w:val="both"/>
        <w:rPr>
          <w:rFonts w:ascii="Palatino Linotype" w:hAnsi="Palatino Linotype" w:cs="Tahoma"/>
          <w:b/>
        </w:rPr>
      </w:pPr>
      <w:r w:rsidRPr="00F51AA9">
        <w:rPr>
          <w:rFonts w:ascii="Palatino Linotype" w:hAnsi="Palatino Linotype" w:cs="Tahoma"/>
          <w:b/>
        </w:rPr>
        <w:t xml:space="preserve">VOTO </w:t>
      </w:r>
      <w:r w:rsidR="00C12762" w:rsidRPr="00F51AA9">
        <w:rPr>
          <w:rFonts w:ascii="Palatino Linotype" w:hAnsi="Palatino Linotype" w:cs="Tahoma"/>
          <w:b/>
        </w:rPr>
        <w:t>DISIDENTE</w:t>
      </w:r>
      <w:r w:rsidRPr="00F51AA9">
        <w:rPr>
          <w:rFonts w:ascii="Palatino Linotype" w:hAnsi="Palatino Linotype" w:cs="Tahoma"/>
          <w:b/>
        </w:rPr>
        <w:t xml:space="preserve"> QUE FORMULA EL COMISIONADO LUIS GUSTAVO PARRA NORIEGA, A LA RESO</w:t>
      </w:r>
      <w:r w:rsidR="00201767" w:rsidRPr="00F51AA9">
        <w:rPr>
          <w:rFonts w:ascii="Palatino Linotype" w:hAnsi="Palatino Linotype" w:cs="Tahoma"/>
          <w:b/>
        </w:rPr>
        <w:t>L</w:t>
      </w:r>
      <w:r w:rsidRPr="00F51AA9">
        <w:rPr>
          <w:rFonts w:ascii="Palatino Linotype" w:hAnsi="Palatino Linotype" w:cs="Tahoma"/>
          <w:b/>
        </w:rPr>
        <w:t xml:space="preserve">UCIÓN DEL RECURSO DE REVISIÓN </w:t>
      </w:r>
      <w:r w:rsidR="00201767" w:rsidRPr="00F51AA9">
        <w:rPr>
          <w:rFonts w:ascii="Palatino Linotype" w:hAnsi="Palatino Linotype" w:cs="Arial"/>
          <w:b/>
          <w:lang w:val="es-MX"/>
        </w:rPr>
        <w:t>0</w:t>
      </w:r>
      <w:r w:rsidR="00C76A76" w:rsidRPr="00F51AA9">
        <w:rPr>
          <w:rFonts w:ascii="Palatino Linotype" w:hAnsi="Palatino Linotype" w:cs="Arial"/>
          <w:b/>
          <w:lang w:val="es-MX"/>
        </w:rPr>
        <w:t>7864</w:t>
      </w:r>
      <w:r w:rsidRPr="00F51AA9">
        <w:rPr>
          <w:rFonts w:ascii="Palatino Linotype" w:hAnsi="Palatino Linotype" w:cs="Arial"/>
          <w:b/>
          <w:lang w:val="es-MX"/>
        </w:rPr>
        <w:t>/INFOEM/IP/RR/202</w:t>
      </w:r>
      <w:r w:rsidR="00201767" w:rsidRPr="00F51AA9">
        <w:rPr>
          <w:rFonts w:ascii="Palatino Linotype" w:hAnsi="Palatino Linotype" w:cs="Arial"/>
          <w:b/>
          <w:lang w:val="es-MX"/>
        </w:rPr>
        <w:t>3</w:t>
      </w:r>
      <w:r w:rsidRPr="00F51AA9">
        <w:rPr>
          <w:rFonts w:ascii="Palatino Linotype" w:hAnsi="Palatino Linotype" w:cs="Tahoma"/>
          <w:b/>
        </w:rPr>
        <w:t xml:space="preserve">, PROMOVIDO EN CONTRA DEL </w:t>
      </w:r>
      <w:r w:rsidR="00C76A76" w:rsidRPr="00F51AA9">
        <w:rPr>
          <w:rFonts w:ascii="Palatino Linotype" w:hAnsi="Palatino Linotype" w:cs="Tahoma"/>
          <w:b/>
        </w:rPr>
        <w:t>SISTEMA MUNICIPAL PARA EL DESARROLLO INTEGRAL DE LA FAMILIA DE TOLUCA.</w:t>
      </w:r>
    </w:p>
    <w:p w14:paraId="5656D5D8" w14:textId="77777777" w:rsidR="005527AD" w:rsidRPr="00F51AA9" w:rsidRDefault="005527AD" w:rsidP="005527AD">
      <w:pPr>
        <w:spacing w:after="0" w:line="360" w:lineRule="auto"/>
        <w:ind w:right="49"/>
        <w:jc w:val="both"/>
        <w:rPr>
          <w:rFonts w:ascii="Palatino Linotype" w:hAnsi="Palatino Linotype" w:cs="Tahoma"/>
        </w:rPr>
      </w:pPr>
    </w:p>
    <w:p w14:paraId="5C56B58E" w14:textId="645FFAA9" w:rsidR="005527AD" w:rsidRPr="00F51AA9" w:rsidRDefault="005527AD" w:rsidP="005527AD">
      <w:pPr>
        <w:spacing w:after="0" w:line="360" w:lineRule="auto"/>
        <w:ind w:right="49"/>
        <w:jc w:val="both"/>
        <w:rPr>
          <w:rFonts w:ascii="Palatino Linotype" w:hAnsi="Palatino Linotype" w:cs="Tahoma"/>
          <w:b/>
        </w:rPr>
      </w:pPr>
      <w:r w:rsidRPr="00F51AA9">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F51AA9">
        <w:rPr>
          <w:rFonts w:ascii="Palatino Linotype" w:hAnsi="Palatino Linotype" w:cs="Tahoma"/>
          <w:b/>
        </w:rPr>
        <w:t xml:space="preserve">Voto </w:t>
      </w:r>
      <w:r w:rsidR="00F94829" w:rsidRPr="00F51AA9">
        <w:rPr>
          <w:rFonts w:ascii="Palatino Linotype" w:hAnsi="Palatino Linotype" w:cs="Tahoma"/>
          <w:b/>
        </w:rPr>
        <w:t>Disidente</w:t>
      </w:r>
      <w:r w:rsidRPr="00F51AA9">
        <w:rPr>
          <w:rFonts w:ascii="Palatino Linotype" w:hAnsi="Palatino Linotype" w:cs="Tahoma"/>
        </w:rPr>
        <w:t xml:space="preserve"> por no compartir las consideraciones que sustentan la Resolución del Recurso de Revisión </w:t>
      </w:r>
      <w:r w:rsidR="00201767" w:rsidRPr="00F51AA9">
        <w:rPr>
          <w:rFonts w:ascii="Palatino Linotype" w:hAnsi="Palatino Linotype" w:cs="Arial"/>
          <w:b/>
          <w:lang w:val="es-MX"/>
        </w:rPr>
        <w:t>0</w:t>
      </w:r>
      <w:r w:rsidR="00C76A76" w:rsidRPr="00F51AA9">
        <w:rPr>
          <w:rFonts w:ascii="Palatino Linotype" w:hAnsi="Palatino Linotype" w:cs="Arial"/>
          <w:b/>
          <w:lang w:val="es-MX"/>
        </w:rPr>
        <w:t>7864</w:t>
      </w:r>
      <w:r w:rsidRPr="00F51AA9">
        <w:rPr>
          <w:rFonts w:ascii="Palatino Linotype" w:hAnsi="Palatino Linotype" w:cs="Arial"/>
          <w:b/>
          <w:lang w:val="es-MX"/>
        </w:rPr>
        <w:t>/INFOEM/IP/RR/202</w:t>
      </w:r>
      <w:r w:rsidR="00201767" w:rsidRPr="00F51AA9">
        <w:rPr>
          <w:rFonts w:ascii="Palatino Linotype" w:hAnsi="Palatino Linotype" w:cs="Arial"/>
          <w:b/>
          <w:lang w:val="es-MX"/>
        </w:rPr>
        <w:t>3</w:t>
      </w:r>
      <w:r w:rsidRPr="00F51AA9">
        <w:rPr>
          <w:rFonts w:ascii="Palatino Linotype" w:hAnsi="Palatino Linotype" w:cs="Tahoma"/>
          <w:b/>
          <w:lang w:val="es-ES_tradnl"/>
        </w:rPr>
        <w:t>.</w:t>
      </w:r>
    </w:p>
    <w:p w14:paraId="057FEC9E" w14:textId="77777777" w:rsidR="005527AD" w:rsidRPr="00F51AA9" w:rsidRDefault="005527AD" w:rsidP="005527AD">
      <w:pPr>
        <w:spacing w:after="0" w:line="360" w:lineRule="auto"/>
        <w:ind w:right="49"/>
        <w:jc w:val="both"/>
        <w:rPr>
          <w:rFonts w:ascii="Palatino Linotype" w:hAnsi="Palatino Linotype" w:cs="Tahoma"/>
        </w:rPr>
      </w:pPr>
    </w:p>
    <w:p w14:paraId="7F6FC55B" w14:textId="77BDB40A" w:rsidR="00EE4EBB" w:rsidRPr="00F51AA9" w:rsidRDefault="005527AD" w:rsidP="0003027D">
      <w:pPr>
        <w:spacing w:after="0" w:line="360" w:lineRule="auto"/>
        <w:jc w:val="both"/>
        <w:rPr>
          <w:rFonts w:ascii="Palatino Linotype" w:hAnsi="Palatino Linotype" w:cs="Tahoma"/>
        </w:rPr>
      </w:pPr>
      <w:r w:rsidRPr="00F51AA9">
        <w:rPr>
          <w:rFonts w:ascii="Palatino Linotype" w:hAnsi="Palatino Linotype" w:cs="Tahoma"/>
        </w:rPr>
        <w:t xml:space="preserve">Como se desprende de la Resolución en comento, el Particular solicitó </w:t>
      </w:r>
      <w:r w:rsidR="00587658" w:rsidRPr="00F51AA9">
        <w:rPr>
          <w:rFonts w:ascii="Palatino Linotype" w:hAnsi="Palatino Linotype" w:cs="Tahoma"/>
        </w:rPr>
        <w:t>el Reglamento Interno del Sistema Municipal para el Desarrollo Integral de la Familia de Toluca</w:t>
      </w:r>
      <w:r w:rsidR="004A246E" w:rsidRPr="00F51AA9">
        <w:rPr>
          <w:rFonts w:ascii="Palatino Linotype" w:hAnsi="Palatino Linotype" w:cs="Tahoma"/>
        </w:rPr>
        <w:t>,</w:t>
      </w:r>
      <w:r w:rsidR="00972F7C" w:rsidRPr="00F51AA9">
        <w:rPr>
          <w:rFonts w:ascii="Palatino Linotype" w:hAnsi="Palatino Linotype" w:cs="Tahoma"/>
        </w:rPr>
        <w:t xml:space="preserve"> traducido al Sistema Braille</w:t>
      </w:r>
      <w:r w:rsidR="004A246E" w:rsidRPr="00F51AA9">
        <w:rPr>
          <w:rFonts w:ascii="Palatino Linotype" w:hAnsi="Palatino Linotype" w:cs="Tahoma"/>
          <w:lang w:val="es-ES_tradnl"/>
        </w:rPr>
        <w:t>.</w:t>
      </w:r>
      <w:r w:rsidR="007771A1" w:rsidRPr="00F51AA9">
        <w:rPr>
          <w:rFonts w:ascii="Palatino Linotype" w:hAnsi="Palatino Linotype" w:cs="Tahoma"/>
          <w:lang w:val="es-ES_tradnl"/>
        </w:rPr>
        <w:t xml:space="preserve"> </w:t>
      </w:r>
      <w:r w:rsidR="004A246E" w:rsidRPr="00F51AA9">
        <w:rPr>
          <w:rFonts w:ascii="Palatino Linotype" w:hAnsi="Palatino Linotype" w:cs="Tahoma"/>
          <w:lang w:val="es-ES_tradnl"/>
        </w:rPr>
        <w:t>P</w:t>
      </w:r>
      <w:r w:rsidR="005513AA" w:rsidRPr="00F51AA9">
        <w:rPr>
          <w:rFonts w:ascii="Palatino Linotype" w:eastAsiaTheme="minorEastAsia" w:hAnsi="Palatino Linotype" w:cs="Arial"/>
          <w:color w:val="000000" w:themeColor="text1"/>
          <w:szCs w:val="20"/>
          <w:lang w:val="es-ES_tradnl"/>
        </w:rPr>
        <w:t xml:space="preserve">ara dar atención a la </w:t>
      </w:r>
      <w:r w:rsidR="004A246E" w:rsidRPr="00F51AA9">
        <w:rPr>
          <w:rFonts w:ascii="Palatino Linotype" w:eastAsiaTheme="minorEastAsia" w:hAnsi="Palatino Linotype" w:cs="Arial"/>
          <w:color w:val="000000" w:themeColor="text1"/>
          <w:szCs w:val="20"/>
          <w:lang w:val="es-ES_tradnl"/>
        </w:rPr>
        <w:t>s</w:t>
      </w:r>
      <w:r w:rsidR="005513AA" w:rsidRPr="00F51AA9">
        <w:rPr>
          <w:rFonts w:ascii="Palatino Linotype" w:eastAsiaTheme="minorEastAsia" w:hAnsi="Palatino Linotype" w:cs="Arial"/>
          <w:color w:val="000000" w:themeColor="text1"/>
          <w:szCs w:val="20"/>
          <w:lang w:val="es-ES_tradnl"/>
        </w:rPr>
        <w:t xml:space="preserve">olicitud, </w:t>
      </w:r>
      <w:r w:rsidR="00972F7C" w:rsidRPr="00F51AA9">
        <w:rPr>
          <w:rFonts w:ascii="Palatino Linotype" w:eastAsiaTheme="minorEastAsia" w:hAnsi="Palatino Linotype" w:cs="Arial"/>
          <w:color w:val="000000" w:themeColor="text1"/>
          <w:szCs w:val="20"/>
          <w:lang w:val="es-ES_tradnl"/>
        </w:rPr>
        <w:t xml:space="preserve">el </w:t>
      </w:r>
      <w:r w:rsidR="00587658" w:rsidRPr="00F51AA9">
        <w:rPr>
          <w:rFonts w:ascii="Palatino Linotype" w:eastAsiaTheme="minorEastAsia" w:hAnsi="Palatino Linotype" w:cs="Arial"/>
          <w:color w:val="000000" w:themeColor="text1"/>
          <w:szCs w:val="20"/>
          <w:lang w:val="es-ES_tradnl"/>
        </w:rPr>
        <w:t>Titular de la Unida de Transparencia señal</w:t>
      </w:r>
      <w:r w:rsidR="004A246E" w:rsidRPr="00F51AA9">
        <w:rPr>
          <w:rFonts w:ascii="Palatino Linotype" w:eastAsiaTheme="minorEastAsia" w:hAnsi="Palatino Linotype" w:cs="Arial"/>
          <w:color w:val="000000" w:themeColor="text1"/>
          <w:szCs w:val="20"/>
          <w:lang w:val="es-ES_tradnl"/>
        </w:rPr>
        <w:t>ó</w:t>
      </w:r>
      <w:r w:rsidR="00587658" w:rsidRPr="00F51AA9">
        <w:rPr>
          <w:rFonts w:ascii="Palatino Linotype" w:eastAsiaTheme="minorEastAsia" w:hAnsi="Palatino Linotype" w:cs="Arial"/>
          <w:color w:val="000000" w:themeColor="text1"/>
          <w:szCs w:val="20"/>
          <w:lang w:val="es-ES_tradnl"/>
        </w:rPr>
        <w:t xml:space="preserve"> que no se localizó el Reglamento Interno </w:t>
      </w:r>
      <w:r w:rsidR="00587658" w:rsidRPr="00F51AA9">
        <w:rPr>
          <w:rFonts w:ascii="Palatino Linotype" w:hAnsi="Palatino Linotype" w:cs="Tahoma"/>
        </w:rPr>
        <w:t>del Sistema Municipal para el Desarrollo Integral de la Familia de Toluca en Sistema Braille, además de que, no existe normatividad jurídica que precise la obligación de generar documentos administrativos en Sistema Braille, motivo por el cual no cuenta con herramientas tecnológicas que permitan la elaboración o traducción de documentos en Sistema Braille</w:t>
      </w:r>
      <w:r w:rsidR="004A246E" w:rsidRPr="00F51AA9">
        <w:rPr>
          <w:rFonts w:ascii="Palatino Linotype" w:hAnsi="Palatino Linotype" w:cs="Tahoma"/>
        </w:rPr>
        <w:t>.</w:t>
      </w:r>
      <w:r w:rsidR="0003027D" w:rsidRPr="00F51AA9">
        <w:rPr>
          <w:rFonts w:ascii="Palatino Linotype" w:hAnsi="Palatino Linotype" w:cs="Tahoma"/>
        </w:rPr>
        <w:t xml:space="preserve"> </w:t>
      </w:r>
      <w:r w:rsidR="004A246E" w:rsidRPr="00F51AA9">
        <w:rPr>
          <w:rFonts w:ascii="Palatino Linotype" w:hAnsi="Palatino Linotype" w:cs="Tahoma"/>
        </w:rPr>
        <w:t>E</w:t>
      </w:r>
      <w:r w:rsidR="0003027D" w:rsidRPr="00F51AA9">
        <w:rPr>
          <w:rFonts w:ascii="Palatino Linotype" w:hAnsi="Palatino Linotype" w:cs="Tahoma"/>
        </w:rPr>
        <w:t>l Particular, por su parte, se inconformó de que no le entregaron el Reglamento Interno</w:t>
      </w:r>
      <w:r w:rsidR="004A740C" w:rsidRPr="00F51AA9">
        <w:rPr>
          <w:rFonts w:ascii="Palatino Linotype" w:hAnsi="Palatino Linotype" w:cs="Tahoma"/>
        </w:rPr>
        <w:t xml:space="preserve"> en Sistema Braille,</w:t>
      </w:r>
      <w:r w:rsidR="0003027D" w:rsidRPr="00F51AA9">
        <w:rPr>
          <w:rFonts w:ascii="Palatino Linotype" w:hAnsi="Palatino Linotype" w:cs="Tahoma"/>
        </w:rPr>
        <w:t xml:space="preserve"> </w:t>
      </w:r>
      <w:r w:rsidR="004A246E" w:rsidRPr="00F51AA9">
        <w:rPr>
          <w:rFonts w:ascii="Palatino Linotype" w:hAnsi="Palatino Linotype" w:cs="Tahoma"/>
        </w:rPr>
        <w:t xml:space="preserve">bajo el </w:t>
      </w:r>
      <w:r w:rsidR="0003027D" w:rsidRPr="00F51AA9">
        <w:rPr>
          <w:rFonts w:ascii="Palatino Linotype" w:hAnsi="Palatino Linotype" w:cs="Tahoma"/>
        </w:rPr>
        <w:t xml:space="preserve">argumento </w:t>
      </w:r>
      <w:r w:rsidR="004A246E" w:rsidRPr="00F51AA9">
        <w:rPr>
          <w:rFonts w:ascii="Palatino Linotype" w:hAnsi="Palatino Linotype" w:cs="Tahoma"/>
        </w:rPr>
        <w:t xml:space="preserve">de </w:t>
      </w:r>
      <w:r w:rsidR="0003027D" w:rsidRPr="00F51AA9">
        <w:rPr>
          <w:rFonts w:ascii="Palatino Linotype" w:hAnsi="Palatino Linotype" w:cs="Tahoma"/>
        </w:rPr>
        <w:t xml:space="preserve">que </w:t>
      </w:r>
      <w:r w:rsidR="0003027D" w:rsidRPr="00F51AA9">
        <w:rPr>
          <w:rFonts w:ascii="Palatino Linotype" w:hAnsi="Palatino Linotype" w:cs="Tahoma"/>
        </w:rPr>
        <w:lastRenderedPageBreak/>
        <w:t xml:space="preserve">contaban con personal capacitado para la traducción, pues el </w:t>
      </w:r>
      <w:r w:rsidR="004A246E" w:rsidRPr="00F51AA9">
        <w:rPr>
          <w:rFonts w:ascii="Palatino Linotype" w:hAnsi="Palatino Linotype" w:cs="Tahoma"/>
        </w:rPr>
        <w:t>DIF</w:t>
      </w:r>
      <w:r w:rsidR="0003027D" w:rsidRPr="00F51AA9">
        <w:rPr>
          <w:rFonts w:ascii="Palatino Linotype" w:hAnsi="Palatino Linotype" w:cs="Tahoma"/>
        </w:rPr>
        <w:t xml:space="preserve"> ofrece clases para e</w:t>
      </w:r>
      <w:r w:rsidR="004A740C" w:rsidRPr="00F51AA9">
        <w:rPr>
          <w:rFonts w:ascii="Palatino Linotype" w:hAnsi="Palatino Linotype" w:cs="Tahoma"/>
        </w:rPr>
        <w:t>nseñar el</w:t>
      </w:r>
      <w:r w:rsidR="0003027D" w:rsidRPr="00F51AA9">
        <w:rPr>
          <w:rFonts w:ascii="Palatino Linotype" w:hAnsi="Palatino Linotype" w:cs="Tahoma"/>
        </w:rPr>
        <w:t xml:space="preserve"> Sistema Braille</w:t>
      </w:r>
      <w:r w:rsidR="00532FDE" w:rsidRPr="00F51AA9">
        <w:rPr>
          <w:rFonts w:ascii="Palatino Linotype" w:eastAsiaTheme="minorEastAsia" w:hAnsi="Palatino Linotype" w:cs="Arial"/>
          <w:color w:val="000000" w:themeColor="text1"/>
          <w:szCs w:val="20"/>
          <w:lang w:val="es-ES_tradnl"/>
        </w:rPr>
        <w:t xml:space="preserve">, no obstante, en Informe Justificado, </w:t>
      </w:r>
      <w:r w:rsidR="0003027D" w:rsidRPr="00F51AA9">
        <w:rPr>
          <w:rFonts w:ascii="Palatino Linotype" w:eastAsiaTheme="minorEastAsia" w:hAnsi="Palatino Linotype" w:cs="Arial"/>
          <w:color w:val="000000" w:themeColor="text1"/>
          <w:szCs w:val="20"/>
          <w:lang w:val="es-ES_tradnl"/>
        </w:rPr>
        <w:t>el Sujeto Obligado ratificó su respuesta inicial</w:t>
      </w:r>
      <w:r w:rsidR="004A246E" w:rsidRPr="00F51AA9">
        <w:rPr>
          <w:rFonts w:ascii="Palatino Linotype" w:eastAsiaTheme="minorEastAsia" w:hAnsi="Palatino Linotype" w:cs="Arial"/>
          <w:color w:val="000000" w:themeColor="text1"/>
          <w:szCs w:val="20"/>
          <w:lang w:val="es-ES_tradnl"/>
        </w:rPr>
        <w:t xml:space="preserve"> y</w:t>
      </w:r>
      <w:r w:rsidR="0003027D" w:rsidRPr="00F51AA9">
        <w:rPr>
          <w:rFonts w:ascii="Palatino Linotype" w:eastAsiaTheme="minorEastAsia" w:hAnsi="Palatino Linotype" w:cs="Arial"/>
          <w:color w:val="000000" w:themeColor="text1"/>
          <w:szCs w:val="20"/>
          <w:lang w:val="es-ES_tradnl"/>
        </w:rPr>
        <w:t xml:space="preserve"> precis</w:t>
      </w:r>
      <w:r w:rsidR="004A246E" w:rsidRPr="00F51AA9">
        <w:rPr>
          <w:rFonts w:ascii="Palatino Linotype" w:eastAsiaTheme="minorEastAsia" w:hAnsi="Palatino Linotype" w:cs="Arial"/>
          <w:color w:val="000000" w:themeColor="text1"/>
          <w:szCs w:val="20"/>
          <w:lang w:val="es-ES_tradnl"/>
        </w:rPr>
        <w:t>ó</w:t>
      </w:r>
      <w:r w:rsidR="0003027D" w:rsidRPr="00F51AA9">
        <w:rPr>
          <w:rFonts w:ascii="Palatino Linotype" w:eastAsiaTheme="minorEastAsia" w:hAnsi="Palatino Linotype" w:cs="Arial"/>
          <w:color w:val="000000" w:themeColor="text1"/>
          <w:szCs w:val="20"/>
          <w:lang w:val="es-ES_tradnl"/>
        </w:rPr>
        <w:t xml:space="preserve"> que si bien la Dirección de Atención a la Discapacidad </w:t>
      </w:r>
      <w:r w:rsidR="0009082F" w:rsidRPr="00F51AA9">
        <w:rPr>
          <w:rFonts w:ascii="Palatino Linotype" w:eastAsiaTheme="minorEastAsia" w:hAnsi="Palatino Linotype" w:cs="Arial"/>
          <w:color w:val="000000" w:themeColor="text1"/>
          <w:szCs w:val="20"/>
          <w:lang w:val="es-ES_tradnl"/>
        </w:rPr>
        <w:t>ofrece enseñanza para la lectura en Sistema Braille a personas con discapacidad visual, eso no</w:t>
      </w:r>
      <w:r w:rsidR="004A740C" w:rsidRPr="00F51AA9">
        <w:rPr>
          <w:rFonts w:ascii="Palatino Linotype" w:eastAsiaTheme="minorEastAsia" w:hAnsi="Palatino Linotype" w:cs="Arial"/>
          <w:color w:val="000000" w:themeColor="text1"/>
          <w:szCs w:val="20"/>
          <w:lang w:val="es-ES_tradnl"/>
        </w:rPr>
        <w:t xml:space="preserve"> implica</w:t>
      </w:r>
      <w:r w:rsidR="0009082F" w:rsidRPr="00F51AA9">
        <w:rPr>
          <w:rFonts w:ascii="Palatino Linotype" w:eastAsiaTheme="minorEastAsia" w:hAnsi="Palatino Linotype" w:cs="Arial"/>
          <w:color w:val="000000" w:themeColor="text1"/>
          <w:szCs w:val="20"/>
          <w:lang w:val="es-ES_tradnl"/>
        </w:rPr>
        <w:t xml:space="preserve"> una obligación para traducir documentos administrativos internos. </w:t>
      </w:r>
    </w:p>
    <w:p w14:paraId="015B2F98" w14:textId="77777777" w:rsidR="0003027D" w:rsidRPr="00F51AA9" w:rsidRDefault="0003027D" w:rsidP="00587658">
      <w:pPr>
        <w:pStyle w:val="Encabezado"/>
        <w:spacing w:line="360" w:lineRule="auto"/>
        <w:ind w:left="-108"/>
        <w:jc w:val="both"/>
        <w:rPr>
          <w:rFonts w:ascii="Palatino Linotype" w:hAnsi="Palatino Linotype" w:cs="Tahoma"/>
        </w:rPr>
      </w:pPr>
    </w:p>
    <w:p w14:paraId="6B3C0842" w14:textId="77777777" w:rsidR="00E93E99" w:rsidRPr="00F51AA9" w:rsidRDefault="001665FB" w:rsidP="005527AD">
      <w:pPr>
        <w:spacing w:after="0" w:line="360" w:lineRule="auto"/>
        <w:ind w:right="49"/>
        <w:jc w:val="both"/>
        <w:rPr>
          <w:rFonts w:ascii="Palatino Linotype" w:eastAsiaTheme="minorEastAsia" w:hAnsi="Palatino Linotype"/>
          <w:color w:val="000000" w:themeColor="text1"/>
          <w:u w:val="single"/>
          <w:lang w:val="es-ES_tradnl"/>
        </w:rPr>
      </w:pPr>
      <w:r w:rsidRPr="00F51AA9">
        <w:rPr>
          <w:rFonts w:ascii="Palatino Linotype" w:hAnsi="Palatino Linotype" w:cs="Tahoma"/>
          <w:lang w:val="es-ES_tradnl"/>
        </w:rPr>
        <w:t>En ese sentido, la Ponencia Resolutora</w:t>
      </w:r>
      <w:r w:rsidR="005E10F4" w:rsidRPr="00F51AA9">
        <w:rPr>
          <w:rFonts w:ascii="Palatino Linotype" w:hAnsi="Palatino Linotype" w:cs="Tahoma"/>
          <w:lang w:val="es-ES_tradnl"/>
        </w:rPr>
        <w:t xml:space="preserve">, </w:t>
      </w:r>
      <w:r w:rsidR="001D1748" w:rsidRPr="00F51AA9">
        <w:rPr>
          <w:rFonts w:ascii="Palatino Linotype" w:hAnsi="Palatino Linotype" w:cs="Tahoma"/>
          <w:lang w:val="es-ES_tradnl"/>
        </w:rPr>
        <w:t xml:space="preserve">determinó procedente </w:t>
      </w:r>
      <w:r w:rsidR="004D52F4" w:rsidRPr="00F51AA9">
        <w:rPr>
          <w:rFonts w:ascii="Palatino Linotype" w:hAnsi="Palatino Linotype" w:cs="Tahoma"/>
          <w:lang w:val="es-ES_tradnl"/>
        </w:rPr>
        <w:t>Confirmar el Recurso de Revisión, en atención a que “</w:t>
      </w:r>
      <w:r w:rsidR="004D52F4" w:rsidRPr="00F51AA9">
        <w:rPr>
          <w:rFonts w:ascii="Palatino Linotype" w:hAnsi="Palatino Linotype"/>
          <w:i/>
          <w:iCs/>
          <w:color w:val="000000"/>
        </w:rPr>
        <w:t xml:space="preserve">el Sujeto Obligado por conducto de su servidor público habilitado competente ya señaló desde la respuesta que no posee, administra a información requerida por el particular y que además no posee las herramientas para elaborar el documento requerido por la parte Recurrente, </w:t>
      </w:r>
      <w:r w:rsidR="004D52F4" w:rsidRPr="00F51AA9">
        <w:rPr>
          <w:rFonts w:ascii="Palatino Linotype" w:hAnsi="Palatino Linotype"/>
          <w:i/>
          <w:iCs/>
          <w:color w:val="000000" w:themeColor="text1"/>
        </w:rPr>
        <w:t xml:space="preserve">es que se determina que </w:t>
      </w:r>
      <w:r w:rsidR="004D52F4" w:rsidRPr="00F51AA9">
        <w:rPr>
          <w:rFonts w:ascii="Palatino Linotype" w:hAnsi="Palatino Linotype"/>
          <w:i/>
          <w:iCs/>
          <w:color w:val="000000"/>
        </w:rPr>
        <w:t>se colma el requerimiento de información, toda vez que no se localizó fuente obligacional para contar con el documento en el formato requerido por la parte Recurrente</w:t>
      </w:r>
      <w:r w:rsidR="00895844" w:rsidRPr="00F51AA9">
        <w:rPr>
          <w:rFonts w:ascii="Palatino Linotype" w:eastAsiaTheme="minorEastAsia" w:hAnsi="Palatino Linotype" w:cs="Arial"/>
          <w:i/>
          <w:iCs/>
          <w:color w:val="000000" w:themeColor="text1"/>
          <w:szCs w:val="20"/>
          <w:lang w:val="es-ES_tradnl"/>
        </w:rPr>
        <w:t xml:space="preserve">, </w:t>
      </w:r>
      <w:r w:rsidR="00E84F6B" w:rsidRPr="00F51AA9">
        <w:rPr>
          <w:rFonts w:ascii="Palatino Linotype" w:eastAsiaTheme="minorEastAsia" w:hAnsi="Palatino Linotype" w:cs="Arial"/>
          <w:i/>
          <w:iCs/>
          <w:color w:val="000000" w:themeColor="text1"/>
          <w:szCs w:val="20"/>
          <w:lang w:val="es-ES_tradnl"/>
        </w:rPr>
        <w:t>por lo tanto,</w:t>
      </w:r>
      <w:bookmarkStart w:id="0" w:name="_Hlk129942036"/>
      <w:r w:rsidR="00895844" w:rsidRPr="00F51AA9">
        <w:rPr>
          <w:rFonts w:ascii="Palatino Linotype" w:eastAsiaTheme="minorEastAsia" w:hAnsi="Palatino Linotype" w:cs="Arial"/>
          <w:i/>
          <w:iCs/>
          <w:color w:val="000000" w:themeColor="text1"/>
          <w:szCs w:val="20"/>
          <w:lang w:val="es-ES_tradnl"/>
        </w:rPr>
        <w:t xml:space="preserve"> </w:t>
      </w:r>
      <w:r w:rsidR="004D52F4" w:rsidRPr="00F51AA9">
        <w:rPr>
          <w:rFonts w:ascii="Palatino Linotype" w:hAnsi="Palatino Linotype"/>
          <w:i/>
          <w:iCs/>
          <w:color w:val="000000"/>
        </w:rPr>
        <w:t>el Sujeto Obligado sólo proporcionará la información que obra en sus archivos, lo que significa que no se está obligado a proporcionar lo que no obre en sus archivos; por ende, las razones o motivos de inconformidad al respecto devienen infundados</w:t>
      </w:r>
      <w:r w:rsidR="004D52F4" w:rsidRPr="00F51AA9">
        <w:rPr>
          <w:rFonts w:ascii="Palatino Linotype" w:hAnsi="Palatino Linotype"/>
          <w:color w:val="000000"/>
        </w:rPr>
        <w:t xml:space="preserve">”, además, </w:t>
      </w:r>
      <w:r w:rsidR="00895844" w:rsidRPr="00F51AA9">
        <w:rPr>
          <w:rFonts w:ascii="Palatino Linotype" w:eastAsiaTheme="minorEastAsia" w:hAnsi="Palatino Linotype" w:cs="Arial"/>
          <w:color w:val="000000" w:themeColor="text1"/>
          <w:szCs w:val="20"/>
          <w:lang w:val="es-ES_tradnl"/>
        </w:rPr>
        <w:t>la Ponencia Resolutora</w:t>
      </w:r>
      <w:r w:rsidR="00E84F6B" w:rsidRPr="00F51AA9">
        <w:rPr>
          <w:rFonts w:ascii="Palatino Linotype" w:eastAsiaTheme="minorEastAsia" w:hAnsi="Palatino Linotype"/>
          <w:color w:val="000000" w:themeColor="text1"/>
          <w:lang w:val="es-ES_tradnl"/>
        </w:rPr>
        <w:t xml:space="preserve"> </w:t>
      </w:r>
      <w:r w:rsidR="00E84F6B" w:rsidRPr="00F51AA9">
        <w:rPr>
          <w:rFonts w:ascii="Palatino Linotype" w:eastAsiaTheme="minorEastAsia" w:hAnsi="Palatino Linotype"/>
          <w:color w:val="000000" w:themeColor="text1"/>
          <w:u w:val="single"/>
          <w:lang w:val="es-ES_tradnl"/>
        </w:rPr>
        <w:t>no está facultad</w:t>
      </w:r>
      <w:r w:rsidR="00895844" w:rsidRPr="00F51AA9">
        <w:rPr>
          <w:rFonts w:ascii="Palatino Linotype" w:eastAsiaTheme="minorEastAsia" w:hAnsi="Palatino Linotype"/>
          <w:color w:val="000000" w:themeColor="text1"/>
          <w:u w:val="single"/>
          <w:lang w:val="es-ES_tradnl"/>
        </w:rPr>
        <w:t>a</w:t>
      </w:r>
      <w:r w:rsidR="00E84F6B" w:rsidRPr="00F51AA9">
        <w:rPr>
          <w:rFonts w:ascii="Palatino Linotype" w:eastAsiaTheme="minorEastAsia" w:hAnsi="Palatino Linotype"/>
          <w:color w:val="000000" w:themeColor="text1"/>
          <w:u w:val="single"/>
          <w:lang w:val="es-ES_tradnl"/>
        </w:rPr>
        <w:t xml:space="preserve"> para manifestarse sobre la veracidad de la información proporcionada</w:t>
      </w:r>
      <w:bookmarkEnd w:id="0"/>
      <w:r w:rsidR="004D52F4" w:rsidRPr="00F51AA9">
        <w:rPr>
          <w:rFonts w:ascii="Palatino Linotype" w:eastAsiaTheme="minorEastAsia" w:hAnsi="Palatino Linotype"/>
          <w:color w:val="000000" w:themeColor="text1"/>
          <w:u w:val="single"/>
          <w:lang w:val="es-ES_tradnl"/>
        </w:rPr>
        <w:t xml:space="preserve">. </w:t>
      </w:r>
    </w:p>
    <w:p w14:paraId="7BD65546" w14:textId="77777777" w:rsidR="006B5E52" w:rsidRPr="00F51AA9" w:rsidRDefault="006B5E52" w:rsidP="005527AD">
      <w:pPr>
        <w:spacing w:after="0" w:line="360" w:lineRule="auto"/>
        <w:ind w:right="49"/>
        <w:jc w:val="both"/>
        <w:rPr>
          <w:rFonts w:ascii="Palatino Linotype" w:eastAsiaTheme="minorEastAsia" w:hAnsi="Palatino Linotype"/>
          <w:color w:val="000000" w:themeColor="text1"/>
          <w:u w:val="single"/>
          <w:lang w:val="es-ES_tradnl"/>
        </w:rPr>
      </w:pPr>
    </w:p>
    <w:p w14:paraId="10FEC65F" w14:textId="23DD3F4F" w:rsidR="006B5E52" w:rsidRPr="00F51AA9" w:rsidRDefault="006B5E52" w:rsidP="005527AD">
      <w:pPr>
        <w:spacing w:after="0" w:line="360" w:lineRule="auto"/>
        <w:ind w:right="49"/>
        <w:jc w:val="both"/>
        <w:rPr>
          <w:rFonts w:ascii="Palatino Linotype" w:eastAsiaTheme="minorEastAsia" w:hAnsi="Palatino Linotype"/>
          <w:color w:val="000000" w:themeColor="text1"/>
          <w:lang w:val="es-ES_tradnl"/>
        </w:rPr>
      </w:pPr>
      <w:r w:rsidRPr="00F51AA9">
        <w:rPr>
          <w:rFonts w:ascii="Palatino Linotype" w:eastAsiaTheme="minorEastAsia" w:hAnsi="Palatino Linotype"/>
          <w:color w:val="000000" w:themeColor="text1"/>
          <w:lang w:val="es-ES_tradnl"/>
        </w:rPr>
        <w:t xml:space="preserve">Ahora bien, cabe destacar que, </w:t>
      </w:r>
      <w:r w:rsidR="00464094" w:rsidRPr="00F51AA9">
        <w:rPr>
          <w:rFonts w:ascii="Palatino Linotype" w:eastAsiaTheme="minorEastAsia" w:hAnsi="Palatino Linotype"/>
          <w:color w:val="000000" w:themeColor="text1"/>
          <w:lang w:val="es-ES_tradnl"/>
        </w:rPr>
        <w:t>la Ponencia Resolutora invit</w:t>
      </w:r>
      <w:r w:rsidR="008A1D05" w:rsidRPr="00F51AA9">
        <w:rPr>
          <w:rFonts w:ascii="Palatino Linotype" w:eastAsiaTheme="minorEastAsia" w:hAnsi="Palatino Linotype"/>
          <w:color w:val="000000" w:themeColor="text1"/>
          <w:lang w:val="es-ES_tradnl"/>
        </w:rPr>
        <w:t>ó</w:t>
      </w:r>
      <w:r w:rsidR="00464094" w:rsidRPr="00F51AA9">
        <w:rPr>
          <w:rFonts w:ascii="Palatino Linotype" w:eastAsiaTheme="minorEastAsia" w:hAnsi="Palatino Linotype"/>
          <w:color w:val="000000" w:themeColor="text1"/>
          <w:lang w:val="es-ES_tradnl"/>
        </w:rPr>
        <w:t xml:space="preserve"> al Sujeto Obligado</w:t>
      </w:r>
      <w:r w:rsidR="004A246E" w:rsidRPr="00F51AA9">
        <w:rPr>
          <w:rFonts w:ascii="Palatino Linotype" w:eastAsiaTheme="minorEastAsia" w:hAnsi="Palatino Linotype"/>
          <w:color w:val="000000" w:themeColor="text1"/>
          <w:lang w:val="es-ES_tradnl"/>
        </w:rPr>
        <w:t xml:space="preserve">, </w:t>
      </w:r>
      <w:r w:rsidR="00464094" w:rsidRPr="00F51AA9">
        <w:rPr>
          <w:rFonts w:ascii="Palatino Linotype" w:eastAsiaTheme="minorEastAsia" w:hAnsi="Palatino Linotype"/>
          <w:color w:val="000000" w:themeColor="text1"/>
          <w:lang w:val="es-ES_tradnl"/>
        </w:rPr>
        <w:t>como una medida compensatoria</w:t>
      </w:r>
      <w:r w:rsidR="004A246E" w:rsidRPr="00F51AA9">
        <w:rPr>
          <w:rFonts w:ascii="Palatino Linotype" w:eastAsiaTheme="minorEastAsia" w:hAnsi="Palatino Linotype"/>
          <w:color w:val="000000" w:themeColor="text1"/>
          <w:lang w:val="es-ES_tradnl"/>
        </w:rPr>
        <w:t>, a</w:t>
      </w:r>
      <w:r w:rsidR="00464094" w:rsidRPr="00F51AA9">
        <w:rPr>
          <w:rFonts w:ascii="Palatino Linotype" w:eastAsiaTheme="minorEastAsia" w:hAnsi="Palatino Linotype"/>
          <w:color w:val="000000" w:themeColor="text1"/>
          <w:lang w:val="es-ES_tradnl"/>
        </w:rPr>
        <w:t xml:space="preserve"> </w:t>
      </w:r>
      <w:r w:rsidR="00A84607" w:rsidRPr="00F51AA9">
        <w:rPr>
          <w:rFonts w:ascii="Palatino Linotype" w:eastAsiaTheme="minorEastAsia" w:hAnsi="Palatino Linotype"/>
          <w:color w:val="000000" w:themeColor="text1"/>
          <w:lang w:val="es-ES_tradnl"/>
        </w:rPr>
        <w:t>poner la Información Solicitada a disposición del Particular en Audio, tal como se muestra a continuación:</w:t>
      </w:r>
    </w:p>
    <w:p w14:paraId="367ADB5B" w14:textId="77777777" w:rsidR="00464094" w:rsidRPr="00F51AA9" w:rsidRDefault="00464094" w:rsidP="005527AD">
      <w:pPr>
        <w:spacing w:after="0" w:line="360" w:lineRule="auto"/>
        <w:ind w:right="49"/>
        <w:jc w:val="both"/>
        <w:rPr>
          <w:rFonts w:ascii="Palatino Linotype" w:eastAsiaTheme="minorEastAsia" w:hAnsi="Palatino Linotype"/>
          <w:color w:val="000000" w:themeColor="text1"/>
          <w:lang w:val="es-ES_tradnl"/>
        </w:rPr>
      </w:pPr>
    </w:p>
    <w:p w14:paraId="1480B642" w14:textId="4FAC55C4" w:rsidR="00464094" w:rsidRPr="00F51AA9" w:rsidRDefault="00A84607" w:rsidP="004A246E">
      <w:pPr>
        <w:spacing w:after="0" w:line="360" w:lineRule="auto"/>
        <w:ind w:left="567" w:right="567"/>
        <w:jc w:val="both"/>
        <w:rPr>
          <w:rFonts w:ascii="Palatino Linotype" w:eastAsia="Palatino Linotype" w:hAnsi="Palatino Linotype" w:cs="Palatino Linotype"/>
          <w:i/>
          <w:iCs/>
          <w:color w:val="000000" w:themeColor="text1"/>
          <w:sz w:val="20"/>
          <w:szCs w:val="20"/>
        </w:rPr>
      </w:pPr>
      <w:r w:rsidRPr="00F51AA9">
        <w:rPr>
          <w:rFonts w:ascii="Palatino Linotype" w:eastAsia="Palatino Linotype" w:hAnsi="Palatino Linotype" w:cs="Palatino Linotype"/>
          <w:i/>
          <w:iCs/>
          <w:color w:val="000000" w:themeColor="text1"/>
          <w:sz w:val="20"/>
          <w:szCs w:val="20"/>
          <w:lang w:val="es-ES_tradnl"/>
        </w:rPr>
        <w:t>“…</w:t>
      </w:r>
      <w:r w:rsidR="00464094" w:rsidRPr="00F51AA9">
        <w:rPr>
          <w:rFonts w:ascii="Palatino Linotype" w:eastAsia="Palatino Linotype" w:hAnsi="Palatino Linotype" w:cs="Palatino Linotype"/>
          <w:i/>
          <w:iCs/>
          <w:color w:val="000000" w:themeColor="text1"/>
          <w:sz w:val="20"/>
          <w:szCs w:val="20"/>
        </w:rPr>
        <w:t xml:space="preserve">No obstante lo anterior, este Instituto considera conveniente mencionar que para garantizar el derecho de acceso a la información de todas las personas sin distinción alguna, de manera respetuosa se invita al Sujeto Obligado para en la medida de sus posibilidades promueva y disponga de medios y herramientas a través de los cuales se pueda facilitar el acceso a la </w:t>
      </w:r>
      <w:r w:rsidR="00464094" w:rsidRPr="00F51AA9">
        <w:rPr>
          <w:rFonts w:ascii="Palatino Linotype" w:eastAsia="Palatino Linotype" w:hAnsi="Palatino Linotype" w:cs="Palatino Linotype"/>
          <w:i/>
          <w:iCs/>
          <w:color w:val="000000" w:themeColor="text1"/>
          <w:sz w:val="20"/>
          <w:szCs w:val="20"/>
        </w:rPr>
        <w:lastRenderedPageBreak/>
        <w:t xml:space="preserve">información a personas con algún tipo de discapacidad, y como en el asunto que ahora se resuelve, como sugerencia  pudiera implementar en lo subsecuente </w:t>
      </w:r>
      <w:r w:rsidR="00464094" w:rsidRPr="00F51AA9">
        <w:rPr>
          <w:rFonts w:ascii="Palatino Linotype" w:eastAsia="Palatino Linotype" w:hAnsi="Palatino Linotype" w:cs="Palatino Linotype"/>
          <w:i/>
          <w:iCs/>
          <w:color w:val="000000" w:themeColor="text1"/>
          <w:sz w:val="20"/>
          <w:szCs w:val="20"/>
          <w:lang w:val="es-MX"/>
        </w:rPr>
        <w:t>los estándares internacionales de accesibilidad legislados y normados por el Consorcio de la World Wide Web (W3c) establece p</w:t>
      </w:r>
      <w:r w:rsidR="00464094" w:rsidRPr="00F51AA9">
        <w:rPr>
          <w:rFonts w:ascii="Palatino Linotype" w:eastAsia="Palatino Linotype" w:hAnsi="Palatino Linotype" w:cs="Palatino Linotype"/>
          <w:i/>
          <w:iCs/>
          <w:color w:val="000000" w:themeColor="text1"/>
          <w:sz w:val="20"/>
          <w:szCs w:val="20"/>
        </w:rPr>
        <w:t>autas de Accesibilidad de Contenido Web (WCAG) en las que se señala cómo crear un contenido web más accesible para personas con discapacidad. La accesibilidad considera un amplio rango de discapacidades, como son las visuales, auditivas, físicas, del habla, cognitivas, relativas al lenguaje, de aprendizaje y neurológicas.</w:t>
      </w:r>
    </w:p>
    <w:p w14:paraId="28DCC411"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rPr>
      </w:pPr>
    </w:p>
    <w:p w14:paraId="385A7B98"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Los estándares se describen en la </w:t>
      </w:r>
      <w:hyperlink r:id="rId8" w:tgtFrame="_blank" w:history="1">
        <w:r w:rsidRPr="00F51AA9">
          <w:rPr>
            <w:rStyle w:val="Hipervnculo"/>
            <w:rFonts w:ascii="Palatino Linotype" w:eastAsia="Palatino Linotype" w:hAnsi="Palatino Linotype" w:cs="Palatino Linotype"/>
            <w:i/>
            <w:iCs/>
            <w:sz w:val="20"/>
            <w:szCs w:val="20"/>
            <w:lang w:val="es-MX"/>
          </w:rPr>
          <w:t>Guía de accesibilidad al contenido web WCAG 2.1</w:t>
        </w:r>
      </w:hyperlink>
      <w:r w:rsidRPr="00F51AA9">
        <w:rPr>
          <w:rFonts w:ascii="Palatino Linotype" w:eastAsia="Palatino Linotype" w:hAnsi="Palatino Linotype" w:cs="Palatino Linotype"/>
          <w:i/>
          <w:iCs/>
          <w:color w:val="000000" w:themeColor="text1"/>
          <w:sz w:val="20"/>
          <w:szCs w:val="20"/>
          <w:lang w:val="es-MX"/>
        </w:rPr>
        <w:t>, la cual cubre una amplia gama de recomendaciones para hacer que el contenido web sea más accesible para las personas con discapacidad. Se compone de cuatro principios que son la base de la accesibilidad web:</w:t>
      </w:r>
    </w:p>
    <w:p w14:paraId="024451A3" w14:textId="77777777" w:rsidR="00464094" w:rsidRPr="00F51AA9" w:rsidRDefault="00464094" w:rsidP="004A246E">
      <w:pPr>
        <w:numPr>
          <w:ilvl w:val="0"/>
          <w:numId w:val="2"/>
        </w:numPr>
        <w:tabs>
          <w:tab w:val="clear" w:pos="720"/>
          <w:tab w:val="num" w:pos="1428"/>
        </w:tabs>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Perceptible</w:t>
      </w:r>
    </w:p>
    <w:p w14:paraId="11FC7E69" w14:textId="77777777" w:rsidR="00464094" w:rsidRPr="00F51AA9" w:rsidRDefault="00464094" w:rsidP="004A246E">
      <w:pPr>
        <w:numPr>
          <w:ilvl w:val="0"/>
          <w:numId w:val="2"/>
        </w:numPr>
        <w:tabs>
          <w:tab w:val="clear" w:pos="720"/>
          <w:tab w:val="num" w:pos="1428"/>
        </w:tabs>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Operable</w:t>
      </w:r>
    </w:p>
    <w:p w14:paraId="1E8A2B5C" w14:textId="77777777" w:rsidR="00464094" w:rsidRPr="00F51AA9" w:rsidRDefault="00464094" w:rsidP="004A246E">
      <w:pPr>
        <w:numPr>
          <w:ilvl w:val="0"/>
          <w:numId w:val="2"/>
        </w:numPr>
        <w:tabs>
          <w:tab w:val="clear" w:pos="720"/>
          <w:tab w:val="num" w:pos="1428"/>
        </w:tabs>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Comprensible</w:t>
      </w:r>
    </w:p>
    <w:p w14:paraId="35AE2F28" w14:textId="77777777" w:rsidR="00464094" w:rsidRPr="00F51AA9" w:rsidRDefault="00464094" w:rsidP="004A246E">
      <w:pPr>
        <w:numPr>
          <w:ilvl w:val="0"/>
          <w:numId w:val="2"/>
        </w:numPr>
        <w:tabs>
          <w:tab w:val="clear" w:pos="720"/>
          <w:tab w:val="num" w:pos="1428"/>
        </w:tabs>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Robusto</w:t>
      </w:r>
    </w:p>
    <w:p w14:paraId="7653D6FD"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p>
    <w:p w14:paraId="096B905D"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rPr>
      </w:pPr>
      <w:r w:rsidRPr="00F51AA9">
        <w:rPr>
          <w:rFonts w:ascii="Palatino Linotype" w:eastAsia="Palatino Linotype" w:hAnsi="Palatino Linotype" w:cs="Palatino Linotype"/>
          <w:i/>
          <w:iCs/>
          <w:color w:val="000000" w:themeColor="text1"/>
          <w:sz w:val="20"/>
          <w:szCs w:val="20"/>
        </w:rPr>
        <w:t>Para dar cumplimiento a ello, se recomiendan los siguientes softwares:</w:t>
      </w:r>
    </w:p>
    <w:p w14:paraId="7E8DFB5A"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b/>
          <w:bCs/>
          <w:i/>
          <w:iCs/>
          <w:color w:val="000000" w:themeColor="text1"/>
          <w:sz w:val="20"/>
          <w:szCs w:val="20"/>
          <w:lang w:val="es-MX"/>
        </w:rPr>
        <w:t>Discapacidad visual</w:t>
      </w:r>
    </w:p>
    <w:p w14:paraId="27F0950C"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Screen Reader (Lector de Pantalla)</w:t>
      </w:r>
    </w:p>
    <w:p w14:paraId="5392AFD2"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Extensión desarrollada por Google para ayudar a personas con discapacidades visuales para utilizar el navegador a través de un lector de pantalla. Es gratuito. Funciona con Google Chrome para leer contenido en voz alta.</w:t>
      </w:r>
    </w:p>
    <w:p w14:paraId="3D6FE98D" w14:textId="77777777" w:rsidR="00464094" w:rsidRPr="00F51AA9" w:rsidRDefault="00000000"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hyperlink r:id="rId9" w:tgtFrame="_blank" w:history="1">
        <w:r w:rsidR="00464094" w:rsidRPr="00F51AA9">
          <w:rPr>
            <w:rStyle w:val="Hipervnculo"/>
            <w:rFonts w:ascii="Palatino Linotype" w:eastAsia="Palatino Linotype" w:hAnsi="Palatino Linotype" w:cs="Palatino Linotype"/>
            <w:i/>
            <w:iCs/>
            <w:sz w:val="20"/>
            <w:szCs w:val="20"/>
            <w:lang w:val="es-MX"/>
          </w:rPr>
          <w:t>https://chrome.google.com/webstore/detail/screen-reader/kgejglhpjiefppelpmljglcjbhoiplfn?hl=es</w:t>
        </w:r>
      </w:hyperlink>
    </w:p>
    <w:p w14:paraId="095F8D09"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Narrador de Windows</w:t>
      </w:r>
    </w:p>
    <w:p w14:paraId="31B23856"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El Narrador es una aplicación de lectura de pantalla integrada en Windows 10, no hay nada que se deba descargar o instalar.</w:t>
      </w:r>
    </w:p>
    <w:p w14:paraId="1D27F936"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Para usarlo se deben usar las teclas: Ctrl + Windows + Enter</w:t>
      </w:r>
    </w:p>
    <w:p w14:paraId="2190486A" w14:textId="77777777" w:rsidR="00464094" w:rsidRPr="00F51AA9" w:rsidRDefault="00000000"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hyperlink r:id="rId10" w:tgtFrame="_blank" w:history="1">
        <w:r w:rsidR="00464094" w:rsidRPr="00F51AA9">
          <w:rPr>
            <w:rStyle w:val="Hipervnculo"/>
            <w:rFonts w:ascii="Palatino Linotype" w:eastAsia="Palatino Linotype" w:hAnsi="Palatino Linotype" w:cs="Palatino Linotype"/>
            <w:i/>
            <w:iCs/>
            <w:sz w:val="20"/>
            <w:szCs w:val="20"/>
            <w:lang w:val="es-MX"/>
          </w:rPr>
          <w:t>Manual de usuario</w:t>
        </w:r>
      </w:hyperlink>
    </w:p>
    <w:p w14:paraId="3736BC09"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NVDA</w:t>
      </w:r>
    </w:p>
    <w:p w14:paraId="49D88195"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Es un software lector de pantallas que permite a las personas con alguna discapacidad visual navegar por Internet, ya sea mediante el uso del teclado convencional o braille. Es gratuito. Funciona en Google Chrome, Internet Explorer, Opera y Mozilla Firefox.</w:t>
      </w:r>
    </w:p>
    <w:p w14:paraId="11F00294" w14:textId="77777777" w:rsidR="00464094" w:rsidRPr="00F51AA9" w:rsidRDefault="00000000"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hyperlink r:id="rId11" w:tgtFrame="_blank" w:history="1">
        <w:r w:rsidR="00464094" w:rsidRPr="00F51AA9">
          <w:rPr>
            <w:rStyle w:val="Hipervnculo"/>
            <w:rFonts w:ascii="Palatino Linotype" w:eastAsia="Palatino Linotype" w:hAnsi="Palatino Linotype" w:cs="Palatino Linotype"/>
            <w:i/>
            <w:iCs/>
            <w:sz w:val="20"/>
            <w:szCs w:val="20"/>
            <w:lang w:val="es-MX"/>
          </w:rPr>
          <w:t>http://www.nvaccess.org/</w:t>
        </w:r>
      </w:hyperlink>
    </w:p>
    <w:p w14:paraId="3F9FAC40"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VoiceOver</w:t>
      </w:r>
    </w:p>
    <w:p w14:paraId="6B9FEDD6"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Es un servicio proporcionado por Apple para dispositivos con iOS, permite a las personas con alguna discapacidad visual o motriz interactuar con el dispositivo, ya sea mediante el lector de pantalla o a través de gestos determinados. Disponible únicamente para dispositivos Apple.</w:t>
      </w:r>
    </w:p>
    <w:p w14:paraId="71741BBB" w14:textId="77777777" w:rsidR="00464094" w:rsidRPr="00F51AA9" w:rsidRDefault="00000000"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hyperlink r:id="rId12" w:tgtFrame="_blank" w:history="1">
        <w:r w:rsidR="00464094" w:rsidRPr="00F51AA9">
          <w:rPr>
            <w:rStyle w:val="Hipervnculo"/>
            <w:rFonts w:ascii="Palatino Linotype" w:eastAsia="Palatino Linotype" w:hAnsi="Palatino Linotype" w:cs="Palatino Linotype"/>
            <w:i/>
            <w:iCs/>
            <w:sz w:val="20"/>
            <w:szCs w:val="20"/>
            <w:lang w:val="es-MX"/>
          </w:rPr>
          <w:t>http://www.apple.com/mx/accessibility/ios/voiceover/</w:t>
        </w:r>
      </w:hyperlink>
    </w:p>
    <w:p w14:paraId="0E58D1D8"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b/>
          <w:bCs/>
          <w:i/>
          <w:iCs/>
          <w:color w:val="000000" w:themeColor="text1"/>
          <w:sz w:val="20"/>
          <w:szCs w:val="20"/>
          <w:lang w:val="es-MX"/>
        </w:rPr>
        <w:t>Discapacidad motriz</w:t>
      </w:r>
    </w:p>
    <w:p w14:paraId="0076F728"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Camera Mouse</w:t>
      </w:r>
    </w:p>
    <w:p w14:paraId="6EF46909" w14:textId="77777777" w:rsidR="00464094" w:rsidRPr="00F51AA9" w:rsidRDefault="00464094" w:rsidP="004A246E">
      <w:pPr>
        <w:spacing w:after="0" w:line="360" w:lineRule="auto"/>
        <w:ind w:left="567" w:right="567"/>
        <w:jc w:val="both"/>
        <w:rPr>
          <w:rFonts w:ascii="Palatino Linotype" w:eastAsia="Palatino Linotype" w:hAnsi="Palatino Linotype" w:cs="Palatino Linotype"/>
          <w:i/>
          <w:iCs/>
          <w:color w:val="000000" w:themeColor="text1"/>
          <w:sz w:val="20"/>
          <w:szCs w:val="20"/>
          <w:lang w:val="es-MX"/>
        </w:rPr>
      </w:pPr>
      <w:r w:rsidRPr="00F51AA9">
        <w:rPr>
          <w:rFonts w:ascii="Palatino Linotype" w:eastAsia="Palatino Linotype" w:hAnsi="Palatino Linotype" w:cs="Palatino Linotype"/>
          <w:i/>
          <w:iCs/>
          <w:color w:val="000000" w:themeColor="text1"/>
          <w:sz w:val="20"/>
          <w:szCs w:val="20"/>
          <w:lang w:val="es-MX"/>
        </w:rPr>
        <w:t>Software para Windows que ayuda a personas con alguna discapacidad motriz a utilizar la computadora mediante el reconocimiento de gestos faciales facilitando su navegación. Es gratuito.</w:t>
      </w:r>
    </w:p>
    <w:p w14:paraId="316E5E41" w14:textId="77777777" w:rsidR="00464094" w:rsidRPr="00F51AA9" w:rsidRDefault="00000000" w:rsidP="004A246E">
      <w:pPr>
        <w:spacing w:after="0" w:line="360" w:lineRule="auto"/>
        <w:ind w:left="567" w:right="567"/>
        <w:jc w:val="both"/>
        <w:rPr>
          <w:rStyle w:val="Hipervnculo"/>
          <w:rFonts w:ascii="Palatino Linotype" w:hAnsi="Palatino Linotype"/>
          <w:i/>
          <w:iCs/>
          <w:sz w:val="20"/>
          <w:szCs w:val="20"/>
        </w:rPr>
      </w:pPr>
      <w:hyperlink r:id="rId13" w:tgtFrame="_blank" w:history="1">
        <w:r w:rsidR="00464094" w:rsidRPr="00F51AA9">
          <w:rPr>
            <w:rStyle w:val="Hipervnculo"/>
            <w:rFonts w:ascii="Palatino Linotype" w:eastAsia="Palatino Linotype" w:hAnsi="Palatino Linotype" w:cs="Palatino Linotype"/>
            <w:i/>
            <w:iCs/>
            <w:sz w:val="20"/>
            <w:szCs w:val="20"/>
            <w:lang w:val="es-MX"/>
          </w:rPr>
          <w:t>http://www.cameramouse.org/</w:t>
        </w:r>
      </w:hyperlink>
    </w:p>
    <w:p w14:paraId="7222BCDA" w14:textId="77777777" w:rsidR="00464094" w:rsidRPr="00F51AA9" w:rsidRDefault="00464094" w:rsidP="004A246E">
      <w:pPr>
        <w:spacing w:after="0" w:line="360" w:lineRule="auto"/>
        <w:ind w:left="567" w:right="567"/>
        <w:jc w:val="both"/>
        <w:rPr>
          <w:rStyle w:val="Hipervnculo"/>
          <w:rFonts w:ascii="Palatino Linotype" w:eastAsia="Palatino Linotype" w:hAnsi="Palatino Linotype" w:cs="Palatino Linotype"/>
          <w:i/>
          <w:iCs/>
          <w:sz w:val="20"/>
          <w:szCs w:val="20"/>
          <w:lang w:val="es-MX"/>
        </w:rPr>
      </w:pPr>
    </w:p>
    <w:p w14:paraId="39B3DDD9" w14:textId="77777777" w:rsidR="00464094" w:rsidRPr="00F51AA9" w:rsidRDefault="00464094" w:rsidP="004A246E">
      <w:pPr>
        <w:spacing w:after="0" w:line="360" w:lineRule="auto"/>
        <w:ind w:left="567" w:right="567"/>
        <w:jc w:val="both"/>
        <w:rPr>
          <w:rStyle w:val="Hipervnculo"/>
          <w:rFonts w:ascii="Palatino Linotype" w:eastAsia="Palatino Linotype" w:hAnsi="Palatino Linotype" w:cs="Palatino Linotype"/>
          <w:i/>
          <w:iCs/>
          <w:sz w:val="20"/>
          <w:szCs w:val="20"/>
          <w:lang w:val="es-MX"/>
        </w:rPr>
      </w:pPr>
      <w:r w:rsidRPr="00F51AA9">
        <w:rPr>
          <w:rStyle w:val="Hipervnculo"/>
          <w:rFonts w:ascii="Palatino Linotype" w:eastAsia="Palatino Linotype" w:hAnsi="Palatino Linotype" w:cs="Palatino Linotype"/>
          <w:i/>
          <w:iCs/>
          <w:sz w:val="20"/>
          <w:szCs w:val="20"/>
          <w:lang w:val="es-MX"/>
        </w:rPr>
        <w:t xml:space="preserve">Herramientas de las cuales podrían auxiliarse los Sujetos Obligados a fin de garantizar el derecho de acceso a la información de las personas con discapacidad visual, que como puede advertirse son gratuitas y  sin la necesidad de realizar la traducción del documento al Sistema Braille.  </w:t>
      </w:r>
    </w:p>
    <w:p w14:paraId="0C90E5AA" w14:textId="37BDC590" w:rsidR="00A84607" w:rsidRPr="00F51AA9" w:rsidRDefault="00A84607" w:rsidP="004A246E">
      <w:pPr>
        <w:spacing w:after="0" w:line="360" w:lineRule="auto"/>
        <w:ind w:left="567" w:right="567"/>
        <w:jc w:val="both"/>
        <w:rPr>
          <w:rStyle w:val="Hipervnculo"/>
          <w:rFonts w:ascii="Palatino Linotype" w:eastAsia="Palatino Linotype" w:hAnsi="Palatino Linotype" w:cs="Palatino Linotype"/>
          <w:i/>
          <w:iCs/>
          <w:color w:val="auto"/>
          <w:sz w:val="20"/>
          <w:szCs w:val="20"/>
          <w:u w:val="none"/>
          <w:lang w:val="es-MX"/>
        </w:rPr>
      </w:pPr>
      <w:r w:rsidRPr="00F51AA9">
        <w:rPr>
          <w:rStyle w:val="Hipervnculo"/>
          <w:rFonts w:ascii="Palatino Linotype" w:eastAsia="Palatino Linotype" w:hAnsi="Palatino Linotype" w:cs="Palatino Linotype"/>
          <w:i/>
          <w:iCs/>
          <w:color w:val="auto"/>
          <w:sz w:val="20"/>
          <w:szCs w:val="20"/>
          <w:u w:val="none"/>
          <w:lang w:val="es-MX"/>
        </w:rPr>
        <w:t>…”</w:t>
      </w:r>
    </w:p>
    <w:p w14:paraId="2B6FD209" w14:textId="77777777" w:rsidR="008C702B" w:rsidRPr="00F51AA9" w:rsidRDefault="008C702B" w:rsidP="00A84607">
      <w:pPr>
        <w:spacing w:after="0" w:line="360" w:lineRule="auto"/>
        <w:ind w:left="708"/>
        <w:jc w:val="both"/>
        <w:rPr>
          <w:rFonts w:ascii="Palatino Linotype" w:hAnsi="Palatino Linotype"/>
          <w:i/>
          <w:iCs/>
          <w:sz w:val="20"/>
          <w:szCs w:val="20"/>
        </w:rPr>
      </w:pPr>
    </w:p>
    <w:p w14:paraId="3BA36134" w14:textId="769AF793" w:rsidR="00153E01" w:rsidRPr="00F51AA9" w:rsidRDefault="00DA4E77" w:rsidP="005527AD">
      <w:pPr>
        <w:spacing w:after="0" w:line="360" w:lineRule="auto"/>
        <w:ind w:right="49"/>
        <w:jc w:val="both"/>
        <w:rPr>
          <w:rFonts w:ascii="Palatino Linotype" w:eastAsiaTheme="minorEastAsia" w:hAnsi="Palatino Linotype"/>
          <w:color w:val="000000" w:themeColor="text1"/>
        </w:rPr>
      </w:pPr>
      <w:r w:rsidRPr="00F51AA9">
        <w:rPr>
          <w:rFonts w:ascii="Palatino Linotype" w:eastAsiaTheme="minorEastAsia" w:hAnsi="Palatino Linotype"/>
          <w:color w:val="000000" w:themeColor="text1"/>
        </w:rPr>
        <w:t xml:space="preserve">De lo anterior, </w:t>
      </w:r>
      <w:r w:rsidR="00972F7C" w:rsidRPr="00F51AA9">
        <w:rPr>
          <w:rFonts w:ascii="Palatino Linotype" w:eastAsiaTheme="minorEastAsia" w:hAnsi="Palatino Linotype"/>
          <w:color w:val="000000" w:themeColor="text1"/>
        </w:rPr>
        <w:t xml:space="preserve">se logra vislumbrar, que si bien la Ponencia Resolutora </w:t>
      </w:r>
      <w:r w:rsidR="008A1D05" w:rsidRPr="00F51AA9">
        <w:rPr>
          <w:rFonts w:ascii="Palatino Linotype" w:eastAsiaTheme="minorEastAsia" w:hAnsi="Palatino Linotype"/>
          <w:color w:val="000000" w:themeColor="text1"/>
        </w:rPr>
        <w:t>realizó la invitación al Sujeto Obligado</w:t>
      </w:r>
      <w:r w:rsidR="00A1393F" w:rsidRPr="00F51AA9">
        <w:rPr>
          <w:rFonts w:ascii="Palatino Linotype" w:eastAsiaTheme="minorEastAsia" w:hAnsi="Palatino Linotype"/>
          <w:color w:val="000000" w:themeColor="text1"/>
        </w:rPr>
        <w:t xml:space="preserve"> para promover y disponer de medios y herramientas de manera gratuita a través de los cuales se pueda facilitar el acceso a la información a personas con algún tipo de discapacidad, </w:t>
      </w:r>
      <w:r w:rsidR="00153E01" w:rsidRPr="00F51AA9">
        <w:rPr>
          <w:rFonts w:ascii="Palatino Linotype" w:eastAsiaTheme="minorEastAsia" w:hAnsi="Palatino Linotype"/>
          <w:color w:val="000000" w:themeColor="text1"/>
        </w:rPr>
        <w:t xml:space="preserve">pues esta invitación no atiende el derecho de acceso a la información del ahora Recurrente, además de que, al ser optativo, ya no existe la posibilidad de que este </w:t>
      </w:r>
      <w:r w:rsidR="00153E01" w:rsidRPr="00F51AA9">
        <w:rPr>
          <w:rFonts w:ascii="Palatino Linotype" w:eastAsiaTheme="minorEastAsia" w:hAnsi="Palatino Linotype"/>
          <w:color w:val="000000" w:themeColor="text1"/>
        </w:rPr>
        <w:lastRenderedPageBreak/>
        <w:t>Instituto brinde un seguimiento a efecto de que la información se entregue al Recurrente en alguna modalidad que permita la consulta para cualquier persona con discapacidad visual.</w:t>
      </w:r>
    </w:p>
    <w:p w14:paraId="1D4A0462" w14:textId="77777777" w:rsidR="00153E01" w:rsidRPr="00F51AA9" w:rsidRDefault="00153E01" w:rsidP="005527AD">
      <w:pPr>
        <w:spacing w:after="0" w:line="360" w:lineRule="auto"/>
        <w:ind w:right="49"/>
        <w:jc w:val="both"/>
        <w:rPr>
          <w:rFonts w:ascii="Palatino Linotype" w:eastAsiaTheme="minorEastAsia" w:hAnsi="Palatino Linotype"/>
          <w:color w:val="000000" w:themeColor="text1"/>
        </w:rPr>
      </w:pPr>
    </w:p>
    <w:p w14:paraId="7B84DED2" w14:textId="1DDBC6FD" w:rsidR="00D2303D" w:rsidRPr="00F51AA9" w:rsidRDefault="00153E01" w:rsidP="005527AD">
      <w:pPr>
        <w:spacing w:after="0" w:line="360" w:lineRule="auto"/>
        <w:ind w:right="49"/>
        <w:jc w:val="both"/>
        <w:rPr>
          <w:rFonts w:ascii="Palatino Linotype" w:eastAsiaTheme="minorEastAsia" w:hAnsi="Palatino Linotype"/>
          <w:color w:val="000000" w:themeColor="text1"/>
        </w:rPr>
      </w:pPr>
      <w:r w:rsidRPr="00F51AA9">
        <w:rPr>
          <w:rFonts w:ascii="Palatino Linotype" w:eastAsiaTheme="minorEastAsia" w:hAnsi="Palatino Linotype"/>
          <w:color w:val="000000" w:themeColor="text1"/>
        </w:rPr>
        <w:t>Es importante resaltar</w:t>
      </w:r>
      <w:r w:rsidR="00677BBB" w:rsidRPr="00F51AA9">
        <w:rPr>
          <w:rFonts w:ascii="Palatino Linotype" w:eastAsiaTheme="minorEastAsia" w:hAnsi="Palatino Linotype"/>
          <w:color w:val="000000" w:themeColor="text1"/>
        </w:rPr>
        <w:t xml:space="preserve"> que el Instituto de Transparencia, Acceso a la Información Pública y Protección de Datos Personales del Estado de México y Municipios (INFOEM), </w:t>
      </w:r>
      <w:r w:rsidRPr="00F51AA9">
        <w:rPr>
          <w:rFonts w:ascii="Palatino Linotype" w:eastAsiaTheme="minorEastAsia" w:hAnsi="Palatino Linotype"/>
          <w:color w:val="000000" w:themeColor="text1"/>
        </w:rPr>
        <w:t xml:space="preserve">ha tenido un gran compromiso en acercar y facilitar el acceso a la información a las personas con capacidades diferentes, pues ha colaborado con distintas instituciones pública para traducir e imprimir normatividad en Braille </w:t>
      </w:r>
      <w:r w:rsidR="00D2303D" w:rsidRPr="00F51AA9">
        <w:rPr>
          <w:rFonts w:ascii="Palatino Linotype" w:eastAsiaTheme="minorEastAsia" w:hAnsi="Palatino Linotype"/>
          <w:color w:val="000000" w:themeColor="text1"/>
        </w:rPr>
        <w:t>(</w:t>
      </w:r>
      <w:hyperlink r:id="rId14" w:history="1">
        <w:r w:rsidRPr="00F51AA9">
          <w:rPr>
            <w:rStyle w:val="Hipervnculo"/>
            <w:rFonts w:ascii="Palatino Linotype" w:eastAsiaTheme="minorEastAsia" w:hAnsi="Palatino Linotype"/>
          </w:rPr>
          <w:t>https://www.infoem.org.mx/es/contenido/noticias/el-infoem-busca-facilitar-acceso-la-informaci%C3%B3n-p%C3%BAblica-entre-poblaci%C3%B3n-con</w:t>
        </w:r>
      </w:hyperlink>
      <w:r w:rsidR="00D2303D" w:rsidRPr="00F51AA9">
        <w:rPr>
          <w:rFonts w:ascii="Palatino Linotype" w:eastAsiaTheme="minorEastAsia" w:hAnsi="Palatino Linotype"/>
          <w:color w:val="000000" w:themeColor="text1"/>
        </w:rPr>
        <w:t xml:space="preserve">, </w:t>
      </w:r>
      <w:hyperlink r:id="rId15" w:history="1">
        <w:r w:rsidR="00D2303D" w:rsidRPr="00F51AA9">
          <w:rPr>
            <w:rStyle w:val="Hipervnculo"/>
            <w:rFonts w:ascii="Palatino Linotype" w:eastAsiaTheme="minorEastAsia" w:hAnsi="Palatino Linotype"/>
          </w:rPr>
          <w:t>https://www.infoem.org.mx/es/contenido/noticias/entreg%C3%B3-infoem-leyes-traducidas-al-sistema-braille-en-beneficio-de-ni%C3%B1as</w:t>
        </w:r>
      </w:hyperlink>
      <w:r w:rsidR="00D2303D" w:rsidRPr="00F51AA9">
        <w:rPr>
          <w:rFonts w:ascii="Palatino Linotype" w:eastAsiaTheme="minorEastAsia" w:hAnsi="Palatino Linotype"/>
          <w:color w:val="000000" w:themeColor="text1"/>
        </w:rPr>
        <w:t xml:space="preserve">, </w:t>
      </w:r>
      <w:hyperlink r:id="rId16" w:history="1">
        <w:r w:rsidR="00D2303D" w:rsidRPr="00F51AA9">
          <w:rPr>
            <w:rStyle w:val="Hipervnculo"/>
            <w:rFonts w:ascii="Palatino Linotype" w:eastAsiaTheme="minorEastAsia" w:hAnsi="Palatino Linotype"/>
          </w:rPr>
          <w:t>https://www.infoem.org.mx/es/contenido/noticias/conocimiento-de-ley-de-protecci%C3%B3n-de-datos-personales-permitir%C3%A1-personas-ciegas-y</w:t>
        </w:r>
      </w:hyperlink>
      <w:r w:rsidR="00D2303D" w:rsidRPr="00F51AA9">
        <w:rPr>
          <w:rFonts w:ascii="Palatino Linotype" w:eastAsiaTheme="minorEastAsia" w:hAnsi="Palatino Linotype"/>
          <w:color w:val="000000" w:themeColor="text1"/>
        </w:rPr>
        <w:t xml:space="preserve">, </w:t>
      </w:r>
      <w:hyperlink r:id="rId17" w:history="1">
        <w:r w:rsidR="00D2303D" w:rsidRPr="00F51AA9">
          <w:rPr>
            <w:rStyle w:val="Hipervnculo"/>
            <w:rFonts w:ascii="Palatino Linotype" w:eastAsiaTheme="minorEastAsia" w:hAnsi="Palatino Linotype"/>
          </w:rPr>
          <w:t>https://www.infoem.org.mx/es/contenido/noticias/con-traducci%C3%B3n-de-leyes-electorales-al-sistema-braille-infoem-genera-condiciones</w:t>
        </w:r>
      </w:hyperlink>
      <w:r w:rsidR="00D2303D" w:rsidRPr="00F51AA9">
        <w:rPr>
          <w:rFonts w:ascii="Palatino Linotype" w:eastAsiaTheme="minorEastAsia" w:hAnsi="Palatino Linotype"/>
          <w:color w:val="000000" w:themeColor="text1"/>
        </w:rPr>
        <w:t>)</w:t>
      </w:r>
      <w:r w:rsidRPr="00F51AA9">
        <w:rPr>
          <w:rFonts w:ascii="Palatino Linotype" w:eastAsiaTheme="minorEastAsia" w:hAnsi="Palatino Linotype"/>
          <w:color w:val="000000" w:themeColor="text1"/>
        </w:rPr>
        <w:t>.</w:t>
      </w:r>
    </w:p>
    <w:p w14:paraId="700B8518" w14:textId="77777777" w:rsidR="00D2303D" w:rsidRPr="00F51AA9" w:rsidRDefault="00D2303D" w:rsidP="005527AD">
      <w:pPr>
        <w:spacing w:after="0" w:line="360" w:lineRule="auto"/>
        <w:ind w:right="49"/>
        <w:jc w:val="both"/>
        <w:rPr>
          <w:rFonts w:ascii="Palatino Linotype" w:hAnsi="Palatino Linotype" w:cs="Arial"/>
          <w:shd w:val="clear" w:color="auto" w:fill="FFFFFF"/>
        </w:rPr>
      </w:pPr>
    </w:p>
    <w:p w14:paraId="1015E97F" w14:textId="3D261D24" w:rsidR="00C908A5" w:rsidRPr="00F51AA9" w:rsidRDefault="00C908A5" w:rsidP="00FC1B69">
      <w:pPr>
        <w:spacing w:after="0" w:line="360" w:lineRule="auto"/>
        <w:ind w:right="49"/>
        <w:jc w:val="both"/>
        <w:rPr>
          <w:rFonts w:ascii="Palatino Linotype" w:hAnsi="Palatino Linotype" w:cs="Tahoma"/>
        </w:rPr>
      </w:pPr>
      <w:r w:rsidRPr="00F51AA9">
        <w:rPr>
          <w:rFonts w:ascii="Palatino Linotype" w:hAnsi="Palatino Linotype" w:cs="Tahoma"/>
        </w:rPr>
        <w:t xml:space="preserve">Ahora bien, de conformidad con </w:t>
      </w:r>
      <w:r w:rsidR="00337D11" w:rsidRPr="00F51AA9">
        <w:rPr>
          <w:rFonts w:ascii="Palatino Linotype" w:hAnsi="Palatino Linotype" w:cs="Tahoma"/>
        </w:rPr>
        <w:t xml:space="preserve">el artículo 3 de </w:t>
      </w:r>
      <w:r w:rsidRPr="00F51AA9">
        <w:rPr>
          <w:rFonts w:ascii="Palatino Linotype" w:hAnsi="Palatino Linotype" w:cs="Tahoma"/>
        </w:rPr>
        <w:t>la Ley que crea los Organismos Públicos Descentralizados de Asistencia Social, de carácter Municipal, denominados “Sistemas Municipales Para el Desarrollo Integral de la Familia”</w:t>
      </w:r>
      <w:r w:rsidR="00913282" w:rsidRPr="00F51AA9">
        <w:rPr>
          <w:rFonts w:ascii="Palatino Linotype" w:hAnsi="Palatino Linotype" w:cs="Tahoma"/>
        </w:rPr>
        <w:t>, en relación</w:t>
      </w:r>
      <w:r w:rsidR="00337D11" w:rsidRPr="00F51AA9">
        <w:rPr>
          <w:rFonts w:ascii="Palatino Linotype" w:hAnsi="Palatino Linotype" w:cs="Tahoma"/>
        </w:rPr>
        <w:t xml:space="preserve"> con</w:t>
      </w:r>
      <w:r w:rsidR="00913282" w:rsidRPr="00F51AA9">
        <w:rPr>
          <w:rFonts w:ascii="Palatino Linotype" w:hAnsi="Palatino Linotype" w:cs="Tahoma"/>
        </w:rPr>
        <w:t xml:space="preserve"> </w:t>
      </w:r>
      <w:r w:rsidR="00537002" w:rsidRPr="00F51AA9">
        <w:rPr>
          <w:rFonts w:ascii="Palatino Linotype" w:hAnsi="Palatino Linotype" w:cs="Tahoma"/>
        </w:rPr>
        <w:t xml:space="preserve">el </w:t>
      </w:r>
      <w:r w:rsidRPr="00F51AA9">
        <w:rPr>
          <w:rFonts w:ascii="Palatino Linotype" w:hAnsi="Palatino Linotype" w:cs="Tahoma"/>
        </w:rPr>
        <w:t xml:space="preserve">Reglamento Interno del Sistema Municipal para el Desarrollo Integral de la Familia de Toluca, </w:t>
      </w:r>
      <w:r w:rsidR="00913282" w:rsidRPr="00F51AA9">
        <w:rPr>
          <w:rFonts w:ascii="Palatino Linotype" w:hAnsi="Palatino Linotype" w:cs="Tahoma"/>
        </w:rPr>
        <w:t xml:space="preserve">el Instituto </w:t>
      </w:r>
      <w:r w:rsidR="00537002" w:rsidRPr="00F51AA9">
        <w:rPr>
          <w:rFonts w:ascii="Palatino Linotype" w:hAnsi="Palatino Linotype" w:cs="Tahoma"/>
        </w:rPr>
        <w:t>tendrá como objetivo lo siguiente:</w:t>
      </w:r>
    </w:p>
    <w:p w14:paraId="4BEFC0A4" w14:textId="77777777" w:rsidR="00913282" w:rsidRPr="00F51AA9" w:rsidRDefault="00913282" w:rsidP="00FC1B69">
      <w:pPr>
        <w:spacing w:after="0" w:line="360" w:lineRule="auto"/>
        <w:ind w:right="49"/>
        <w:jc w:val="both"/>
        <w:rPr>
          <w:rFonts w:ascii="Palatino Linotype" w:hAnsi="Palatino Linotype" w:cs="Tahoma"/>
        </w:rPr>
      </w:pPr>
    </w:p>
    <w:p w14:paraId="47C97FFA" w14:textId="7777777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Asegurar la atención permanente a la población marginada, brindando servicios integrales de asistencia social, enmarcados dentro de los Programas Básicos del </w:t>
      </w:r>
      <w:r w:rsidRPr="00F51AA9">
        <w:rPr>
          <w:rFonts w:ascii="Palatino Linotype" w:hAnsi="Palatino Linotype"/>
        </w:rPr>
        <w:lastRenderedPageBreak/>
        <w:t xml:space="preserve">Sistema para el Desarrollo Integral de la Familia en el Estado de México, conforme a las normas establecidas a nivel Nacional y Estatal; </w:t>
      </w:r>
    </w:p>
    <w:p w14:paraId="1CB14B04" w14:textId="7777777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Promover los mínimos de bienestar social y el desarrollo de la comunidad, para crear mejores condiciones de vida a los habitantes del Municipio; </w:t>
      </w:r>
    </w:p>
    <w:p w14:paraId="13364CBB" w14:textId="7777777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Coordinar las actividades que en materia de asistencia social realicen otras Instituciones públicas o privadas en el municipio; </w:t>
      </w:r>
    </w:p>
    <w:p w14:paraId="5B338192" w14:textId="7777777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Prestar servicios jurídicos y de orientación social a niñas, niños adolescentes, adultos mayores y personas con discapacidad carentes de recursos económicos, así como a la familia para su integración y bienestar. </w:t>
      </w:r>
    </w:p>
    <w:p w14:paraId="44BF5D17" w14:textId="7777777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Procurar permanentemente la adecuación de los objetivos y programas del Sistema Municipal y los que lleve a cabo el Sistema para el Desarrollo Integral de la Familia del Estado de México, a través de acuerdos, convenios o cualquier figura jurídica, encaminados a la protección de la infancia y adolescencia y la obtención del bienestar social. </w:t>
      </w:r>
    </w:p>
    <w:p w14:paraId="5EA769CF" w14:textId="2E2283F7" w:rsidR="00913282" w:rsidRPr="00F51AA9" w:rsidRDefault="00913282" w:rsidP="00913282">
      <w:pPr>
        <w:pStyle w:val="Prrafodelista"/>
        <w:numPr>
          <w:ilvl w:val="0"/>
          <w:numId w:val="3"/>
        </w:numPr>
        <w:spacing w:after="0" w:line="360" w:lineRule="auto"/>
        <w:ind w:right="49"/>
        <w:jc w:val="both"/>
        <w:rPr>
          <w:rFonts w:ascii="Palatino Linotype" w:hAnsi="Palatino Linotype" w:cs="Tahoma"/>
        </w:rPr>
      </w:pPr>
      <w:r w:rsidRPr="00F51AA9">
        <w:rPr>
          <w:rFonts w:ascii="Palatino Linotype" w:hAnsi="Palatino Linotype"/>
        </w:rPr>
        <w:t xml:space="preserve">Impulsar acciones para promover el desarrollo humano integral de los adultos mayores, coadyuvando para que sus distintas capacidades sean valoradas y aprovechadas en el desarrollo comunitario, económico y social. </w:t>
      </w:r>
    </w:p>
    <w:p w14:paraId="6508AB17" w14:textId="77777777" w:rsidR="00337D11" w:rsidRPr="00F51AA9" w:rsidRDefault="00337D11" w:rsidP="00913282">
      <w:pPr>
        <w:spacing w:after="0" w:line="360" w:lineRule="auto"/>
        <w:ind w:right="49"/>
        <w:jc w:val="both"/>
        <w:rPr>
          <w:rFonts w:ascii="Palatino Linotype" w:hAnsi="Palatino Linotype" w:cs="Tahoma"/>
        </w:rPr>
      </w:pPr>
    </w:p>
    <w:p w14:paraId="08E89518" w14:textId="24F08394" w:rsidR="00537002" w:rsidRPr="00F51AA9" w:rsidRDefault="00537002" w:rsidP="00537002">
      <w:pPr>
        <w:spacing w:after="0" w:line="360" w:lineRule="auto"/>
        <w:ind w:right="49"/>
        <w:jc w:val="both"/>
        <w:rPr>
          <w:rFonts w:ascii="Palatino Linotype" w:hAnsi="Palatino Linotype" w:cs="Tahoma"/>
        </w:rPr>
      </w:pPr>
      <w:r w:rsidRPr="00F51AA9">
        <w:rPr>
          <w:rFonts w:ascii="Palatino Linotype" w:hAnsi="Palatino Linotype" w:cs="Tahoma"/>
        </w:rPr>
        <w:t xml:space="preserve">Además, los artículos 29 y 30 del Reglamento Interno del Sistema Municipal para el Desarrollo Integral de la Familia de Toluca, establece que el Instituto a través de la Dirección de Atención a la Discapacidad y sus Departamentos de Fomento a la Inclusión Social y de Programas y Apoyo a la Comunidad con Discapacidad, </w:t>
      </w:r>
      <w:r w:rsidR="00AA70DF" w:rsidRPr="00F51AA9">
        <w:rPr>
          <w:rFonts w:ascii="Palatino Linotype" w:hAnsi="Palatino Linotype"/>
        </w:rPr>
        <w:t xml:space="preserve">se encargarán de promover, coordinar y realizar acciones de concertación y coordinación con las instituciones públicas y organismos privados, para la gestión y/o prestación de programas y apoyos para la </w:t>
      </w:r>
      <w:r w:rsidR="00AA70DF" w:rsidRPr="00F51AA9">
        <w:rPr>
          <w:rFonts w:ascii="Palatino Linotype" w:hAnsi="Palatino Linotype"/>
        </w:rPr>
        <w:lastRenderedPageBreak/>
        <w:t xml:space="preserve">comunidad con alguna discapacidad, además de cumplir con las tareas en materia de Transparencia y Protección de Datos Personales, de acuerdo con la normatividad vigente. </w:t>
      </w:r>
    </w:p>
    <w:p w14:paraId="1722DBE0" w14:textId="77777777" w:rsidR="00913282" w:rsidRPr="00F51AA9" w:rsidRDefault="00913282" w:rsidP="00913282">
      <w:pPr>
        <w:spacing w:after="0" w:line="360" w:lineRule="auto"/>
        <w:ind w:right="49"/>
        <w:jc w:val="both"/>
        <w:rPr>
          <w:rFonts w:ascii="Palatino Linotype" w:hAnsi="Palatino Linotype" w:cs="Tahoma"/>
        </w:rPr>
      </w:pPr>
    </w:p>
    <w:p w14:paraId="4F294326" w14:textId="7DB6A21A" w:rsidR="00AA70DF" w:rsidRPr="00F51AA9" w:rsidRDefault="00AA70DF" w:rsidP="00913282">
      <w:pPr>
        <w:spacing w:after="0" w:line="360" w:lineRule="auto"/>
        <w:ind w:right="49"/>
        <w:jc w:val="both"/>
        <w:rPr>
          <w:rFonts w:ascii="Palatino Linotype" w:hAnsi="Palatino Linotype" w:cs="Tahoma"/>
        </w:rPr>
      </w:pPr>
      <w:r w:rsidRPr="00F51AA9">
        <w:rPr>
          <w:rFonts w:ascii="Palatino Linotype" w:hAnsi="Palatino Linotype" w:cs="Tahoma"/>
        </w:rPr>
        <w:t xml:space="preserve">Con lo anterior, el Sistema Municipal para el Desarrollo Integral de la Familia de Toluca, tienen como objetivo principal proteger a la comunidad más vulnerable, entre ellos, las personas que presentan cualquier discapacidad, promoviendo la asistencia social, la prestación de servicios, operación de programas y la realización de diversas actividades, actuando en coordinación con las diferentes dependencias de nivel federal, estatal y municipal. </w:t>
      </w:r>
    </w:p>
    <w:p w14:paraId="583DCC89" w14:textId="77777777" w:rsidR="00AA70DF" w:rsidRPr="00F51AA9" w:rsidRDefault="00AA70DF" w:rsidP="00913282">
      <w:pPr>
        <w:spacing w:after="0" w:line="360" w:lineRule="auto"/>
        <w:ind w:right="49"/>
        <w:jc w:val="both"/>
        <w:rPr>
          <w:rFonts w:ascii="Palatino Linotype" w:hAnsi="Palatino Linotype" w:cs="Tahoma"/>
        </w:rPr>
      </w:pPr>
    </w:p>
    <w:p w14:paraId="656044CB" w14:textId="77777777"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cs="Tahoma"/>
        </w:rPr>
        <w:t>En ese contexto, l</w:t>
      </w:r>
      <w:r w:rsidRPr="00F51AA9">
        <w:rPr>
          <w:rFonts w:ascii="Palatino Linotype" w:hAnsi="Palatino Linotype"/>
        </w:rPr>
        <w:t xml:space="preserve">as Naciones Unidas en su Resolución A/C.3/73/L.5/Rev.1 del 1ro de noviembre de 2018 en que se proclama el 4 de enero como Día Mundial del Braille, afirma que el uso del braille por las personas con discapacidad visual garantiza la comunicación de información importante y representa competencia, independencia e igualdad; siendo un requisito previo fundamental para la realización plena de los derechos humanos de las personas ciegas y con deficiencia visual promover sus derechos humanos y libertades fundamentales en el contexto del acceso al lenguaje escrito. </w:t>
      </w:r>
    </w:p>
    <w:p w14:paraId="4FF65DBA" w14:textId="77777777" w:rsidR="002C5803" w:rsidRPr="00F51AA9" w:rsidRDefault="002C5803" w:rsidP="002C5803">
      <w:pPr>
        <w:spacing w:after="0" w:line="360" w:lineRule="auto"/>
        <w:ind w:right="49"/>
        <w:jc w:val="both"/>
        <w:rPr>
          <w:rFonts w:ascii="Palatino Linotype" w:hAnsi="Palatino Linotype"/>
        </w:rPr>
      </w:pPr>
    </w:p>
    <w:p w14:paraId="4B652DBF" w14:textId="393C0E1E"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rPr>
        <w:t>Por su parte, la Convención sobre los Derechos de las Personas con Discapacidad reconoce la importancia de la accesibilidad a la información y las comunicaciones para que las personas con discapacidad puedan gozar plenamente de todos los derechos humanos y las libertades fundamentales, enmarcando a la accesibilidad como uno de los principios generales de la propia Convención.</w:t>
      </w:r>
    </w:p>
    <w:p w14:paraId="15A62317" w14:textId="77777777" w:rsidR="002C5803" w:rsidRPr="00F51AA9" w:rsidRDefault="002C5803" w:rsidP="002C5803">
      <w:pPr>
        <w:spacing w:after="0" w:line="360" w:lineRule="auto"/>
        <w:ind w:right="49"/>
        <w:jc w:val="both"/>
        <w:rPr>
          <w:rFonts w:ascii="Palatino Linotype" w:hAnsi="Palatino Linotype"/>
        </w:rPr>
      </w:pPr>
    </w:p>
    <w:p w14:paraId="532FF1E2" w14:textId="68DD10C1"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rPr>
        <w:lastRenderedPageBreak/>
        <w:t>En particular, el artículo 9</w:t>
      </w:r>
      <w:r w:rsidR="00153E01" w:rsidRPr="00F51AA9">
        <w:rPr>
          <w:rFonts w:ascii="Palatino Linotype" w:hAnsi="Palatino Linotype"/>
        </w:rPr>
        <w:t>°</w:t>
      </w:r>
      <w:r w:rsidRPr="00F51AA9">
        <w:rPr>
          <w:rFonts w:ascii="Palatino Linotype" w:hAnsi="Palatino Linotype"/>
        </w:rPr>
        <w:t xml:space="preserve"> de la Convención establece la obligación de los Estados Partes de adoptar medidas que aseguren el acceso de las personas con discapacidad a la información y las comunicaciones con el objetivo de que las personas con discapacidad puedan vivir de forma independiente y plena. </w:t>
      </w:r>
    </w:p>
    <w:p w14:paraId="65511104" w14:textId="77777777" w:rsidR="002C5803" w:rsidRPr="00F51AA9" w:rsidRDefault="002C5803" w:rsidP="002C5803">
      <w:pPr>
        <w:spacing w:after="0" w:line="360" w:lineRule="auto"/>
        <w:ind w:right="49"/>
        <w:jc w:val="both"/>
        <w:rPr>
          <w:rFonts w:ascii="Palatino Linotype" w:hAnsi="Palatino Linotype"/>
        </w:rPr>
      </w:pPr>
    </w:p>
    <w:p w14:paraId="04F51B44" w14:textId="4C34596C"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rPr>
        <w:t>Ahora bien, el artículo 1° de la Constitución Política de los Estados Unidos Mexicanos prevé</w:t>
      </w:r>
    </w:p>
    <w:p w14:paraId="4BA12C50" w14:textId="28F287E2"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rPr>
        <w:t xml:space="preserve"> la garantía a todas las personas para que gocen de los derechos humanos que reconoce la propia Constitución, así como los contemplados en los diversos tratados internacionales en materia de derechos humanos en los que México forme parte, también prevé que en el ejercicio de los derechos no debe existir discriminación alguna; y que la garantía de los derechos humanos debe aplicarse en su mayor espectro de protección a la persona.</w:t>
      </w:r>
    </w:p>
    <w:p w14:paraId="56AF91A1" w14:textId="77777777" w:rsidR="002C5803" w:rsidRPr="00F51AA9" w:rsidRDefault="002C5803" w:rsidP="002C5803">
      <w:pPr>
        <w:spacing w:after="0" w:line="360" w:lineRule="auto"/>
        <w:ind w:right="49"/>
        <w:jc w:val="both"/>
        <w:rPr>
          <w:rFonts w:ascii="Palatino Linotype" w:hAnsi="Palatino Linotype"/>
        </w:rPr>
      </w:pPr>
    </w:p>
    <w:p w14:paraId="5161D4FF" w14:textId="6D34EFF5" w:rsidR="002C5803" w:rsidRPr="00F51AA9" w:rsidRDefault="002C5803" w:rsidP="002C5803">
      <w:pPr>
        <w:spacing w:after="0" w:line="360" w:lineRule="auto"/>
        <w:ind w:right="49"/>
        <w:jc w:val="both"/>
        <w:rPr>
          <w:rFonts w:ascii="Palatino Linotype" w:hAnsi="Palatino Linotype"/>
        </w:rPr>
      </w:pPr>
      <w:r w:rsidRPr="00F51AA9">
        <w:rPr>
          <w:rFonts w:ascii="Palatino Linotype" w:hAnsi="Palatino Linotype"/>
        </w:rPr>
        <w:t>En ese contexto, el artículo 6 de la Constitución Política de los Estados Unidos Mexicanos, reconoce y garantiza el derecho de acceso a la información pública; que establece la posibilidad de dar libre y plural acceso a la información que los Sujetos Obligados generan en ejercicio de sus facultades, competencias o funciones; además de prever la difusión de la información y la aplicación del principio de máxima publicidad en favor de la población.</w:t>
      </w:r>
    </w:p>
    <w:p w14:paraId="6136FC05" w14:textId="77777777" w:rsidR="00F064BD" w:rsidRPr="00F51AA9" w:rsidRDefault="00F064BD" w:rsidP="002C5803">
      <w:pPr>
        <w:spacing w:after="0" w:line="360" w:lineRule="auto"/>
        <w:ind w:right="49"/>
        <w:jc w:val="both"/>
        <w:rPr>
          <w:rFonts w:ascii="Palatino Linotype" w:hAnsi="Palatino Linotype"/>
        </w:rPr>
      </w:pPr>
    </w:p>
    <w:p w14:paraId="63E7B0FF" w14:textId="662BB30A" w:rsidR="00F064BD" w:rsidRPr="00F51AA9" w:rsidRDefault="00153E01" w:rsidP="002C5803">
      <w:pPr>
        <w:spacing w:after="0" w:line="360" w:lineRule="auto"/>
        <w:ind w:right="49"/>
        <w:jc w:val="both"/>
        <w:rPr>
          <w:rFonts w:ascii="Palatino Linotype" w:hAnsi="Palatino Linotype"/>
        </w:rPr>
      </w:pPr>
      <w:r w:rsidRPr="00F51AA9">
        <w:rPr>
          <w:rFonts w:ascii="Palatino Linotype" w:hAnsi="Palatino Linotype"/>
        </w:rPr>
        <w:t>D</w:t>
      </w:r>
      <w:r w:rsidR="00F064BD" w:rsidRPr="00F51AA9">
        <w:rPr>
          <w:rFonts w:ascii="Palatino Linotype" w:hAnsi="Palatino Linotype"/>
        </w:rPr>
        <w:t xml:space="preserve">ebe entenderse que en el ejercicio y garantía del derecho de transparencia y acceso a la información pública, debe mediar la mayor protección en favor de la persona que pretende ejercerlo; lo que involucra aplicar el principio </w:t>
      </w:r>
      <w:r w:rsidR="00F064BD" w:rsidRPr="00F51AA9">
        <w:rPr>
          <w:rFonts w:ascii="Palatino Linotype" w:hAnsi="Palatino Linotype"/>
          <w:b/>
          <w:bCs/>
          <w:i/>
          <w:iCs/>
        </w:rPr>
        <w:t>pro hominem</w:t>
      </w:r>
      <w:r w:rsidR="00F064BD" w:rsidRPr="00F51AA9">
        <w:rPr>
          <w:rFonts w:ascii="Palatino Linotype" w:hAnsi="Palatino Linotype"/>
        </w:rPr>
        <w:t xml:space="preserve"> o también llamado principio </w:t>
      </w:r>
      <w:r w:rsidR="00F064BD" w:rsidRPr="00F51AA9">
        <w:rPr>
          <w:rFonts w:ascii="Palatino Linotype" w:hAnsi="Palatino Linotype"/>
          <w:b/>
          <w:bCs/>
          <w:i/>
          <w:iCs/>
        </w:rPr>
        <w:t>pro persona</w:t>
      </w:r>
      <w:r w:rsidR="00F064BD" w:rsidRPr="00F51AA9">
        <w:rPr>
          <w:rFonts w:ascii="Palatino Linotype" w:hAnsi="Palatino Linotype"/>
        </w:rPr>
        <w:t xml:space="preserve">; que en el presente fallo, se nombrará en futuras ocasiones como principio </w:t>
      </w:r>
      <w:r w:rsidR="00F064BD" w:rsidRPr="00F51AA9">
        <w:rPr>
          <w:rFonts w:ascii="Palatino Linotype" w:hAnsi="Palatino Linotype"/>
          <w:i/>
          <w:iCs/>
        </w:rPr>
        <w:t>pro persona</w:t>
      </w:r>
      <w:r w:rsidR="00F064BD" w:rsidRPr="00F51AA9">
        <w:rPr>
          <w:rFonts w:ascii="Palatino Linotype" w:hAnsi="Palatino Linotype"/>
        </w:rPr>
        <w:t>, a fin de contribuir a un lenguaje inclusivo.</w:t>
      </w:r>
    </w:p>
    <w:p w14:paraId="74E07EBD" w14:textId="77777777" w:rsidR="00562361" w:rsidRPr="00F51AA9" w:rsidRDefault="00562361" w:rsidP="002C5803">
      <w:pPr>
        <w:spacing w:after="0" w:line="360" w:lineRule="auto"/>
        <w:ind w:right="49"/>
        <w:jc w:val="both"/>
        <w:rPr>
          <w:rFonts w:ascii="Palatino Linotype" w:hAnsi="Palatino Linotype"/>
        </w:rPr>
      </w:pPr>
    </w:p>
    <w:p w14:paraId="1FB6BBD3" w14:textId="662C5A4B" w:rsidR="00562361" w:rsidRPr="00F51AA9" w:rsidRDefault="00562361" w:rsidP="002C5803">
      <w:pPr>
        <w:spacing w:after="0" w:line="360" w:lineRule="auto"/>
        <w:ind w:right="49"/>
        <w:jc w:val="both"/>
        <w:rPr>
          <w:rFonts w:ascii="Palatino Linotype" w:hAnsi="Palatino Linotype"/>
        </w:rPr>
      </w:pPr>
      <w:r w:rsidRPr="00F51AA9">
        <w:rPr>
          <w:rFonts w:ascii="Palatino Linotype" w:hAnsi="Palatino Linotype"/>
        </w:rPr>
        <w:lastRenderedPageBreak/>
        <w:t xml:space="preserve">En este sentido, es pertinente contextualizar los parámetros del principio </w:t>
      </w:r>
      <w:r w:rsidRPr="00F51AA9">
        <w:rPr>
          <w:rFonts w:ascii="Palatino Linotype" w:hAnsi="Palatino Linotype"/>
          <w:i/>
          <w:iCs/>
        </w:rPr>
        <w:t>pro persona</w:t>
      </w:r>
      <w:r w:rsidRPr="00F51AA9">
        <w:rPr>
          <w:rFonts w:ascii="Palatino Linotype" w:hAnsi="Palatino Linotype"/>
        </w:rPr>
        <w:t xml:space="preserve">, al respecto, Mireya Castañeda Hernández en su libro </w:t>
      </w:r>
      <w:r w:rsidRPr="00F51AA9">
        <w:rPr>
          <w:rFonts w:ascii="Palatino Linotype" w:hAnsi="Palatino Linotype"/>
          <w:i/>
          <w:iCs/>
        </w:rPr>
        <w:t xml:space="preserve">El principio pro persona ante la ponderación de derecho, </w:t>
      </w:r>
      <w:r w:rsidRPr="00F51AA9">
        <w:rPr>
          <w:rFonts w:ascii="Palatino Linotype" w:hAnsi="Palatino Linotype"/>
        </w:rPr>
        <w:t xml:space="preserve">editorial CNDH México, 2017; visible en el enlace: </w:t>
      </w:r>
      <w:hyperlink r:id="rId18" w:history="1">
        <w:r w:rsidR="00AA50B3" w:rsidRPr="00F51AA9">
          <w:rPr>
            <w:rStyle w:val="Hipervnculo"/>
            <w:rFonts w:ascii="Palatino Linotype" w:hAnsi="Palatino Linotype"/>
          </w:rPr>
          <w:t>file:///C:/Users/1/Downloads/Principio-Propersona-Ponderacion-Derechos.pdf</w:t>
        </w:r>
      </w:hyperlink>
      <w:r w:rsidR="00AA50B3" w:rsidRPr="00F51AA9">
        <w:rPr>
          <w:rFonts w:ascii="Palatino Linotype" w:hAnsi="Palatino Linotype"/>
          <w:u w:val="single"/>
        </w:rPr>
        <w:t>,</w:t>
      </w:r>
      <w:r w:rsidRPr="00F51AA9">
        <w:rPr>
          <w:rFonts w:ascii="Palatino Linotype" w:hAnsi="Palatino Linotype"/>
        </w:rPr>
        <w:t xml:space="preserve"> retoma la definición del principio pro homine que ofrece Mónica Pinto, que versa en el siguiente:</w:t>
      </w:r>
    </w:p>
    <w:p w14:paraId="424FDA6B" w14:textId="77777777" w:rsidR="00562361" w:rsidRPr="00F51AA9" w:rsidRDefault="00562361" w:rsidP="002C5803">
      <w:pPr>
        <w:spacing w:after="0" w:line="360" w:lineRule="auto"/>
        <w:ind w:right="49"/>
        <w:jc w:val="both"/>
      </w:pPr>
    </w:p>
    <w:p w14:paraId="6691B5E9" w14:textId="29303C59" w:rsidR="00562361" w:rsidRPr="00F51AA9" w:rsidRDefault="00AA50B3" w:rsidP="00AA50B3">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w:t>
      </w:r>
      <w:r w:rsidR="00562361" w:rsidRPr="00F51AA9">
        <w:rPr>
          <w:rFonts w:ascii="Palatino Linotype" w:hAnsi="Palatino Linotype"/>
          <w:i/>
          <w:iCs/>
          <w:sz w:val="20"/>
          <w:szCs w:val="20"/>
        </w:rPr>
        <w:t>…un criterio hermenéutico que informa todo el derecho de los derechos humanos, en virtud del cual se debe acudir a la norma más amplia, o a la interpretación más extensiva, cuando se trata de reconocer derechos protegidos e, inversamente, a la norma o a la interpretación más restringida cuando se trata de establecer restricciones permanentes al ejercicio de los derechos o su suspensión extraordinaria</w:t>
      </w:r>
      <w:r w:rsidRPr="00F51AA9">
        <w:rPr>
          <w:rFonts w:ascii="Palatino Linotype" w:hAnsi="Palatino Linotype"/>
          <w:i/>
          <w:iCs/>
          <w:sz w:val="20"/>
          <w:szCs w:val="20"/>
        </w:rPr>
        <w:t>…</w:t>
      </w:r>
      <w:r w:rsidR="00562361" w:rsidRPr="00F51AA9">
        <w:rPr>
          <w:rFonts w:ascii="Palatino Linotype" w:hAnsi="Palatino Linotype"/>
          <w:i/>
          <w:iCs/>
          <w:sz w:val="20"/>
          <w:szCs w:val="20"/>
        </w:rPr>
        <w:t xml:space="preserve"> </w:t>
      </w:r>
    </w:p>
    <w:p w14:paraId="0A69BD9F" w14:textId="7AD4C741" w:rsidR="00AA50B3" w:rsidRPr="00F51AA9" w:rsidRDefault="00AA50B3" w:rsidP="00AA50B3">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w:t>
      </w:r>
    </w:p>
    <w:p w14:paraId="4FDEB077" w14:textId="77777777" w:rsidR="00C5327D" w:rsidRPr="00F51AA9" w:rsidRDefault="00C5327D" w:rsidP="002C5803">
      <w:pPr>
        <w:spacing w:after="0" w:line="360" w:lineRule="auto"/>
        <w:ind w:right="49"/>
        <w:jc w:val="both"/>
        <w:rPr>
          <w:rFonts w:ascii="Palatino Linotype" w:hAnsi="Palatino Linotype"/>
        </w:rPr>
      </w:pPr>
    </w:p>
    <w:p w14:paraId="5C349A3E" w14:textId="152F3A5D" w:rsidR="00562361" w:rsidRPr="00F51AA9" w:rsidRDefault="00562361" w:rsidP="002C5803">
      <w:pPr>
        <w:spacing w:after="0" w:line="360" w:lineRule="auto"/>
        <w:ind w:right="49"/>
        <w:jc w:val="both"/>
        <w:rPr>
          <w:rFonts w:ascii="Palatino Linotype" w:hAnsi="Palatino Linotype"/>
        </w:rPr>
      </w:pPr>
      <w:r w:rsidRPr="00F51AA9">
        <w:rPr>
          <w:rFonts w:ascii="Palatino Linotype" w:hAnsi="Palatino Linotype"/>
        </w:rPr>
        <w:t xml:space="preserve">Así pues, se determina que el principio </w:t>
      </w:r>
      <w:r w:rsidRPr="00F51AA9">
        <w:rPr>
          <w:rFonts w:ascii="Palatino Linotype" w:hAnsi="Palatino Linotype"/>
          <w:i/>
          <w:iCs/>
        </w:rPr>
        <w:t>pro persona</w:t>
      </w:r>
      <w:r w:rsidRPr="00F51AA9">
        <w:rPr>
          <w:rFonts w:ascii="Palatino Linotype" w:hAnsi="Palatino Linotype"/>
        </w:rPr>
        <w:t xml:space="preserve"> cumple con su objetivo al lograr la interpretación más amplia y extensiva de las normas a fin de que reconocer derechos protegidos o bien de establecer restricciones permanentes al ejercicio de los derechos</w:t>
      </w:r>
      <w:r w:rsidR="00AA50B3" w:rsidRPr="00F51AA9">
        <w:rPr>
          <w:rFonts w:ascii="Palatino Linotype" w:hAnsi="Palatino Linotype"/>
        </w:rPr>
        <w:t>.</w:t>
      </w:r>
    </w:p>
    <w:p w14:paraId="3B535269" w14:textId="77777777" w:rsidR="00AA50B3" w:rsidRPr="00F51AA9" w:rsidRDefault="00AA50B3" w:rsidP="002C5803">
      <w:pPr>
        <w:spacing w:after="0" w:line="360" w:lineRule="auto"/>
        <w:ind w:right="49"/>
        <w:jc w:val="both"/>
        <w:rPr>
          <w:rFonts w:ascii="Palatino Linotype" w:hAnsi="Palatino Linotype"/>
        </w:rPr>
      </w:pPr>
    </w:p>
    <w:p w14:paraId="3EE66D4F" w14:textId="101B4670" w:rsidR="00AA50B3" w:rsidRPr="00F51AA9" w:rsidRDefault="00AA50B3" w:rsidP="002C5803">
      <w:pPr>
        <w:spacing w:after="0" w:line="360" w:lineRule="auto"/>
        <w:ind w:right="49"/>
        <w:jc w:val="both"/>
        <w:rPr>
          <w:rFonts w:ascii="Palatino Linotype" w:hAnsi="Palatino Linotype"/>
        </w:rPr>
      </w:pPr>
      <w:r w:rsidRPr="00F51AA9">
        <w:rPr>
          <w:rFonts w:ascii="Palatino Linotype" w:hAnsi="Palatino Linotype"/>
        </w:rPr>
        <w:t xml:space="preserve">Al respecto la Dra. Graciela Romero Silvera, en su publicación </w:t>
      </w:r>
      <w:r w:rsidRPr="00F51AA9">
        <w:rPr>
          <w:rFonts w:ascii="Palatino Linotype" w:hAnsi="Palatino Linotype"/>
          <w:i/>
          <w:iCs/>
        </w:rPr>
        <w:t>Implicaciones jurídicas del desarrollo del derecho de acceso a la información pública en el marco del derecho a la libertad de expresión y los derechos humanos</w:t>
      </w:r>
      <w:r w:rsidRPr="00F51AA9">
        <w:rPr>
          <w:rFonts w:ascii="Palatino Linotype" w:hAnsi="Palatino Linotype"/>
        </w:rPr>
        <w:t xml:space="preserve">, publicado a través de la Corte Iberoamericana de Derechos Humanos, 2010 y visible en el enlace: </w:t>
      </w:r>
      <w:hyperlink r:id="rId19" w:history="1">
        <w:r w:rsidRPr="00F51AA9">
          <w:rPr>
            <w:rStyle w:val="Hipervnculo"/>
            <w:rFonts w:ascii="Palatino Linotype" w:hAnsi="Palatino Linotype"/>
          </w:rPr>
          <w:t>https://www.corteidh.or.cr/tablas/r29310.pdf</w:t>
        </w:r>
      </w:hyperlink>
      <w:r w:rsidRPr="00F51AA9">
        <w:rPr>
          <w:rFonts w:ascii="Palatino Linotype" w:hAnsi="Palatino Linotype"/>
        </w:rPr>
        <w:t xml:space="preserve">; retoma que la Corte Interamericana ya emitió pronunciamiento al respecto en los siguientes términos: </w:t>
      </w:r>
    </w:p>
    <w:p w14:paraId="7289BA32" w14:textId="77777777" w:rsidR="00AA50B3" w:rsidRPr="00F51AA9" w:rsidRDefault="00AA50B3" w:rsidP="002C5803">
      <w:pPr>
        <w:spacing w:after="0" w:line="360" w:lineRule="auto"/>
        <w:ind w:right="49"/>
        <w:jc w:val="both"/>
        <w:rPr>
          <w:rFonts w:ascii="Palatino Linotype" w:hAnsi="Palatino Linotype"/>
        </w:rPr>
      </w:pPr>
    </w:p>
    <w:p w14:paraId="5A45BC87" w14:textId="28B0E324" w:rsidR="00AA50B3" w:rsidRPr="00F51AA9" w:rsidRDefault="00AA50B3" w:rsidP="00AA50B3">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 xml:space="preserve">“…También la Corte Interamericana se ha pronunciado en varias ocasiones la importancia del principio pro homine a través de la interpretación que ha hecho del artículo 31 de la Convención de Viena sobre el derecho de los Tratados (“Convención de Viena”). Es así que, según este organismos, </w:t>
      </w:r>
      <w:r w:rsidRPr="00F51AA9">
        <w:rPr>
          <w:rFonts w:ascii="Palatino Linotype" w:hAnsi="Palatino Linotype"/>
          <w:i/>
          <w:iCs/>
          <w:sz w:val="20"/>
          <w:szCs w:val="20"/>
        </w:rPr>
        <w:lastRenderedPageBreak/>
        <w:t xml:space="preserve">“el principio pro homine emana a su vez del objeto y fin de los tratados de protección de derechos humanos en razón a que se tiene que considerar en la labor del intérprete según el artículo 31.1 de la Convención de Viena” </w:t>
      </w:r>
    </w:p>
    <w:p w14:paraId="0A72CD18" w14:textId="257A7E7E" w:rsidR="00AA50B3" w:rsidRPr="00F51AA9" w:rsidRDefault="00AA50B3" w:rsidP="00AA50B3">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w:t>
      </w:r>
    </w:p>
    <w:p w14:paraId="0218FFD3" w14:textId="77777777" w:rsidR="00AA50B3" w:rsidRPr="00F51AA9" w:rsidRDefault="00AA50B3" w:rsidP="002C5803">
      <w:pPr>
        <w:spacing w:after="0" w:line="360" w:lineRule="auto"/>
        <w:ind w:right="49"/>
        <w:jc w:val="both"/>
        <w:rPr>
          <w:rFonts w:ascii="Palatino Linotype" w:hAnsi="Palatino Linotype"/>
        </w:rPr>
      </w:pPr>
    </w:p>
    <w:p w14:paraId="76C52DF1" w14:textId="405E70C5" w:rsidR="00AA50B3" w:rsidRPr="00F51AA9" w:rsidRDefault="00AA50B3" w:rsidP="002C5803">
      <w:pPr>
        <w:spacing w:after="0" w:line="360" w:lineRule="auto"/>
        <w:ind w:right="49"/>
        <w:jc w:val="both"/>
        <w:rPr>
          <w:rFonts w:ascii="Palatino Linotype" w:hAnsi="Palatino Linotype"/>
        </w:rPr>
      </w:pPr>
      <w:r w:rsidRPr="00F51AA9">
        <w:rPr>
          <w:rFonts w:ascii="Palatino Linotype" w:hAnsi="Palatino Linotype"/>
        </w:rPr>
        <w:t xml:space="preserve">De lo citado anteriormente, se desprende la necesidad de tomar en consideración el principio </w:t>
      </w:r>
      <w:r w:rsidRPr="00F51AA9">
        <w:rPr>
          <w:rFonts w:ascii="Palatino Linotype" w:hAnsi="Palatino Linotype"/>
          <w:i/>
          <w:iCs/>
        </w:rPr>
        <w:t>pro persona</w:t>
      </w:r>
      <w:r w:rsidRPr="00F51AA9">
        <w:rPr>
          <w:rFonts w:ascii="Palatino Linotype" w:hAnsi="Palatino Linotype"/>
        </w:rPr>
        <w:t>, como estandarte que guíe el actuar del intérprete de la norma; a fin de que garantice la más amplia protección de los derechos tutelados.</w:t>
      </w:r>
    </w:p>
    <w:p w14:paraId="4DC9B224" w14:textId="77777777" w:rsidR="00D30104" w:rsidRPr="00F51AA9" w:rsidRDefault="00D30104" w:rsidP="002C5803">
      <w:pPr>
        <w:spacing w:after="0" w:line="360" w:lineRule="auto"/>
        <w:ind w:right="49"/>
        <w:jc w:val="both"/>
        <w:rPr>
          <w:rFonts w:ascii="Palatino Linotype" w:hAnsi="Palatino Linotype"/>
        </w:rPr>
      </w:pPr>
    </w:p>
    <w:p w14:paraId="33A70422" w14:textId="77777777" w:rsidR="00D30104" w:rsidRPr="00F51AA9" w:rsidRDefault="00D30104" w:rsidP="002C5803">
      <w:pPr>
        <w:spacing w:after="0" w:line="360" w:lineRule="auto"/>
        <w:ind w:right="49"/>
        <w:jc w:val="both"/>
        <w:rPr>
          <w:rFonts w:ascii="Palatino Linotype" w:hAnsi="Palatino Linotype"/>
        </w:rPr>
      </w:pPr>
      <w:r w:rsidRPr="00F51AA9">
        <w:rPr>
          <w:rFonts w:ascii="Palatino Linotype" w:hAnsi="Palatino Linotype"/>
        </w:rPr>
        <w:t xml:space="preserve">Por su parte Ximena Medellín Urquiaga, en su libro </w:t>
      </w:r>
      <w:r w:rsidRPr="00F51AA9">
        <w:rPr>
          <w:rFonts w:ascii="Palatino Linotype" w:hAnsi="Palatino Linotype"/>
          <w:i/>
          <w:iCs/>
        </w:rPr>
        <w:t>Principio pro persona</w:t>
      </w:r>
      <w:r w:rsidRPr="00F51AA9">
        <w:rPr>
          <w:rFonts w:ascii="Palatino Linotype" w:hAnsi="Palatino Linotype"/>
        </w:rPr>
        <w:t xml:space="preserve">, Publicado por la Comisión de Derechos Humanos del Distrito Federal, por la Suprema Corte de Justicia de la Nación y por la Oficina en México del Alto Comisionado de las Naciones Unidas para los Derechos Humanos, en 2013 y visible en el enlace: </w:t>
      </w:r>
      <w:hyperlink r:id="rId20" w:history="1">
        <w:r w:rsidRPr="00F51AA9">
          <w:rPr>
            <w:rStyle w:val="Hipervnculo"/>
            <w:rFonts w:ascii="Palatino Linotype" w:hAnsi="Palatino Linotype"/>
          </w:rPr>
          <w:t>file:///C:/Users/1/Downloads/1- Principio_pro-persona.pdf</w:t>
        </w:r>
      </w:hyperlink>
      <w:r w:rsidRPr="00F51AA9">
        <w:rPr>
          <w:rFonts w:ascii="Palatino Linotype" w:hAnsi="Palatino Linotype"/>
        </w:rPr>
        <w:t xml:space="preserve">; señala respecto a la interpretación en el marco del principio </w:t>
      </w:r>
      <w:r w:rsidRPr="00F51AA9">
        <w:rPr>
          <w:rFonts w:ascii="Palatino Linotype" w:hAnsi="Palatino Linotype"/>
          <w:i/>
          <w:iCs/>
        </w:rPr>
        <w:t>pro persona</w:t>
      </w:r>
      <w:r w:rsidRPr="00F51AA9">
        <w:rPr>
          <w:rFonts w:ascii="Palatino Linotype" w:hAnsi="Palatino Linotype"/>
        </w:rPr>
        <w:t xml:space="preserve"> y de interpretación evolutiva, lo siguiente: </w:t>
      </w:r>
    </w:p>
    <w:p w14:paraId="1F624D5D" w14:textId="77777777" w:rsidR="007654DB" w:rsidRPr="00F51AA9" w:rsidRDefault="007654DB" w:rsidP="002C5803">
      <w:pPr>
        <w:spacing w:after="0" w:line="360" w:lineRule="auto"/>
        <w:ind w:right="49"/>
        <w:jc w:val="both"/>
        <w:rPr>
          <w:rFonts w:ascii="Palatino Linotype" w:hAnsi="Palatino Linotype"/>
        </w:rPr>
      </w:pPr>
    </w:p>
    <w:p w14:paraId="73ACCB32" w14:textId="77777777" w:rsidR="00D30104" w:rsidRPr="00F51AA9" w:rsidRDefault="00D30104" w:rsidP="00D30104">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 xml:space="preserve">“…Más allá de estas afirmaciones generales, es importante señalar que, si bien teóricamente se pueden diferenciar estos principios de interpretación, en la práctica se entrelazan constantemente, por lo que no es sencillo delimitar con precisión el alcance de uno y de otro. De hecho, como se discutirá más adelante, la protección efectiva de la persona implica, sin duda, que quien interprete la norma reconozca el contexto social en que se inserta su decisión y pueda entender los efectos que ésta generará. Un ejercicio jurídico como éste conduce, tal como lo ha dicho la Corte idh, a interpretar las normas de derechos humanos atendiendo a las condiciones de vida actuales. En este sentido, parece recomendable integrar los dos principios para lograr la efectiva protección de la persona. </w:t>
      </w:r>
    </w:p>
    <w:p w14:paraId="03B476CA" w14:textId="594F19A8" w:rsidR="00D30104" w:rsidRPr="00F51AA9" w:rsidRDefault="00D30104" w:rsidP="00D30104">
      <w:pPr>
        <w:spacing w:after="0" w:line="360" w:lineRule="auto"/>
        <w:ind w:left="708" w:right="49"/>
        <w:jc w:val="both"/>
        <w:rPr>
          <w:rFonts w:ascii="Palatino Linotype" w:hAnsi="Palatino Linotype"/>
          <w:i/>
          <w:iCs/>
          <w:sz w:val="20"/>
          <w:szCs w:val="20"/>
        </w:rPr>
      </w:pPr>
      <w:r w:rsidRPr="00F51AA9">
        <w:rPr>
          <w:rFonts w:ascii="Palatino Linotype" w:hAnsi="Palatino Linotype"/>
          <w:i/>
          <w:iCs/>
          <w:sz w:val="20"/>
          <w:szCs w:val="20"/>
        </w:rPr>
        <w:t>…”</w:t>
      </w:r>
    </w:p>
    <w:p w14:paraId="06C1FA9C" w14:textId="77777777" w:rsidR="00D30104" w:rsidRPr="00F51AA9" w:rsidRDefault="00D30104" w:rsidP="002C5803">
      <w:pPr>
        <w:spacing w:after="0" w:line="360" w:lineRule="auto"/>
        <w:ind w:right="49"/>
        <w:jc w:val="both"/>
        <w:rPr>
          <w:rFonts w:ascii="Palatino Linotype" w:hAnsi="Palatino Linotype"/>
        </w:rPr>
      </w:pPr>
    </w:p>
    <w:p w14:paraId="70177D93" w14:textId="3D3DCBD8" w:rsidR="00D30104" w:rsidRPr="00F51AA9" w:rsidRDefault="00D30104" w:rsidP="002C5803">
      <w:pPr>
        <w:spacing w:after="0" w:line="360" w:lineRule="auto"/>
        <w:ind w:right="49"/>
        <w:jc w:val="both"/>
        <w:rPr>
          <w:rFonts w:ascii="Palatino Linotype" w:hAnsi="Palatino Linotype"/>
        </w:rPr>
      </w:pPr>
      <w:r w:rsidRPr="00F51AA9">
        <w:rPr>
          <w:rFonts w:ascii="Palatino Linotype" w:hAnsi="Palatino Linotype"/>
        </w:rPr>
        <w:lastRenderedPageBreak/>
        <w:t xml:space="preserve">Así pues, podemos entender que la Constitución Política de los Estados Unidos Mexicanos, prevé la posibilidad de aplicar un principio de máxima protección en favor de la persona que pretende ejercer el derecho de acceso a la información pública, lo cual implica, la aplicación del principio </w:t>
      </w:r>
      <w:r w:rsidRPr="00F51AA9">
        <w:rPr>
          <w:rFonts w:ascii="Palatino Linotype" w:hAnsi="Palatino Linotype"/>
          <w:i/>
          <w:iCs/>
        </w:rPr>
        <w:t>pro persona</w:t>
      </w:r>
      <w:r w:rsidRPr="00F51AA9">
        <w:rPr>
          <w:rFonts w:ascii="Palatino Linotype" w:hAnsi="Palatino Linotype"/>
        </w:rPr>
        <w:t>.</w:t>
      </w:r>
    </w:p>
    <w:p w14:paraId="5778DE21" w14:textId="77777777" w:rsidR="007A16C8" w:rsidRPr="00F51AA9" w:rsidRDefault="007A16C8" w:rsidP="002C5803">
      <w:pPr>
        <w:spacing w:after="0" w:line="360" w:lineRule="auto"/>
        <w:ind w:right="49"/>
        <w:jc w:val="both"/>
        <w:rPr>
          <w:rFonts w:ascii="Palatino Linotype" w:hAnsi="Palatino Linotype"/>
        </w:rPr>
      </w:pPr>
    </w:p>
    <w:p w14:paraId="39D7B1A4" w14:textId="6A264EAB" w:rsidR="007A16C8" w:rsidRPr="00F51AA9" w:rsidRDefault="007A16C8" w:rsidP="002C5803">
      <w:pPr>
        <w:spacing w:after="0" w:line="360" w:lineRule="auto"/>
        <w:ind w:right="49"/>
        <w:jc w:val="both"/>
        <w:rPr>
          <w:rFonts w:ascii="Palatino Linotype" w:hAnsi="Palatino Linotype"/>
        </w:rPr>
      </w:pPr>
      <w:r w:rsidRPr="00F51AA9">
        <w:rPr>
          <w:rFonts w:ascii="Palatino Linotype" w:hAnsi="Palatino Linotype"/>
        </w:rPr>
        <w:t xml:space="preserve">En este contexto normativo internacional y nacional, la Ley de Transparencia y Acceso a la Información Pública; establece en su artículo 11, segundo párrafo, que los Sujetos Obligados deben buscar en todo momento que la información generada, publicada y además la entregada tenga un lenguaje sencillo para cualquier persona, atendiendo las necesidades del derecho de acceso a la información de toda persona. </w:t>
      </w:r>
    </w:p>
    <w:p w14:paraId="3BAE3AC5" w14:textId="77777777" w:rsidR="007A16C8" w:rsidRPr="00F51AA9" w:rsidRDefault="007A16C8" w:rsidP="002C5803">
      <w:pPr>
        <w:spacing w:after="0" w:line="360" w:lineRule="auto"/>
        <w:ind w:right="49"/>
        <w:jc w:val="both"/>
        <w:rPr>
          <w:rFonts w:ascii="Palatino Linotype" w:hAnsi="Palatino Linotype"/>
        </w:rPr>
      </w:pPr>
    </w:p>
    <w:p w14:paraId="194B126A" w14:textId="253FBED8" w:rsidR="006E055F" w:rsidRPr="00F51AA9" w:rsidRDefault="007A16C8" w:rsidP="002C5803">
      <w:pPr>
        <w:spacing w:after="0" w:line="360" w:lineRule="auto"/>
        <w:ind w:right="49"/>
        <w:jc w:val="both"/>
        <w:rPr>
          <w:rFonts w:ascii="Palatino Linotype" w:hAnsi="Palatino Linotype"/>
        </w:rPr>
      </w:pPr>
      <w:r w:rsidRPr="00F51AA9">
        <w:rPr>
          <w:rFonts w:ascii="Palatino Linotype" w:hAnsi="Palatino Linotype"/>
        </w:rPr>
        <w:t>En este mismo sentido, el penúltimo párrafo del artículo 53 de la Ley de Transparencia y Acceso a la Información Pública del Estado de México y Municipios, establece que dentro de las facultades con las que cuentan las Unidades de Transparencia</w:t>
      </w:r>
      <w:r w:rsidR="00934D6D" w:rsidRPr="00F51AA9">
        <w:rPr>
          <w:rFonts w:ascii="Palatino Linotype" w:hAnsi="Palatino Linotype"/>
        </w:rPr>
        <w:t xml:space="preserve"> de los diversos Sujetos Obligados</w:t>
      </w:r>
      <w:r w:rsidRPr="00F51AA9">
        <w:rPr>
          <w:rFonts w:ascii="Palatino Linotype" w:hAnsi="Palatino Linotype"/>
        </w:rPr>
        <w:t xml:space="preserve">, se encuentra, la de </w:t>
      </w:r>
      <w:r w:rsidR="006E055F" w:rsidRPr="00F51AA9">
        <w:rPr>
          <w:rFonts w:ascii="Palatino Linotype" w:hAnsi="Palatino Linotype"/>
        </w:rPr>
        <w:t>buscar apoyo promoviendo acuerdos con las</w:t>
      </w:r>
      <w:r w:rsidRPr="00F51AA9">
        <w:rPr>
          <w:rFonts w:ascii="Palatino Linotype" w:hAnsi="Palatino Linotype"/>
        </w:rPr>
        <w:t xml:space="preserve"> </w:t>
      </w:r>
      <w:r w:rsidRPr="00F51AA9">
        <w:rPr>
          <w:rFonts w:ascii="Palatino Linotype" w:hAnsi="Palatino Linotype"/>
          <w:b/>
          <w:bCs/>
        </w:rPr>
        <w:t>instituciones públicas especializadas</w:t>
      </w:r>
      <w:r w:rsidRPr="00F51AA9">
        <w:rPr>
          <w:rFonts w:ascii="Palatino Linotype" w:hAnsi="Palatino Linotype"/>
        </w:rPr>
        <w:t xml:space="preserve"> a fin de dar atención a las solicitud</w:t>
      </w:r>
      <w:r w:rsidR="00934D6D" w:rsidRPr="00F51AA9">
        <w:rPr>
          <w:rFonts w:ascii="Palatino Linotype" w:hAnsi="Palatino Linotype"/>
        </w:rPr>
        <w:t>es</w:t>
      </w:r>
      <w:r w:rsidRPr="00F51AA9">
        <w:rPr>
          <w:rFonts w:ascii="Palatino Linotype" w:hAnsi="Palatino Linotype"/>
        </w:rPr>
        <w:t xml:space="preserve"> de información en formatos accesibles</w:t>
      </w:r>
      <w:r w:rsidR="006E055F" w:rsidRPr="00F51AA9">
        <w:rPr>
          <w:rFonts w:ascii="Palatino Linotype" w:hAnsi="Palatino Linotype"/>
        </w:rPr>
        <w:t xml:space="preserve"> como</w:t>
      </w:r>
      <w:r w:rsidRPr="00F51AA9">
        <w:rPr>
          <w:rFonts w:ascii="Palatino Linotype" w:hAnsi="Palatino Linotype"/>
        </w:rPr>
        <w:t xml:space="preserve"> le</w:t>
      </w:r>
      <w:r w:rsidR="006E055F" w:rsidRPr="00F51AA9">
        <w:rPr>
          <w:rFonts w:ascii="Palatino Linotype" w:hAnsi="Palatino Linotype"/>
        </w:rPr>
        <w:t>n</w:t>
      </w:r>
      <w:r w:rsidRPr="00F51AA9">
        <w:rPr>
          <w:rFonts w:ascii="Palatino Linotype" w:hAnsi="Palatino Linotype"/>
        </w:rPr>
        <w:t>guas indígenas,</w:t>
      </w:r>
      <w:r w:rsidR="006E055F" w:rsidRPr="00F51AA9">
        <w:rPr>
          <w:rFonts w:ascii="Palatino Linotype" w:hAnsi="Palatino Linotype"/>
        </w:rPr>
        <w:t xml:space="preserve"> sistema</w:t>
      </w:r>
      <w:r w:rsidRPr="00F51AA9">
        <w:rPr>
          <w:rFonts w:ascii="Palatino Linotype" w:hAnsi="Palatino Linotype"/>
        </w:rPr>
        <w:t xml:space="preserve"> braille o cualquier otr</w:t>
      </w:r>
      <w:r w:rsidR="006E055F" w:rsidRPr="00F51AA9">
        <w:rPr>
          <w:rFonts w:ascii="Palatino Linotype" w:hAnsi="Palatino Linotype"/>
        </w:rPr>
        <w:t xml:space="preserve">o formato accesible, con la finalidad de promover y garantizar en el sentido mas amplio el derecho de acceso a la información para toda persona. </w:t>
      </w:r>
    </w:p>
    <w:p w14:paraId="28223529" w14:textId="77777777" w:rsidR="002C5803" w:rsidRPr="00F51AA9" w:rsidRDefault="002C5803" w:rsidP="002C5803">
      <w:pPr>
        <w:spacing w:after="0" w:line="360" w:lineRule="auto"/>
        <w:ind w:right="49"/>
        <w:jc w:val="both"/>
        <w:rPr>
          <w:rFonts w:ascii="Palatino Linotype" w:hAnsi="Palatino Linotype"/>
        </w:rPr>
      </w:pPr>
    </w:p>
    <w:p w14:paraId="2E67B276" w14:textId="2C0EB50B" w:rsidR="006E055F" w:rsidRPr="00F51AA9" w:rsidRDefault="006E055F" w:rsidP="002C5803">
      <w:pPr>
        <w:spacing w:after="0" w:line="360" w:lineRule="auto"/>
        <w:ind w:right="49"/>
        <w:jc w:val="both"/>
        <w:rPr>
          <w:rFonts w:ascii="Palatino Linotype" w:hAnsi="Palatino Linotype"/>
        </w:rPr>
      </w:pPr>
      <w:r w:rsidRPr="00F51AA9">
        <w:rPr>
          <w:rFonts w:ascii="Palatino Linotype" w:hAnsi="Palatino Linotype"/>
        </w:rPr>
        <w:t xml:space="preserve">Aunado a lo anterior, el artículo 81 de la Ley de Transparencia y Acceso a la Información Pública del Estado de México y Municipios, establece que, tanto este Organismo Garante como los Sujetos Obligados, deben buscar en todo momento que la información publicada sea accesible a toda la población, sin distinción alguna; lo que involucra una acción de inclusión, en el que no se discrimine a ninguna persona y en el que se busque la publicación </w:t>
      </w:r>
      <w:r w:rsidRPr="00F51AA9">
        <w:rPr>
          <w:rFonts w:ascii="Palatino Linotype" w:hAnsi="Palatino Linotype"/>
        </w:rPr>
        <w:lastRenderedPageBreak/>
        <w:t>de la información en cualquier formato accesible para que las personas con discapacidad puedan acceder a la información.</w:t>
      </w:r>
    </w:p>
    <w:p w14:paraId="5F5F4437" w14:textId="77777777" w:rsidR="002F624C" w:rsidRPr="00F51AA9" w:rsidRDefault="002F624C" w:rsidP="002C5803">
      <w:pPr>
        <w:spacing w:after="0" w:line="360" w:lineRule="auto"/>
        <w:ind w:right="49"/>
        <w:jc w:val="both"/>
        <w:rPr>
          <w:rFonts w:ascii="Palatino Linotype" w:hAnsi="Palatino Linotype"/>
        </w:rPr>
      </w:pPr>
    </w:p>
    <w:p w14:paraId="7F8AC893" w14:textId="77777777" w:rsidR="00DE2CA0" w:rsidRPr="00F51AA9" w:rsidRDefault="00DE2CA0" w:rsidP="002C5803">
      <w:pPr>
        <w:spacing w:after="0" w:line="360" w:lineRule="auto"/>
        <w:ind w:right="49"/>
        <w:jc w:val="both"/>
        <w:rPr>
          <w:rFonts w:ascii="Palatino Linotype" w:hAnsi="Palatino Linotype"/>
        </w:rPr>
      </w:pPr>
      <w:r w:rsidRPr="00F51AA9">
        <w:rPr>
          <w:rFonts w:ascii="Palatino Linotype" w:hAnsi="Palatino Linotype"/>
        </w:rPr>
        <w:t>Cabe precisar, que el Instituto Nacional de Transparencia, Acceso a la Información y Protección de Datos Personales (INAI), emitió  los Criterios para que los Sujetos Obligados Garanticen las Condiciones de Accesibilidad que permitan el ejercicio del Derecho de Acceso a la Información a los Grupos en situación de Vulnerabilidad, del cual destaca el capítulo II “De las acciones para garantizar el ejercicio del derecho a la información”, donde establece que los sujetos obligados, en el marco de sus atribuciones, deberán promover e implementar acciones tendientes a garantizar las condiciones de accesibilidad para que los grupos en situación de vulnerabilidad puedan ejercer, en igualdad de condiciones y sin discriminación alguna, el derecho de acceso a la información con la finalidad de eliminar las brechas físicas, comunicacionales, normativas o de cualquier otro tipo que puedan obstaculizar el pleno ejercicio del derecho antes mencionado.</w:t>
      </w:r>
    </w:p>
    <w:p w14:paraId="7B2AA331" w14:textId="77777777" w:rsidR="00DE2CA0" w:rsidRPr="00F51AA9" w:rsidRDefault="00DE2CA0" w:rsidP="002C5803">
      <w:pPr>
        <w:spacing w:after="0" w:line="360" w:lineRule="auto"/>
        <w:ind w:right="49"/>
        <w:jc w:val="both"/>
        <w:rPr>
          <w:rFonts w:ascii="Palatino Linotype" w:hAnsi="Palatino Linotype"/>
        </w:rPr>
      </w:pPr>
    </w:p>
    <w:p w14:paraId="31B70ACF" w14:textId="7A22439D" w:rsidR="00DE2CA0" w:rsidRPr="00F51AA9" w:rsidRDefault="00DE2CA0" w:rsidP="002C5803">
      <w:pPr>
        <w:spacing w:after="0" w:line="360" w:lineRule="auto"/>
        <w:ind w:right="49"/>
        <w:jc w:val="both"/>
        <w:rPr>
          <w:rFonts w:ascii="Palatino Linotype" w:hAnsi="Palatino Linotype"/>
        </w:rPr>
      </w:pPr>
      <w:r w:rsidRPr="00F51AA9">
        <w:rPr>
          <w:rFonts w:ascii="Palatino Linotype" w:hAnsi="Palatino Linotype"/>
        </w:rPr>
        <w:t>Además, de los Criterios mencionados,</w:t>
      </w:r>
      <w:r w:rsidR="00A849D3" w:rsidRPr="00F51AA9">
        <w:rPr>
          <w:rFonts w:ascii="Palatino Linotype" w:hAnsi="Palatino Linotype"/>
        </w:rPr>
        <w:t xml:space="preserve"> destaca</w:t>
      </w:r>
      <w:r w:rsidRPr="00F51AA9">
        <w:rPr>
          <w:rFonts w:ascii="Palatino Linotype" w:hAnsi="Palatino Linotype"/>
        </w:rPr>
        <w:t xml:space="preserve"> una acción que </w:t>
      </w:r>
      <w:r w:rsidR="00A849D3" w:rsidRPr="00F51AA9">
        <w:rPr>
          <w:rFonts w:ascii="Palatino Linotype" w:hAnsi="Palatino Linotype"/>
        </w:rPr>
        <w:t>es la del d</w:t>
      </w:r>
      <w:r w:rsidRPr="00F51AA9">
        <w:rPr>
          <w:rFonts w:ascii="Palatino Linotype" w:hAnsi="Palatino Linotype"/>
        </w:rPr>
        <w:t xml:space="preserve">iseño y distribución de información en formatos accesibles (folletos, trípticos, carteles, audiolibros y otros materiales de divulgación) que en sus contenidos difundan información de carácter obligatoria para los sujetos obligados, que promuevan y fomenten el ejercicio del derecho de acceso a la información, los procedimientos y requisitos para garantizar el efectivo ejercicio del mismo bajo el </w:t>
      </w:r>
      <w:r w:rsidRPr="00F51AA9">
        <w:rPr>
          <w:rFonts w:ascii="Palatino Linotype" w:hAnsi="Palatino Linotype"/>
          <w:i/>
          <w:iCs/>
        </w:rPr>
        <w:t>principio pro-persona</w:t>
      </w:r>
      <w:r w:rsidRPr="00F51AA9">
        <w:rPr>
          <w:rFonts w:ascii="Palatino Linotype" w:hAnsi="Palatino Linotype"/>
        </w:rPr>
        <w:t>, entendiendo a este último como un criterio de interpretación de las normas para optar por la aplicación de aquella que favorezca en mayor medida a la sociedad, o bien, que implique menores restricciones al ejercicio de los derechos</w:t>
      </w:r>
      <w:r w:rsidR="00A849D3" w:rsidRPr="00F51AA9">
        <w:rPr>
          <w:rFonts w:ascii="Palatino Linotype" w:hAnsi="Palatino Linotype"/>
        </w:rPr>
        <w:t>, d</w:t>
      </w:r>
      <w:r w:rsidRPr="00F51AA9">
        <w:rPr>
          <w:rFonts w:ascii="Palatino Linotype" w:hAnsi="Palatino Linotype"/>
        </w:rPr>
        <w:t xml:space="preserve">icha información deberá ser plasmada en lenguas indígenas, en formatos físicos adaptados al Sistema de Escritura Braille, en audio guías o en cualquier formato pertinente </w:t>
      </w:r>
      <w:r w:rsidRPr="00F51AA9">
        <w:rPr>
          <w:rFonts w:ascii="Palatino Linotype" w:hAnsi="Palatino Linotype"/>
        </w:rPr>
        <w:lastRenderedPageBreak/>
        <w:t>para la inclusión de las personas en situación de vulnerabilidad, de acuerdo a los correspondientes beneficiarios de cada sujeto obligado.</w:t>
      </w:r>
    </w:p>
    <w:p w14:paraId="6BA7044D" w14:textId="77777777" w:rsidR="005330BF" w:rsidRPr="00F51AA9" w:rsidRDefault="005330BF" w:rsidP="002C5803">
      <w:pPr>
        <w:spacing w:after="0" w:line="360" w:lineRule="auto"/>
        <w:ind w:right="49"/>
        <w:jc w:val="both"/>
        <w:rPr>
          <w:rFonts w:ascii="Palatino Linotype" w:hAnsi="Palatino Linotype"/>
        </w:rPr>
      </w:pPr>
    </w:p>
    <w:p w14:paraId="4891A381" w14:textId="3D608150" w:rsidR="00226F4E" w:rsidRPr="00F51AA9" w:rsidRDefault="005330BF" w:rsidP="002C5803">
      <w:pPr>
        <w:spacing w:after="0" w:line="360" w:lineRule="auto"/>
        <w:ind w:right="49"/>
        <w:jc w:val="both"/>
        <w:rPr>
          <w:rFonts w:ascii="Palatino Linotype" w:hAnsi="Palatino Linotype"/>
        </w:rPr>
      </w:pPr>
      <w:r w:rsidRPr="00F51AA9">
        <w:rPr>
          <w:rFonts w:ascii="Palatino Linotype" w:hAnsi="Palatino Linotype"/>
        </w:rPr>
        <w:t>Al respecto, INAI,</w:t>
      </w:r>
      <w:r w:rsidR="00F51AA9" w:rsidRPr="00F51AA9">
        <w:rPr>
          <w:rFonts w:ascii="Palatino Linotype" w:hAnsi="Palatino Linotype"/>
        </w:rPr>
        <w:t xml:space="preserve"> también</w:t>
      </w:r>
      <w:r w:rsidRPr="00F51AA9">
        <w:rPr>
          <w:rFonts w:ascii="Palatino Linotype" w:hAnsi="Palatino Linotype"/>
        </w:rPr>
        <w:t xml:space="preserve"> emitió  el Acuerdo mediante el cual se aprueba la traducción e impresión de leyes de Transparencia locales en Sistema Braille, con apoyo del Instituto de Transparencia, Acceso a la Información Pública y Protección de Datos Personales del Estado de México y Municipios, </w:t>
      </w:r>
      <w:r w:rsidR="00E836E9" w:rsidRPr="00F51AA9">
        <w:rPr>
          <w:rFonts w:ascii="Palatino Linotype" w:hAnsi="Palatino Linotype"/>
        </w:rPr>
        <w:t xml:space="preserve">en el cual establece que el Instituto de Transparencia, Acceso a la Información Pública y Protección de Datos Personales del Estado de México y Municipios (INFOEM), cuenta con una impresora braille la cual permitirá la impresión de las leyes, además el procedimiento a seguir para obtener este apoyo por parte del Instituto, todo esto con la finalidad de implementar acciones que garanticen condiciones de accesibilidad para que los grupos vulnerables puedan ejercer, en igualdad de condiciones, el derecho de acceso a la información y la protección de datos personales, pues los Organismos Garantes locales, integrantes federales y el Instituto Nacional de Transparencia, Acceso a la Información y Protección de Datos </w:t>
      </w:r>
      <w:r w:rsidR="00226F4E" w:rsidRPr="00F51AA9">
        <w:rPr>
          <w:rFonts w:ascii="Palatino Linotype" w:hAnsi="Palatino Linotype"/>
        </w:rPr>
        <w:t>Personales son responsables de impulsar el ejercicio del derecho de acceso a la información, la transparencia, rendición de cuentas y la gestión documental los criterios de accesibilidad, disponibilidad, adaptabilidad y aceptabilidad de la información pública.</w:t>
      </w:r>
    </w:p>
    <w:p w14:paraId="57401460" w14:textId="77777777" w:rsidR="00226F4E" w:rsidRPr="00F51AA9" w:rsidRDefault="00226F4E" w:rsidP="002C5803">
      <w:pPr>
        <w:spacing w:after="0" w:line="360" w:lineRule="auto"/>
        <w:ind w:right="49"/>
        <w:jc w:val="both"/>
        <w:rPr>
          <w:rFonts w:ascii="Palatino Linotype" w:hAnsi="Palatino Linotype"/>
        </w:rPr>
      </w:pPr>
    </w:p>
    <w:p w14:paraId="6993040A" w14:textId="579E2C8F" w:rsidR="00261278" w:rsidRPr="00F51AA9" w:rsidRDefault="00261278" w:rsidP="002C5803">
      <w:pPr>
        <w:spacing w:after="0" w:line="360" w:lineRule="auto"/>
        <w:ind w:right="49"/>
        <w:jc w:val="both"/>
        <w:rPr>
          <w:rFonts w:ascii="Palatino Linotype" w:hAnsi="Palatino Linotype"/>
        </w:rPr>
      </w:pPr>
      <w:r w:rsidRPr="00F51AA9">
        <w:rPr>
          <w:rFonts w:ascii="Palatino Linotype" w:hAnsi="Palatino Linotype"/>
        </w:rPr>
        <w:t>En ese contexto, cabe destacar que de conformidad con el  Censo de Población y Vivienda 2020 realizado por el INEGI se pudo identificar que en nuestro país hay 20, 838,108 personas con alguna discapacidad, limitación en la actividad cotidiana o con algún problema o condición mental (16.5% de la población), de las cuales 12, 272,653 personas tienen algún nivel de discapacidad visual, lo que representa el 61% del total de este universo.</w:t>
      </w:r>
    </w:p>
    <w:p w14:paraId="46AB3472" w14:textId="77777777" w:rsidR="001A2DFC" w:rsidRPr="00F51AA9" w:rsidRDefault="001A2DFC" w:rsidP="002C5803">
      <w:pPr>
        <w:spacing w:after="0" w:line="360" w:lineRule="auto"/>
        <w:ind w:right="49"/>
        <w:jc w:val="both"/>
        <w:rPr>
          <w:rFonts w:ascii="Palatino Linotype" w:hAnsi="Palatino Linotype"/>
        </w:rPr>
      </w:pPr>
    </w:p>
    <w:p w14:paraId="6002BF77" w14:textId="55B7A1B1" w:rsidR="00295CBE" w:rsidRPr="00F51AA9" w:rsidRDefault="001A2DFC" w:rsidP="002C5803">
      <w:pPr>
        <w:spacing w:after="0" w:line="360" w:lineRule="auto"/>
        <w:ind w:right="49"/>
        <w:jc w:val="both"/>
        <w:rPr>
          <w:rFonts w:ascii="Palatino Linotype" w:hAnsi="Palatino Linotype"/>
        </w:rPr>
      </w:pPr>
      <w:r w:rsidRPr="00F51AA9">
        <w:rPr>
          <w:rFonts w:ascii="Palatino Linotype" w:hAnsi="Palatino Linotype"/>
        </w:rPr>
        <w:lastRenderedPageBreak/>
        <w:t xml:space="preserve">Así, en atención a lo antes expuesto, es dable determinar que en el presente caso, resulta fundamental observar la </w:t>
      </w:r>
      <w:r w:rsidR="00A375E2" w:rsidRPr="00F51AA9">
        <w:rPr>
          <w:rFonts w:ascii="Palatino Linotype" w:hAnsi="Palatino Linotype"/>
        </w:rPr>
        <w:t>Convención sobre los Derechos de las Personas con Discapacidad</w:t>
      </w:r>
      <w:r w:rsidRPr="00F51AA9">
        <w:rPr>
          <w:rFonts w:ascii="Palatino Linotype" w:hAnsi="Palatino Linotype"/>
        </w:rPr>
        <w:t xml:space="preserve">; a fin de garantizar que las personas </w:t>
      </w:r>
      <w:r w:rsidR="00A375E2" w:rsidRPr="00F51AA9">
        <w:rPr>
          <w:rFonts w:ascii="Palatino Linotype" w:hAnsi="Palatino Linotype"/>
        </w:rPr>
        <w:t>con discapacidad visual</w:t>
      </w:r>
      <w:r w:rsidRPr="00F51AA9">
        <w:rPr>
          <w:rFonts w:ascii="Palatino Linotype" w:hAnsi="Palatino Linotype"/>
        </w:rPr>
        <w:t xml:space="preserve">, disfruten plenamente de sus derechos humanos </w:t>
      </w:r>
      <w:r w:rsidR="00295CBE" w:rsidRPr="00F51AA9">
        <w:rPr>
          <w:rFonts w:ascii="Palatino Linotype" w:hAnsi="Palatino Linotype"/>
        </w:rPr>
        <w:t xml:space="preserve">y libertades fundamentales, </w:t>
      </w:r>
      <w:r w:rsidRPr="00F51AA9">
        <w:rPr>
          <w:rFonts w:ascii="Palatino Linotype" w:hAnsi="Palatino Linotype"/>
        </w:rPr>
        <w:t xml:space="preserve">sin distinción alguna </w:t>
      </w:r>
      <w:r w:rsidR="00295CBE" w:rsidRPr="00F51AA9">
        <w:rPr>
          <w:rFonts w:ascii="Palatino Linotype" w:hAnsi="Palatino Linotype"/>
        </w:rPr>
        <w:t>garantizando la accesibilidad a la información pública; a</w:t>
      </w:r>
      <w:r w:rsidRPr="00F51AA9">
        <w:rPr>
          <w:rFonts w:ascii="Palatino Linotype" w:hAnsi="Palatino Linotype"/>
        </w:rPr>
        <w:t xml:space="preserve">simismo, se aplica el principio </w:t>
      </w:r>
      <w:r w:rsidRPr="00F51AA9">
        <w:rPr>
          <w:rFonts w:ascii="Palatino Linotype" w:hAnsi="Palatino Linotype"/>
          <w:i/>
          <w:iCs/>
        </w:rPr>
        <w:t>pro persona</w:t>
      </w:r>
      <w:r w:rsidRPr="00F51AA9">
        <w:rPr>
          <w:rFonts w:ascii="Palatino Linotype" w:hAnsi="Palatino Linotype"/>
        </w:rPr>
        <w:t xml:space="preserve">, en la interpretación y aplicación de normas jurídicas que rigen el ejercicio de los derechos de transparencia y acceso a la información pública, de forma tal, que implique la máxima protección en favor de la persona y la máxima publicidad de la información. </w:t>
      </w:r>
    </w:p>
    <w:p w14:paraId="70FA8470" w14:textId="77777777" w:rsidR="00295CBE" w:rsidRPr="00F51AA9" w:rsidRDefault="00295CBE" w:rsidP="002C5803">
      <w:pPr>
        <w:spacing w:after="0" w:line="360" w:lineRule="auto"/>
        <w:ind w:right="49"/>
        <w:jc w:val="both"/>
        <w:rPr>
          <w:rFonts w:ascii="Palatino Linotype" w:hAnsi="Palatino Linotype"/>
        </w:rPr>
      </w:pPr>
    </w:p>
    <w:p w14:paraId="0C3CA40A" w14:textId="630CB3BC" w:rsidR="00134FF0" w:rsidRPr="00F51AA9" w:rsidRDefault="00AA0601" w:rsidP="00134FF0">
      <w:pPr>
        <w:spacing w:after="0" w:line="360" w:lineRule="auto"/>
        <w:ind w:right="49"/>
        <w:jc w:val="both"/>
        <w:rPr>
          <w:rFonts w:ascii="Palatino Linotype" w:hAnsi="Palatino Linotype"/>
        </w:rPr>
      </w:pPr>
      <w:r w:rsidRPr="00F51AA9">
        <w:rPr>
          <w:rFonts w:ascii="Palatino Linotype" w:hAnsi="Palatino Linotype"/>
        </w:rPr>
        <w:t>Ahora bien, en el caso que nos ocupa y tratándose del Sistema Municipal para el Desarrollo Integral de la Familia de Toluca como Sujeto Obligado y</w:t>
      </w:r>
      <w:r w:rsidR="00F51AA9" w:rsidRPr="00F51AA9">
        <w:rPr>
          <w:rFonts w:ascii="Palatino Linotype" w:hAnsi="Palatino Linotype"/>
        </w:rPr>
        <w:t>,</w:t>
      </w:r>
      <w:r w:rsidRPr="00F51AA9">
        <w:rPr>
          <w:rFonts w:ascii="Palatino Linotype" w:hAnsi="Palatino Linotype"/>
        </w:rPr>
        <w:t xml:space="preserve"> que su principal objetivo es proteger y dar atención a la población más vulnerable</w:t>
      </w:r>
      <w:r w:rsidR="000C6EC2" w:rsidRPr="00F51AA9">
        <w:rPr>
          <w:rFonts w:ascii="Palatino Linotype" w:hAnsi="Palatino Linotype"/>
        </w:rPr>
        <w:t xml:space="preserve"> que son las personas que se </w:t>
      </w:r>
      <w:r w:rsidRPr="00F51AA9">
        <w:rPr>
          <w:rFonts w:ascii="Palatino Linotype" w:hAnsi="Palatino Linotype"/>
        </w:rPr>
        <w:t>encuentran en situaciones de riesgo o discriminación que les impiden ejercer, en igualdad de condiciones</w:t>
      </w:r>
      <w:r w:rsidR="000C6EC2" w:rsidRPr="00F51AA9">
        <w:rPr>
          <w:rFonts w:ascii="Palatino Linotype" w:hAnsi="Palatino Linotype"/>
        </w:rPr>
        <w:t xml:space="preserve"> sus derechos, </w:t>
      </w:r>
      <w:r w:rsidRPr="00F51AA9">
        <w:rPr>
          <w:rFonts w:ascii="Palatino Linotype" w:hAnsi="Palatino Linotype"/>
        </w:rPr>
        <w:t>brinda</w:t>
      </w:r>
      <w:r w:rsidR="00F51AA9" w:rsidRPr="00F51AA9">
        <w:rPr>
          <w:rFonts w:ascii="Palatino Linotype" w:hAnsi="Palatino Linotype"/>
        </w:rPr>
        <w:t>r</w:t>
      </w:r>
      <w:r w:rsidRPr="00F51AA9">
        <w:rPr>
          <w:rFonts w:ascii="Palatino Linotype" w:hAnsi="Palatino Linotype"/>
        </w:rPr>
        <w:t xml:space="preserve"> servicios y apoyos para crear mejores condiciones de vida para estas personas</w:t>
      </w:r>
      <w:r w:rsidR="000C6EC2" w:rsidRPr="00F51AA9">
        <w:rPr>
          <w:rFonts w:ascii="Palatino Linotype" w:hAnsi="Palatino Linotype"/>
        </w:rPr>
        <w:t xml:space="preserve">, la Ponencia Resolutora junto con el Sujeto Obligado a través de los procedimientos necesarios, debieron buscar acciones para dar solución y garantizar el derecho de acceso a la información al Particular, </w:t>
      </w:r>
      <w:r w:rsidR="00F51AA9" w:rsidRPr="00F51AA9">
        <w:rPr>
          <w:rFonts w:ascii="Palatino Linotype" w:hAnsi="Palatino Linotype"/>
        </w:rPr>
        <w:t xml:space="preserve">ya </w:t>
      </w:r>
      <w:r w:rsidR="000C6EC2" w:rsidRPr="00F51AA9">
        <w:rPr>
          <w:rFonts w:ascii="Palatino Linotype" w:hAnsi="Palatino Linotype"/>
        </w:rPr>
        <w:t xml:space="preserve">que si bien la Ley General para la Inclusión de las Personas con Discapacidad citada por las dependencias no contiene obligación específica </w:t>
      </w:r>
      <w:r w:rsidR="00134FF0" w:rsidRPr="00F51AA9">
        <w:rPr>
          <w:rFonts w:ascii="Palatino Linotype" w:hAnsi="Palatino Linotype"/>
        </w:rPr>
        <w:t xml:space="preserve">de garantizar el derecho de acceso a la información a través de documentos oficiales, la Ley de Transparencia y Acceso a la Información Pública del Estado de México y Municipios establece como obligación de las Unidades de Transparencia de los Sujetos Obligados promover a través de acuerdo con las </w:t>
      </w:r>
      <w:r w:rsidR="00134FF0" w:rsidRPr="00F51AA9">
        <w:rPr>
          <w:rFonts w:ascii="Palatino Linotype" w:hAnsi="Palatino Linotype"/>
          <w:b/>
          <w:bCs/>
        </w:rPr>
        <w:t>instituciones públicas especializadas</w:t>
      </w:r>
      <w:r w:rsidR="00134FF0" w:rsidRPr="00F51AA9">
        <w:rPr>
          <w:rFonts w:ascii="Palatino Linotype" w:hAnsi="Palatino Linotype"/>
        </w:rPr>
        <w:t xml:space="preserve"> a fin de dar atención a las solicitudes de información en formatos accesibles como el </w:t>
      </w:r>
      <w:r w:rsidR="00134FF0" w:rsidRPr="00F51AA9">
        <w:rPr>
          <w:rFonts w:ascii="Palatino Linotype" w:hAnsi="Palatino Linotype"/>
          <w:b/>
          <w:bCs/>
        </w:rPr>
        <w:t>Sistema Braille</w:t>
      </w:r>
      <w:r w:rsidR="00134FF0" w:rsidRPr="00F51AA9">
        <w:rPr>
          <w:rFonts w:ascii="Palatino Linotype" w:hAnsi="Palatino Linotype"/>
        </w:rPr>
        <w:t xml:space="preserve">. </w:t>
      </w:r>
    </w:p>
    <w:p w14:paraId="24C09C65" w14:textId="77777777" w:rsidR="00134FF0" w:rsidRPr="00F51AA9" w:rsidRDefault="00134FF0" w:rsidP="002C5803">
      <w:pPr>
        <w:spacing w:after="0" w:line="360" w:lineRule="auto"/>
        <w:ind w:right="49"/>
        <w:jc w:val="both"/>
        <w:rPr>
          <w:rFonts w:ascii="Palatino Linotype" w:hAnsi="Palatino Linotype"/>
        </w:rPr>
      </w:pPr>
    </w:p>
    <w:p w14:paraId="10368750" w14:textId="3117FD85" w:rsidR="00134FF0" w:rsidRPr="00F51AA9" w:rsidRDefault="00134FF0" w:rsidP="002C5803">
      <w:pPr>
        <w:spacing w:after="0" w:line="360" w:lineRule="auto"/>
        <w:ind w:right="49"/>
        <w:jc w:val="both"/>
        <w:rPr>
          <w:rFonts w:ascii="Palatino Linotype" w:hAnsi="Palatino Linotype"/>
        </w:rPr>
      </w:pPr>
      <w:r w:rsidRPr="00F51AA9">
        <w:rPr>
          <w:rFonts w:ascii="Palatino Linotype" w:hAnsi="Palatino Linotype"/>
        </w:rPr>
        <w:lastRenderedPageBreak/>
        <w:t>Así</w:t>
      </w:r>
      <w:r w:rsidR="001A2DFC" w:rsidRPr="00F51AA9">
        <w:rPr>
          <w:rFonts w:ascii="Palatino Linotype" w:hAnsi="Palatino Linotype"/>
        </w:rPr>
        <w:t xml:space="preserve">, se debe observar la Ley de Transparencia y Acceso a la Información Pública del Estado de México y Municipios; en el marco de aplicación de una máxima protección en favor del Recurrente; de forma tal que se prevea la posibilidad de dar acceso a la información, en </w:t>
      </w:r>
      <w:r w:rsidRPr="00F51AA9">
        <w:rPr>
          <w:rFonts w:ascii="Palatino Linotype" w:hAnsi="Palatino Linotype"/>
        </w:rPr>
        <w:t>el formato</w:t>
      </w:r>
      <w:r w:rsidR="001A2DFC" w:rsidRPr="00F51AA9">
        <w:rPr>
          <w:rFonts w:ascii="Palatino Linotype" w:hAnsi="Palatino Linotype"/>
        </w:rPr>
        <w:t xml:space="preserve"> solicitad</w:t>
      </w:r>
      <w:r w:rsidRPr="00F51AA9">
        <w:rPr>
          <w:rFonts w:ascii="Palatino Linotype" w:hAnsi="Palatino Linotype"/>
        </w:rPr>
        <w:t>o</w:t>
      </w:r>
      <w:r w:rsidR="001A2DFC" w:rsidRPr="00F51AA9">
        <w:rPr>
          <w:rFonts w:ascii="Palatino Linotype" w:hAnsi="Palatino Linotype"/>
        </w:rPr>
        <w:t xml:space="preserve">; aún más, cuando </w:t>
      </w:r>
      <w:r w:rsidRPr="00F51AA9">
        <w:rPr>
          <w:rFonts w:ascii="Palatino Linotype" w:hAnsi="Palatino Linotype"/>
        </w:rPr>
        <w:t xml:space="preserve">este Instituto de Transparencia, Acceso a la Información Pública y Protección de Datos Personales del Estado de México y Municipios (INFOEM), cuenta con la herramienta necesaria la impresora tiflotécnica la cual permitirá la impresión de documentos en Sistema Braille. </w:t>
      </w:r>
    </w:p>
    <w:p w14:paraId="43DFB3A9" w14:textId="77777777" w:rsidR="00F51AA9" w:rsidRPr="00F51AA9" w:rsidRDefault="00F51AA9" w:rsidP="002C5803">
      <w:pPr>
        <w:spacing w:after="0" w:line="360" w:lineRule="auto"/>
        <w:ind w:right="49"/>
        <w:jc w:val="both"/>
        <w:rPr>
          <w:rFonts w:ascii="Palatino Linotype" w:hAnsi="Palatino Linotype"/>
        </w:rPr>
      </w:pPr>
    </w:p>
    <w:p w14:paraId="211C3718" w14:textId="59E63EB0" w:rsidR="00F51AA9" w:rsidRPr="00F51AA9" w:rsidRDefault="00F51AA9" w:rsidP="002C5803">
      <w:pPr>
        <w:spacing w:after="0" w:line="360" w:lineRule="auto"/>
        <w:ind w:right="49"/>
        <w:jc w:val="both"/>
        <w:rPr>
          <w:rFonts w:ascii="Palatino Linotype" w:hAnsi="Palatino Linotype"/>
        </w:rPr>
      </w:pPr>
      <w:r w:rsidRPr="00F51AA9">
        <w:rPr>
          <w:rFonts w:ascii="Palatino Linotype" w:hAnsi="Palatino Linotype"/>
        </w:rPr>
        <w:t>Además, hacer una invitación para que en Sujeto Obligado, ofrezca otras formas de acceder a la información, para el caso que nos ocupa, no brinda ningún beneficio al Recurrente, pues no tendrá la posibilidad de conocer el contenido del Reglamento de su interés, ni siquiera con la interposición del Recurso de Revisión, pues confirmar la respuesta indica que el asunto está concluido y este Organismo Garante no podrá verificar si se ha realizado alguna acción en favor de las personas con discapacidad visual.</w:t>
      </w:r>
    </w:p>
    <w:p w14:paraId="131DE52E" w14:textId="77777777" w:rsidR="001A2DFC" w:rsidRPr="00F51AA9" w:rsidRDefault="001A2DFC" w:rsidP="002C5803">
      <w:pPr>
        <w:spacing w:after="0" w:line="360" w:lineRule="auto"/>
        <w:ind w:right="49"/>
        <w:jc w:val="both"/>
        <w:rPr>
          <w:rFonts w:ascii="Palatino Linotype" w:hAnsi="Palatino Linotype"/>
        </w:rPr>
      </w:pPr>
    </w:p>
    <w:p w14:paraId="6F4571A1" w14:textId="492751CE" w:rsidR="005527AD" w:rsidRDefault="005527AD" w:rsidP="00656A8D">
      <w:pPr>
        <w:spacing w:after="0" w:line="360" w:lineRule="auto"/>
        <w:ind w:right="49"/>
        <w:jc w:val="both"/>
        <w:rPr>
          <w:rFonts w:ascii="Palatino Linotype" w:hAnsi="Palatino Linotype" w:cs="Tahoma"/>
          <w:lang w:val="es-MX"/>
        </w:rPr>
      </w:pPr>
      <w:r w:rsidRPr="00F51AA9">
        <w:rPr>
          <w:rFonts w:ascii="Palatino Linotype" w:hAnsi="Palatino Linotype" w:cs="Tahoma"/>
          <w:lang w:val="es-MX"/>
        </w:rPr>
        <w:t xml:space="preserve">Así, con base en los razonamientos expuestos, se emite el Presente Voto </w:t>
      </w:r>
      <w:r w:rsidR="00255AA8" w:rsidRPr="00F51AA9">
        <w:rPr>
          <w:rFonts w:ascii="Palatino Linotype" w:hAnsi="Palatino Linotype" w:cs="Tahoma"/>
          <w:lang w:val="es-MX"/>
        </w:rPr>
        <w:t>Disidente</w:t>
      </w:r>
      <w:r w:rsidRPr="00F51AA9">
        <w:rPr>
          <w:rFonts w:ascii="Palatino Linotype" w:hAnsi="Palatino Linotype" w:cs="Tahoma"/>
          <w:lang w:val="es-MX"/>
        </w:rPr>
        <w:t xml:space="preserve">. </w:t>
      </w:r>
      <w:r w:rsidR="00656A8D" w:rsidRPr="00F51AA9">
        <w:rPr>
          <w:rFonts w:ascii="Palatino Linotype" w:hAnsi="Palatino Linotype" w:cs="Tahoma"/>
          <w:lang w:val="es-MX"/>
        </w:rPr>
        <w:t>---------------------------------------------------------------------------------------------------------------------------------</w:t>
      </w:r>
    </w:p>
    <w:p w14:paraId="56251C02" w14:textId="77777777" w:rsidR="005527AD" w:rsidRPr="00147007" w:rsidRDefault="005527AD" w:rsidP="005527AD">
      <w:pPr>
        <w:spacing w:after="0" w:line="360" w:lineRule="auto"/>
        <w:ind w:right="49"/>
        <w:jc w:val="both"/>
        <w:rPr>
          <w:rFonts w:ascii="Palatino Linotype" w:hAnsi="Palatino Linotype" w:cs="Tahoma"/>
          <w:lang w:val="es-MX"/>
        </w:rPr>
      </w:pPr>
    </w:p>
    <w:p w14:paraId="5A5A51AE" w14:textId="77777777" w:rsidR="00092361" w:rsidRDefault="00092361">
      <w:pPr>
        <w:rPr>
          <w:lang w:val="es-MX"/>
        </w:rPr>
      </w:pPr>
    </w:p>
    <w:p w14:paraId="4F85F070" w14:textId="77777777" w:rsidR="00A05E17" w:rsidRDefault="00A05E17">
      <w:pPr>
        <w:rPr>
          <w:lang w:val="es-MX"/>
        </w:rPr>
      </w:pPr>
    </w:p>
    <w:p w14:paraId="3D1978EA" w14:textId="77777777" w:rsidR="00A05E17" w:rsidRDefault="00A05E17">
      <w:pPr>
        <w:rPr>
          <w:lang w:val="es-MX"/>
        </w:rPr>
      </w:pPr>
    </w:p>
    <w:p w14:paraId="65D77CCA" w14:textId="77777777" w:rsidR="00A05E17" w:rsidRDefault="00A05E17">
      <w:pPr>
        <w:rPr>
          <w:lang w:val="es-MX"/>
        </w:rPr>
      </w:pPr>
    </w:p>
    <w:p w14:paraId="72328E93" w14:textId="77777777" w:rsidR="00A05E17" w:rsidRDefault="00A05E17">
      <w:pPr>
        <w:rPr>
          <w:lang w:val="es-MX"/>
        </w:rPr>
      </w:pPr>
    </w:p>
    <w:p w14:paraId="14B79FCA" w14:textId="77777777" w:rsidR="00A05E17" w:rsidRDefault="00A05E17">
      <w:pPr>
        <w:rPr>
          <w:lang w:val="es-MX"/>
        </w:rPr>
      </w:pPr>
    </w:p>
    <w:p w14:paraId="534AB483" w14:textId="77777777" w:rsidR="00A05E17" w:rsidRDefault="00A05E17">
      <w:pPr>
        <w:rPr>
          <w:lang w:val="es-MX"/>
        </w:rPr>
      </w:pPr>
    </w:p>
    <w:p w14:paraId="20D12F79" w14:textId="77777777" w:rsidR="00A05E17" w:rsidRDefault="00A05E17">
      <w:pPr>
        <w:rPr>
          <w:lang w:val="es-MX"/>
        </w:rPr>
      </w:pPr>
    </w:p>
    <w:p w14:paraId="4E023A72" w14:textId="77777777" w:rsidR="00A05E17" w:rsidRPr="005527AD" w:rsidRDefault="00A05E17">
      <w:pPr>
        <w:rPr>
          <w:lang w:val="es-MX"/>
        </w:rPr>
      </w:pPr>
    </w:p>
    <w:sectPr w:rsidR="00A05E17" w:rsidRPr="005527AD" w:rsidSect="00283F9A">
      <w:headerReference w:type="default" r:id="rId21"/>
      <w:footerReference w:type="default" r:id="rId22"/>
      <w:pgSz w:w="12240" w:h="15840" w:code="1"/>
      <w:pgMar w:top="1417" w:right="1701" w:bottom="1560" w:left="1701" w:header="142" w:footer="1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D0FE" w14:textId="77777777" w:rsidR="00CE5C58" w:rsidRDefault="00CE5C58" w:rsidP="005527AD">
      <w:pPr>
        <w:spacing w:after="0" w:line="240" w:lineRule="auto"/>
      </w:pPr>
      <w:r>
        <w:separator/>
      </w:r>
    </w:p>
  </w:endnote>
  <w:endnote w:type="continuationSeparator" w:id="0">
    <w:p w14:paraId="62B34668" w14:textId="77777777" w:rsidR="00CE5C58" w:rsidRDefault="00CE5C58" w:rsidP="0055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1E696A5D" w14:textId="77777777" w:rsidR="0087429B" w:rsidRDefault="00CF3C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F7BA9">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F7BA9">
              <w:rPr>
                <w:b/>
                <w:bCs/>
                <w:noProof/>
              </w:rPr>
              <w:t>5</w:t>
            </w:r>
            <w:r>
              <w:rPr>
                <w:b/>
                <w:bCs/>
                <w:sz w:val="24"/>
                <w:szCs w:val="24"/>
              </w:rPr>
              <w:fldChar w:fldCharType="end"/>
            </w:r>
          </w:p>
        </w:sdtContent>
      </w:sdt>
    </w:sdtContent>
  </w:sdt>
  <w:p w14:paraId="4D223226" w14:textId="77777777" w:rsidR="0087429B" w:rsidRDefault="008742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91C3" w14:textId="77777777" w:rsidR="00CE5C58" w:rsidRDefault="00CE5C58" w:rsidP="005527AD">
      <w:pPr>
        <w:spacing w:after="0" w:line="240" w:lineRule="auto"/>
      </w:pPr>
      <w:r>
        <w:separator/>
      </w:r>
    </w:p>
  </w:footnote>
  <w:footnote w:type="continuationSeparator" w:id="0">
    <w:p w14:paraId="0AD860E8" w14:textId="77777777" w:rsidR="00CE5C58" w:rsidRDefault="00CE5C58" w:rsidP="00552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961"/>
    </w:tblGrid>
    <w:tr w:rsidR="003212EB" w:rsidRPr="001106EA" w14:paraId="2B80A1D5" w14:textId="77777777" w:rsidTr="005527AD">
      <w:trPr>
        <w:trHeight w:val="1782"/>
      </w:trPr>
      <w:tc>
        <w:tcPr>
          <w:tcW w:w="3686" w:type="dxa"/>
          <w:vAlign w:val="bottom"/>
        </w:tcPr>
        <w:p w14:paraId="68B04F91" w14:textId="77777777" w:rsidR="0087429B" w:rsidRDefault="00CF3C6E"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E726AAC" wp14:editId="167330CA">
                <wp:simplePos x="0" y="0"/>
                <wp:positionH relativeFrom="column">
                  <wp:posOffset>-320040</wp:posOffset>
                </wp:positionH>
                <wp:positionV relativeFrom="paragraph">
                  <wp:posOffset>-969645</wp:posOffset>
                </wp:positionV>
                <wp:extent cx="1873250" cy="112649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4EE95B85" w14:textId="77777777" w:rsidR="0087429B" w:rsidRDefault="0087429B" w:rsidP="00285C7B">
          <w:pPr>
            <w:pStyle w:val="Encabezado"/>
            <w:tabs>
              <w:tab w:val="clear" w:pos="4252"/>
              <w:tab w:val="center" w:pos="2614"/>
            </w:tabs>
            <w:ind w:left="-255"/>
          </w:pPr>
        </w:p>
      </w:tc>
      <w:tc>
        <w:tcPr>
          <w:tcW w:w="4961" w:type="dxa"/>
          <w:vAlign w:val="center"/>
        </w:tcPr>
        <w:p w14:paraId="6968E218" w14:textId="77777777" w:rsidR="0087429B" w:rsidRDefault="0087429B" w:rsidP="00C608FE">
          <w:pPr>
            <w:pStyle w:val="Encabezado"/>
            <w:spacing w:line="360" w:lineRule="auto"/>
            <w:ind w:left="-108" w:right="-250"/>
            <w:jc w:val="both"/>
            <w:rPr>
              <w:rFonts w:ascii="Palatino Linotype" w:hAnsi="Palatino Linotype" w:cs="Tahoma"/>
              <w:b/>
            </w:rPr>
          </w:pPr>
        </w:p>
        <w:p w14:paraId="77B69852" w14:textId="77777777" w:rsidR="0087429B" w:rsidRDefault="0087429B" w:rsidP="00C608FE">
          <w:pPr>
            <w:pStyle w:val="Encabezado"/>
            <w:spacing w:line="360" w:lineRule="auto"/>
            <w:ind w:left="-108" w:right="-250"/>
            <w:jc w:val="both"/>
            <w:rPr>
              <w:rFonts w:ascii="Palatino Linotype" w:hAnsi="Palatino Linotype" w:cs="Tahoma"/>
              <w:b/>
            </w:rPr>
          </w:pPr>
        </w:p>
        <w:p w14:paraId="32FE6751" w14:textId="38F137BD" w:rsidR="0087429B" w:rsidRPr="00B9745A" w:rsidRDefault="006D201D" w:rsidP="00DC5CFF">
          <w:pPr>
            <w:pStyle w:val="Encabezado"/>
            <w:ind w:left="-108" w:right="-250"/>
            <w:jc w:val="both"/>
            <w:rPr>
              <w:rFonts w:ascii="Palatino Linotype" w:hAnsi="Palatino Linotype" w:cs="Tahoma"/>
              <w:b/>
            </w:rPr>
          </w:pPr>
          <w:r>
            <w:rPr>
              <w:rFonts w:ascii="Palatino Linotype" w:hAnsi="Palatino Linotype" w:cs="Tahoma"/>
              <w:b/>
            </w:rPr>
            <w:t>Voto disidente</w:t>
          </w:r>
        </w:p>
        <w:p w14:paraId="64CE6D0F" w14:textId="369FDF33" w:rsidR="0087429B" w:rsidRDefault="00CF3C6E" w:rsidP="00DC5CFF">
          <w:pPr>
            <w:pStyle w:val="Encabezado"/>
            <w:ind w:left="-108"/>
            <w:jc w:val="both"/>
            <w:rPr>
              <w:rFonts w:ascii="Palatino Linotype" w:hAnsi="Palatino Linotype"/>
              <w:b/>
            </w:rPr>
          </w:pPr>
          <w:r w:rsidRPr="00B9745A">
            <w:rPr>
              <w:rFonts w:ascii="Palatino Linotype" w:hAnsi="Palatino Linotype" w:cs="Tahoma"/>
              <w:b/>
            </w:rPr>
            <w:t xml:space="preserve">Recurso de Revisión: </w:t>
          </w:r>
          <w:r w:rsidR="00201767">
            <w:rPr>
              <w:rFonts w:ascii="Palatino Linotype" w:hAnsi="Palatino Linotype"/>
              <w:bCs/>
              <w:lang w:val="es-MX"/>
            </w:rPr>
            <w:t>0</w:t>
          </w:r>
          <w:r w:rsidR="00C76A76">
            <w:rPr>
              <w:rFonts w:ascii="Palatino Linotype" w:hAnsi="Palatino Linotype"/>
              <w:bCs/>
              <w:lang w:val="es-MX"/>
            </w:rPr>
            <w:t>7864</w:t>
          </w:r>
          <w:r w:rsidR="005527AD" w:rsidRPr="005527AD">
            <w:rPr>
              <w:rFonts w:ascii="Palatino Linotype" w:hAnsi="Palatino Linotype"/>
              <w:bCs/>
              <w:lang w:val="es-MX"/>
            </w:rPr>
            <w:t>/INFOEM/IP/RR/202</w:t>
          </w:r>
          <w:r w:rsidR="00201767">
            <w:rPr>
              <w:rFonts w:ascii="Palatino Linotype" w:hAnsi="Palatino Linotype"/>
              <w:bCs/>
              <w:lang w:val="es-MX"/>
            </w:rPr>
            <w:t>3</w:t>
          </w:r>
        </w:p>
        <w:p w14:paraId="5BB9A7B1" w14:textId="5782EB07" w:rsidR="00321F12" w:rsidRDefault="00CF3C6E" w:rsidP="00DC5CFF">
          <w:pPr>
            <w:pStyle w:val="Encabezado"/>
            <w:ind w:left="-108"/>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C76A76">
            <w:rPr>
              <w:rFonts w:ascii="Palatino Linotype" w:hAnsi="Palatino Linotype"/>
              <w:bCs/>
              <w:lang w:val="es-MX"/>
            </w:rPr>
            <w:t>Sistema Municipal Para el Desarrollo Integral de la Familia de Toluca</w:t>
          </w:r>
        </w:p>
        <w:p w14:paraId="44AC2335" w14:textId="18B0D0FA" w:rsidR="0087429B" w:rsidRDefault="00CF3C6E" w:rsidP="00201767">
          <w:pPr>
            <w:pStyle w:val="Encabezado"/>
            <w:ind w:left="-108"/>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C76A76">
            <w:rPr>
              <w:rFonts w:ascii="Palatino Linotype" w:hAnsi="Palatino Linotype" w:cs="Arial"/>
              <w:bCs/>
              <w:szCs w:val="20"/>
              <w:lang w:val="es-ES_tradnl"/>
            </w:rPr>
            <w:t>Guadalupe Ramírez Peña</w:t>
          </w:r>
        </w:p>
        <w:p w14:paraId="02CA71E9" w14:textId="07117B19" w:rsidR="00201767" w:rsidRPr="009A041C" w:rsidRDefault="00201767" w:rsidP="00201767">
          <w:pPr>
            <w:pStyle w:val="Encabezado"/>
            <w:ind w:left="-108"/>
            <w:jc w:val="both"/>
            <w:rPr>
              <w:rFonts w:ascii="Palatino Linotype" w:hAnsi="Palatino Linotype" w:cs="Arial"/>
              <w:szCs w:val="20"/>
            </w:rPr>
          </w:pPr>
        </w:p>
      </w:tc>
    </w:tr>
  </w:tbl>
  <w:p w14:paraId="00CD25FA" w14:textId="77777777" w:rsidR="0087429B" w:rsidRPr="001106EA" w:rsidRDefault="0087429B">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3808"/>
    <w:multiLevelType w:val="hybridMultilevel"/>
    <w:tmpl w:val="B6FC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56A3F21"/>
    <w:multiLevelType w:val="multilevel"/>
    <w:tmpl w:val="18CCB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8829370">
    <w:abstractNumId w:val="1"/>
  </w:num>
  <w:num w:numId="2" w16cid:durableId="687800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AD"/>
    <w:rsid w:val="000038F8"/>
    <w:rsid w:val="000220E7"/>
    <w:rsid w:val="0003027D"/>
    <w:rsid w:val="00050538"/>
    <w:rsid w:val="00063277"/>
    <w:rsid w:val="00067E1E"/>
    <w:rsid w:val="0009082F"/>
    <w:rsid w:val="00092361"/>
    <w:rsid w:val="000B239D"/>
    <w:rsid w:val="000C6EC2"/>
    <w:rsid w:val="000D1412"/>
    <w:rsid w:val="000D5C7C"/>
    <w:rsid w:val="000E1F87"/>
    <w:rsid w:val="000F2AA6"/>
    <w:rsid w:val="0010533B"/>
    <w:rsid w:val="00117595"/>
    <w:rsid w:val="00134FF0"/>
    <w:rsid w:val="00140578"/>
    <w:rsid w:val="001520CB"/>
    <w:rsid w:val="00153E01"/>
    <w:rsid w:val="001665FB"/>
    <w:rsid w:val="00183BEF"/>
    <w:rsid w:val="001A2DFC"/>
    <w:rsid w:val="001B50FA"/>
    <w:rsid w:val="001D1748"/>
    <w:rsid w:val="001E2151"/>
    <w:rsid w:val="001F09DE"/>
    <w:rsid w:val="00201767"/>
    <w:rsid w:val="00226F4E"/>
    <w:rsid w:val="00240774"/>
    <w:rsid w:val="0024286D"/>
    <w:rsid w:val="00245F8E"/>
    <w:rsid w:val="00255AA8"/>
    <w:rsid w:val="00261278"/>
    <w:rsid w:val="002712FE"/>
    <w:rsid w:val="00271E68"/>
    <w:rsid w:val="00283F9A"/>
    <w:rsid w:val="002850C4"/>
    <w:rsid w:val="00292B29"/>
    <w:rsid w:val="00294279"/>
    <w:rsid w:val="00295CBE"/>
    <w:rsid w:val="002A6152"/>
    <w:rsid w:val="002C5803"/>
    <w:rsid w:val="002F624C"/>
    <w:rsid w:val="0032105B"/>
    <w:rsid w:val="00321F12"/>
    <w:rsid w:val="00321F16"/>
    <w:rsid w:val="003247C4"/>
    <w:rsid w:val="00331363"/>
    <w:rsid w:val="00337D11"/>
    <w:rsid w:val="0034655F"/>
    <w:rsid w:val="003601C4"/>
    <w:rsid w:val="003652BF"/>
    <w:rsid w:val="00372E35"/>
    <w:rsid w:val="00376850"/>
    <w:rsid w:val="0039348A"/>
    <w:rsid w:val="00395B07"/>
    <w:rsid w:val="003A62CB"/>
    <w:rsid w:val="003B215E"/>
    <w:rsid w:val="003C7677"/>
    <w:rsid w:val="003D6A8B"/>
    <w:rsid w:val="00400D5A"/>
    <w:rsid w:val="00431C9A"/>
    <w:rsid w:val="00462A67"/>
    <w:rsid w:val="00464094"/>
    <w:rsid w:val="0046725B"/>
    <w:rsid w:val="004806E8"/>
    <w:rsid w:val="00495CCD"/>
    <w:rsid w:val="004A246E"/>
    <w:rsid w:val="004A6197"/>
    <w:rsid w:val="004A740C"/>
    <w:rsid w:val="004D1E7C"/>
    <w:rsid w:val="004D52F4"/>
    <w:rsid w:val="004F4EE3"/>
    <w:rsid w:val="00501B56"/>
    <w:rsid w:val="005022AF"/>
    <w:rsid w:val="00512653"/>
    <w:rsid w:val="00513084"/>
    <w:rsid w:val="00532FDE"/>
    <w:rsid w:val="005330BF"/>
    <w:rsid w:val="00534890"/>
    <w:rsid w:val="00535341"/>
    <w:rsid w:val="00536F2F"/>
    <w:rsid w:val="00537002"/>
    <w:rsid w:val="0053759D"/>
    <w:rsid w:val="005513AA"/>
    <w:rsid w:val="0055215F"/>
    <w:rsid w:val="005527AD"/>
    <w:rsid w:val="00562361"/>
    <w:rsid w:val="0057796A"/>
    <w:rsid w:val="0058001B"/>
    <w:rsid w:val="00581AD5"/>
    <w:rsid w:val="00583254"/>
    <w:rsid w:val="00587658"/>
    <w:rsid w:val="00592267"/>
    <w:rsid w:val="005A64D6"/>
    <w:rsid w:val="005B1050"/>
    <w:rsid w:val="005B4376"/>
    <w:rsid w:val="005C5386"/>
    <w:rsid w:val="005C6EDE"/>
    <w:rsid w:val="005D3B67"/>
    <w:rsid w:val="005E0964"/>
    <w:rsid w:val="005E10F4"/>
    <w:rsid w:val="005E2F6E"/>
    <w:rsid w:val="005E7E11"/>
    <w:rsid w:val="005F4E58"/>
    <w:rsid w:val="00612AE0"/>
    <w:rsid w:val="0061325A"/>
    <w:rsid w:val="006304ED"/>
    <w:rsid w:val="00630E63"/>
    <w:rsid w:val="00655216"/>
    <w:rsid w:val="00655B0E"/>
    <w:rsid w:val="00656A8D"/>
    <w:rsid w:val="00663F6C"/>
    <w:rsid w:val="006641D6"/>
    <w:rsid w:val="006768B7"/>
    <w:rsid w:val="00677BBB"/>
    <w:rsid w:val="006915AD"/>
    <w:rsid w:val="00693A28"/>
    <w:rsid w:val="006B0BD8"/>
    <w:rsid w:val="006B3B77"/>
    <w:rsid w:val="006B4C9B"/>
    <w:rsid w:val="006B5E52"/>
    <w:rsid w:val="006B6DD2"/>
    <w:rsid w:val="006C5553"/>
    <w:rsid w:val="006C6D98"/>
    <w:rsid w:val="006D201D"/>
    <w:rsid w:val="006E055F"/>
    <w:rsid w:val="006F615C"/>
    <w:rsid w:val="00714251"/>
    <w:rsid w:val="007421D4"/>
    <w:rsid w:val="00746987"/>
    <w:rsid w:val="007654DB"/>
    <w:rsid w:val="00766E3C"/>
    <w:rsid w:val="007771A1"/>
    <w:rsid w:val="0077763B"/>
    <w:rsid w:val="007827AD"/>
    <w:rsid w:val="007875A9"/>
    <w:rsid w:val="00795616"/>
    <w:rsid w:val="007A16C8"/>
    <w:rsid w:val="007A2CE5"/>
    <w:rsid w:val="007A3583"/>
    <w:rsid w:val="007B73DD"/>
    <w:rsid w:val="007C1142"/>
    <w:rsid w:val="008429BE"/>
    <w:rsid w:val="00861657"/>
    <w:rsid w:val="00864F48"/>
    <w:rsid w:val="008730C6"/>
    <w:rsid w:val="0087429B"/>
    <w:rsid w:val="00877721"/>
    <w:rsid w:val="00892A93"/>
    <w:rsid w:val="008952E3"/>
    <w:rsid w:val="00895844"/>
    <w:rsid w:val="008963A5"/>
    <w:rsid w:val="008A1D05"/>
    <w:rsid w:val="008A4EF3"/>
    <w:rsid w:val="008B2B06"/>
    <w:rsid w:val="008B7A5A"/>
    <w:rsid w:val="008C188C"/>
    <w:rsid w:val="008C702B"/>
    <w:rsid w:val="008D6D98"/>
    <w:rsid w:val="008E2195"/>
    <w:rsid w:val="0090170F"/>
    <w:rsid w:val="00913282"/>
    <w:rsid w:val="00934D6D"/>
    <w:rsid w:val="00944699"/>
    <w:rsid w:val="00960B81"/>
    <w:rsid w:val="00972F7C"/>
    <w:rsid w:val="00980CCA"/>
    <w:rsid w:val="00985D47"/>
    <w:rsid w:val="009C54EB"/>
    <w:rsid w:val="009E0C62"/>
    <w:rsid w:val="009E2939"/>
    <w:rsid w:val="009F7BA9"/>
    <w:rsid w:val="00A05E17"/>
    <w:rsid w:val="00A07706"/>
    <w:rsid w:val="00A109FA"/>
    <w:rsid w:val="00A1393F"/>
    <w:rsid w:val="00A375E2"/>
    <w:rsid w:val="00A62F3D"/>
    <w:rsid w:val="00A84607"/>
    <w:rsid w:val="00A849D3"/>
    <w:rsid w:val="00A90ECB"/>
    <w:rsid w:val="00A956C2"/>
    <w:rsid w:val="00AA0601"/>
    <w:rsid w:val="00AA50B3"/>
    <w:rsid w:val="00AA5E21"/>
    <w:rsid w:val="00AA70DF"/>
    <w:rsid w:val="00AB318A"/>
    <w:rsid w:val="00AD3DB2"/>
    <w:rsid w:val="00AD520B"/>
    <w:rsid w:val="00AE11BB"/>
    <w:rsid w:val="00AE37FE"/>
    <w:rsid w:val="00AF500A"/>
    <w:rsid w:val="00B14B78"/>
    <w:rsid w:val="00B20ED0"/>
    <w:rsid w:val="00B212DB"/>
    <w:rsid w:val="00B344FD"/>
    <w:rsid w:val="00B45790"/>
    <w:rsid w:val="00B7353E"/>
    <w:rsid w:val="00B7368B"/>
    <w:rsid w:val="00B77DCA"/>
    <w:rsid w:val="00B86838"/>
    <w:rsid w:val="00B9589A"/>
    <w:rsid w:val="00B976E2"/>
    <w:rsid w:val="00BA3B4E"/>
    <w:rsid w:val="00BE302D"/>
    <w:rsid w:val="00C12762"/>
    <w:rsid w:val="00C153E0"/>
    <w:rsid w:val="00C2465F"/>
    <w:rsid w:val="00C30B80"/>
    <w:rsid w:val="00C34B57"/>
    <w:rsid w:val="00C35398"/>
    <w:rsid w:val="00C36809"/>
    <w:rsid w:val="00C42FFE"/>
    <w:rsid w:val="00C43F86"/>
    <w:rsid w:val="00C5327D"/>
    <w:rsid w:val="00C72E0D"/>
    <w:rsid w:val="00C76A76"/>
    <w:rsid w:val="00C84546"/>
    <w:rsid w:val="00C908A5"/>
    <w:rsid w:val="00CA1BEE"/>
    <w:rsid w:val="00CD09A9"/>
    <w:rsid w:val="00CD20B2"/>
    <w:rsid w:val="00CE398F"/>
    <w:rsid w:val="00CE5C58"/>
    <w:rsid w:val="00CF3C6E"/>
    <w:rsid w:val="00D037A0"/>
    <w:rsid w:val="00D1733B"/>
    <w:rsid w:val="00D21C53"/>
    <w:rsid w:val="00D2303D"/>
    <w:rsid w:val="00D30104"/>
    <w:rsid w:val="00D515C2"/>
    <w:rsid w:val="00D5650D"/>
    <w:rsid w:val="00D57B68"/>
    <w:rsid w:val="00D70906"/>
    <w:rsid w:val="00D70EA7"/>
    <w:rsid w:val="00D867B8"/>
    <w:rsid w:val="00DA4E77"/>
    <w:rsid w:val="00DA5F19"/>
    <w:rsid w:val="00DA6991"/>
    <w:rsid w:val="00DD5D6E"/>
    <w:rsid w:val="00DE2CA0"/>
    <w:rsid w:val="00DF4F96"/>
    <w:rsid w:val="00E07410"/>
    <w:rsid w:val="00E170CB"/>
    <w:rsid w:val="00E34C7A"/>
    <w:rsid w:val="00E510E8"/>
    <w:rsid w:val="00E836E9"/>
    <w:rsid w:val="00E84F6B"/>
    <w:rsid w:val="00E93893"/>
    <w:rsid w:val="00E93E99"/>
    <w:rsid w:val="00EA0DC2"/>
    <w:rsid w:val="00ED238A"/>
    <w:rsid w:val="00ED49D3"/>
    <w:rsid w:val="00ED5836"/>
    <w:rsid w:val="00EE42A5"/>
    <w:rsid w:val="00EE4EBB"/>
    <w:rsid w:val="00F0100F"/>
    <w:rsid w:val="00F064BD"/>
    <w:rsid w:val="00F10CE0"/>
    <w:rsid w:val="00F13EA4"/>
    <w:rsid w:val="00F1502B"/>
    <w:rsid w:val="00F25B2A"/>
    <w:rsid w:val="00F50697"/>
    <w:rsid w:val="00F51AA9"/>
    <w:rsid w:val="00F64FA5"/>
    <w:rsid w:val="00F817F0"/>
    <w:rsid w:val="00F830EC"/>
    <w:rsid w:val="00F86C6C"/>
    <w:rsid w:val="00F94829"/>
    <w:rsid w:val="00F94F09"/>
    <w:rsid w:val="00FB18A9"/>
    <w:rsid w:val="00FC1B69"/>
    <w:rsid w:val="00FE29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394C"/>
  <w15:chartTrackingRefBased/>
  <w15:docId w15:val="{1C0B73DD-60AE-47AD-9F43-54E5E661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A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27AD"/>
    <w:rPr>
      <w:lang w:val="es-ES"/>
    </w:rPr>
  </w:style>
  <w:style w:type="paragraph" w:styleId="Piedepgina">
    <w:name w:val="footer"/>
    <w:basedOn w:val="Normal"/>
    <w:link w:val="PiedepginaCar"/>
    <w:uiPriority w:val="99"/>
    <w:unhideWhenUsed/>
    <w:rsid w:val="00552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27AD"/>
    <w:rPr>
      <w:lang w:val="es-ES"/>
    </w:rPr>
  </w:style>
  <w:style w:type="table" w:styleId="Tablaconcuadrcula">
    <w:name w:val="Table Grid"/>
    <w:basedOn w:val="Tablanormal"/>
    <w:uiPriority w:val="59"/>
    <w:rsid w:val="005527A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55B0E"/>
  </w:style>
  <w:style w:type="character" w:styleId="Hipervnculo">
    <w:name w:val="Hyperlink"/>
    <w:basedOn w:val="Fuentedeprrafopredeter"/>
    <w:uiPriority w:val="99"/>
    <w:unhideWhenUsed/>
    <w:rsid w:val="00D70906"/>
    <w:rPr>
      <w:color w:val="0563C1" w:themeColor="hyperlink"/>
      <w:u w:val="single"/>
    </w:rPr>
  </w:style>
  <w:style w:type="character" w:customStyle="1" w:styleId="Mencinsinresolver1">
    <w:name w:val="Mención sin resolver1"/>
    <w:basedOn w:val="Fuentedeprrafopredeter"/>
    <w:uiPriority w:val="99"/>
    <w:semiHidden/>
    <w:unhideWhenUsed/>
    <w:rsid w:val="00D70906"/>
    <w:rPr>
      <w:color w:val="605E5C"/>
      <w:shd w:val="clear" w:color="auto" w:fill="E1DFDD"/>
    </w:rPr>
  </w:style>
  <w:style w:type="character" w:styleId="Mencinsinresolver">
    <w:name w:val="Unresolved Mention"/>
    <w:basedOn w:val="Fuentedeprrafopredeter"/>
    <w:uiPriority w:val="99"/>
    <w:semiHidden/>
    <w:unhideWhenUsed/>
    <w:rsid w:val="00FC1B69"/>
    <w:rPr>
      <w:color w:val="605E5C"/>
      <w:shd w:val="clear" w:color="auto" w:fill="E1DFDD"/>
    </w:rPr>
  </w:style>
  <w:style w:type="character" w:styleId="Hipervnculovisitado">
    <w:name w:val="FollowedHyperlink"/>
    <w:basedOn w:val="Fuentedeprrafopredeter"/>
    <w:uiPriority w:val="99"/>
    <w:semiHidden/>
    <w:unhideWhenUsed/>
    <w:rsid w:val="000F2AA6"/>
    <w:rPr>
      <w:color w:val="954F72" w:themeColor="followedHyperlink"/>
      <w:u w:val="single"/>
    </w:rPr>
  </w:style>
  <w:style w:type="paragraph" w:styleId="NormalWeb">
    <w:name w:val="Normal (Web)"/>
    <w:basedOn w:val="Normal"/>
    <w:uiPriority w:val="99"/>
    <w:semiHidden/>
    <w:unhideWhenUsed/>
    <w:rsid w:val="004D52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913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095">
      <w:bodyDiv w:val="1"/>
      <w:marLeft w:val="0"/>
      <w:marRight w:val="0"/>
      <w:marTop w:val="0"/>
      <w:marBottom w:val="0"/>
      <w:divBdr>
        <w:top w:val="none" w:sz="0" w:space="0" w:color="auto"/>
        <w:left w:val="none" w:sz="0" w:space="0" w:color="auto"/>
        <w:bottom w:val="none" w:sz="0" w:space="0" w:color="auto"/>
        <w:right w:val="none" w:sz="0" w:space="0" w:color="auto"/>
      </w:divBdr>
    </w:div>
    <w:div w:id="697856305">
      <w:bodyDiv w:val="1"/>
      <w:marLeft w:val="0"/>
      <w:marRight w:val="0"/>
      <w:marTop w:val="0"/>
      <w:marBottom w:val="0"/>
      <w:divBdr>
        <w:top w:val="none" w:sz="0" w:space="0" w:color="auto"/>
        <w:left w:val="none" w:sz="0" w:space="0" w:color="auto"/>
        <w:bottom w:val="none" w:sz="0" w:space="0" w:color="auto"/>
        <w:right w:val="none" w:sz="0" w:space="0" w:color="auto"/>
      </w:divBdr>
    </w:div>
    <w:div w:id="961618703">
      <w:bodyDiv w:val="1"/>
      <w:marLeft w:val="0"/>
      <w:marRight w:val="0"/>
      <w:marTop w:val="0"/>
      <w:marBottom w:val="0"/>
      <w:divBdr>
        <w:top w:val="none" w:sz="0" w:space="0" w:color="auto"/>
        <w:left w:val="none" w:sz="0" w:space="0" w:color="auto"/>
        <w:bottom w:val="none" w:sz="0" w:space="0" w:color="auto"/>
        <w:right w:val="none" w:sz="0" w:space="0" w:color="auto"/>
      </w:divBdr>
    </w:div>
    <w:div w:id="14250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13" Type="http://schemas.openxmlformats.org/officeDocument/2006/relationships/hyperlink" Target="http://www.cameramouse.org/" TargetMode="External"/><Relationship Id="rId18" Type="http://schemas.openxmlformats.org/officeDocument/2006/relationships/hyperlink" Target="file:///C:/Users/1/Downloads/Principio-Propersona-Ponderacion-Derecho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pple.com/mx/accessibility/ios/voiceover/" TargetMode="External"/><Relationship Id="rId17" Type="http://schemas.openxmlformats.org/officeDocument/2006/relationships/hyperlink" Target="https://www.infoem.org.mx/es/contenido/noticias/con-traducci%C3%B3n-de-leyes-electorales-al-sistema-braille-infoem-genera-condiciones" TargetMode="External"/><Relationship Id="rId2" Type="http://schemas.openxmlformats.org/officeDocument/2006/relationships/numbering" Target="numbering.xml"/><Relationship Id="rId16" Type="http://schemas.openxmlformats.org/officeDocument/2006/relationships/hyperlink" Target="https://www.infoem.org.mx/es/contenido/noticias/conocimiento-de-ley-de-protecci%C3%B3n-de-datos-personales-permitir%C3%A1-personas-ciegas-y" TargetMode="External"/><Relationship Id="rId20" Type="http://schemas.openxmlformats.org/officeDocument/2006/relationships/hyperlink" Target="file:///C:/Users/1/Downloads/1-%20Principio_pro-person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acces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em.org.mx/es/contenido/noticias/entreg%C3%B3-infoem-leyes-traducidas-al-sistema-braille-en-beneficio-de-ni%C3%B1as" TargetMode="External"/><Relationship Id="rId23" Type="http://schemas.openxmlformats.org/officeDocument/2006/relationships/fontTable" Target="fontTable.xml"/><Relationship Id="rId10" Type="http://schemas.openxmlformats.org/officeDocument/2006/relationships/hyperlink" Target="https://support.microsoft.com/es-es/windows/gu%C3%ADa-completa-del-narrador-e4397a0d-ef4f-b386-d8ae-c172f109bdb1" TargetMode="External"/><Relationship Id="rId19" Type="http://schemas.openxmlformats.org/officeDocument/2006/relationships/hyperlink" Target="https://www.corteidh.or.cr/tablas/r29310.pdf" TargetMode="External"/><Relationship Id="rId4" Type="http://schemas.openxmlformats.org/officeDocument/2006/relationships/settings" Target="settings.xml"/><Relationship Id="rId9" Type="http://schemas.openxmlformats.org/officeDocument/2006/relationships/hyperlink" Target="https://chrome.google.com/webstore/detail/screen-reader/kgejglhpjiefppelpmljglcjbhoiplfn?hl=es" TargetMode="External"/><Relationship Id="rId14" Type="http://schemas.openxmlformats.org/officeDocument/2006/relationships/hyperlink" Target="https://www.infoem.org.mx/es/contenido/noticias/el-infoem-busca-facilitar-acceso-la-informaci%C3%B3n-p%C3%BAblica-entre-poblaci%C3%B3n-c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73E8-E799-46B1-9B57-7AC9171F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16</Pages>
  <Words>4232</Words>
  <Characters>23279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Hernández</dc:creator>
  <cp:keywords/>
  <dc:description/>
  <cp:lastModifiedBy>inf03m_31@outlook.com</cp:lastModifiedBy>
  <cp:revision>28</cp:revision>
  <cp:lastPrinted>2023-09-04T13:55:00Z</cp:lastPrinted>
  <dcterms:created xsi:type="dcterms:W3CDTF">2024-02-01T19:55:00Z</dcterms:created>
  <dcterms:modified xsi:type="dcterms:W3CDTF">2024-02-06T17:58:00Z</dcterms:modified>
</cp:coreProperties>
</file>