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D065" w14:textId="77777777" w:rsidR="00992D40" w:rsidRDefault="00992D40" w:rsidP="00BB2290">
      <w:pPr>
        <w:spacing w:line="360" w:lineRule="auto"/>
        <w:jc w:val="both"/>
        <w:rPr>
          <w:rFonts w:ascii="Palatino Linotype" w:eastAsia="Palatino Linotype" w:hAnsi="Palatino Linotype" w:cs="Palatino Linotype"/>
          <w:b/>
          <w:sz w:val="22"/>
          <w:szCs w:val="22"/>
        </w:rPr>
      </w:pPr>
      <w:bookmarkStart w:id="0" w:name="_heading=h.gjdgxs" w:colFirst="0" w:colLast="0"/>
      <w:bookmarkEnd w:id="0"/>
    </w:p>
    <w:p w14:paraId="7C4F6EDB" w14:textId="5521B566" w:rsidR="00992D40" w:rsidRDefault="00BC5C8B" w:rsidP="00BB229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TRIGÉSIMA </w:t>
      </w:r>
      <w:r w:rsidR="00BB2290">
        <w:rPr>
          <w:rFonts w:ascii="Palatino Linotype" w:eastAsia="Palatino Linotype" w:hAnsi="Palatino Linotype" w:cs="Palatino Linotype"/>
          <w:b/>
          <w:sz w:val="22"/>
          <w:szCs w:val="22"/>
        </w:rPr>
        <w:t>QUINTA</w:t>
      </w:r>
      <w:r>
        <w:rPr>
          <w:rFonts w:ascii="Palatino Linotype" w:eastAsia="Palatino Linotype" w:hAnsi="Palatino Linotype" w:cs="Palatino Linotype"/>
          <w:b/>
          <w:sz w:val="22"/>
          <w:szCs w:val="22"/>
        </w:rPr>
        <w:t xml:space="preserve"> SESIÓN ORDINARIA CELEBRADA EL </w:t>
      </w:r>
      <w:r w:rsidR="00BB2290">
        <w:rPr>
          <w:rFonts w:ascii="Palatino Linotype" w:eastAsia="Palatino Linotype" w:hAnsi="Palatino Linotype" w:cs="Palatino Linotype"/>
          <w:b/>
          <w:sz w:val="22"/>
          <w:szCs w:val="22"/>
        </w:rPr>
        <w:t>TRES DE OCTUBRE</w:t>
      </w:r>
      <w:r>
        <w:rPr>
          <w:rFonts w:ascii="Palatino Linotype" w:eastAsia="Palatino Linotype" w:hAnsi="Palatino Linotype" w:cs="Palatino Linotype"/>
          <w:b/>
          <w:sz w:val="22"/>
          <w:szCs w:val="22"/>
        </w:rPr>
        <w:t xml:space="preserve"> DE DOS MIL VEINTICUATRO EN EL RECURSO DE REVISIÓN 0</w:t>
      </w:r>
      <w:r w:rsidR="00BB2290">
        <w:rPr>
          <w:rFonts w:ascii="Palatino Linotype" w:eastAsia="Palatino Linotype" w:hAnsi="Palatino Linotype" w:cs="Palatino Linotype"/>
          <w:b/>
          <w:sz w:val="22"/>
          <w:szCs w:val="22"/>
        </w:rPr>
        <w:t>3556</w:t>
      </w:r>
      <w:r>
        <w:rPr>
          <w:rFonts w:ascii="Palatino Linotype" w:eastAsia="Palatino Linotype" w:hAnsi="Palatino Linotype" w:cs="Palatino Linotype"/>
          <w:b/>
          <w:sz w:val="22"/>
          <w:szCs w:val="22"/>
        </w:rPr>
        <w:t xml:space="preserve">/INFOEM/IP/RR/2024. </w:t>
      </w:r>
    </w:p>
    <w:p w14:paraId="0E5CC24B" w14:textId="77777777" w:rsidR="00992D40" w:rsidRDefault="00992D40" w:rsidP="00BB2290">
      <w:pPr>
        <w:spacing w:line="360" w:lineRule="auto"/>
        <w:jc w:val="both"/>
        <w:rPr>
          <w:rFonts w:ascii="Palatino Linotype" w:eastAsia="Palatino Linotype" w:hAnsi="Palatino Linotype" w:cs="Palatino Linotype"/>
          <w:b/>
          <w:sz w:val="22"/>
          <w:szCs w:val="22"/>
        </w:rPr>
      </w:pPr>
    </w:p>
    <w:p w14:paraId="17967EF5" w14:textId="4432F2DC" w:rsidR="00992D40" w:rsidRDefault="00BC5C8B" w:rsidP="00BB229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lo dispuesto por el artículo 14, fracciones X y XI, del Reglamento del Instituto de Transparencia, Acceso a la Información Pública y Protección de Datos Personales del Estado de México, la que suscribe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xml:space="preserve">, emite </w:t>
      </w:r>
      <w:r>
        <w:rPr>
          <w:rFonts w:ascii="Palatino Linotype" w:eastAsia="Palatino Linotype" w:hAnsi="Palatino Linotype" w:cs="Palatino Linotype"/>
          <w:b/>
          <w:sz w:val="22"/>
          <w:szCs w:val="22"/>
        </w:rPr>
        <w:t xml:space="preserve">VOTO DISIDENTE </w:t>
      </w:r>
      <w:r>
        <w:rPr>
          <w:rFonts w:ascii="Palatino Linotype" w:eastAsia="Palatino Linotype" w:hAnsi="Palatino Linotype" w:cs="Palatino Linotype"/>
          <w:sz w:val="22"/>
          <w:szCs w:val="22"/>
        </w:rPr>
        <w:t xml:space="preserve">respecto a la resolución dictada en el recurso de revisión número </w:t>
      </w:r>
      <w:r>
        <w:rPr>
          <w:rFonts w:ascii="Palatino Linotype" w:eastAsia="Palatino Linotype" w:hAnsi="Palatino Linotype" w:cs="Palatino Linotype"/>
          <w:b/>
          <w:sz w:val="22"/>
          <w:szCs w:val="22"/>
        </w:rPr>
        <w:t>0</w:t>
      </w:r>
      <w:r w:rsidR="00BB2290">
        <w:rPr>
          <w:rFonts w:ascii="Palatino Linotype" w:eastAsia="Palatino Linotype" w:hAnsi="Palatino Linotype" w:cs="Palatino Linotype"/>
          <w:b/>
          <w:sz w:val="22"/>
          <w:szCs w:val="22"/>
        </w:rPr>
        <w:t>3556</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xml:space="preserve">, pronunciada por el Pleno de este Instituto en el proyecto presentado por el </w:t>
      </w:r>
      <w:r>
        <w:rPr>
          <w:rFonts w:ascii="Palatino Linotype" w:eastAsia="Palatino Linotype" w:hAnsi="Palatino Linotype" w:cs="Palatino Linotype"/>
          <w:b/>
          <w:sz w:val="22"/>
          <w:szCs w:val="22"/>
        </w:rPr>
        <w:t>Comisionado Luis Gustavo Parra Noriega</w:t>
      </w:r>
      <w:r>
        <w:rPr>
          <w:rFonts w:ascii="Palatino Linotype" w:eastAsia="Palatino Linotype" w:hAnsi="Palatino Linotype" w:cs="Palatino Linotype"/>
          <w:sz w:val="22"/>
          <w:szCs w:val="22"/>
        </w:rPr>
        <w:t>, al tenor siguiente:</w:t>
      </w:r>
    </w:p>
    <w:p w14:paraId="039129F7" w14:textId="77777777" w:rsidR="00992D40" w:rsidRDefault="00992D40" w:rsidP="00BB2290">
      <w:pPr>
        <w:spacing w:line="360" w:lineRule="auto"/>
        <w:jc w:val="both"/>
        <w:rPr>
          <w:rFonts w:ascii="Palatino Linotype" w:eastAsia="Palatino Linotype" w:hAnsi="Palatino Linotype" w:cs="Palatino Linotype"/>
        </w:rPr>
      </w:pPr>
    </w:p>
    <w:p w14:paraId="73039B9B" w14:textId="77777777" w:rsidR="00992D40" w:rsidRDefault="00BC5C8B" w:rsidP="00BB2290">
      <w:pPr>
        <w:numPr>
          <w:ilvl w:val="0"/>
          <w:numId w:val="1"/>
        </w:numPr>
        <w:spacing w:line="360" w:lineRule="auto"/>
        <w:ind w:left="142"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14:paraId="6C756FF5" w14:textId="77777777" w:rsidR="00992D40" w:rsidRDefault="00992D40" w:rsidP="00BB2290">
      <w:pPr>
        <w:spacing w:line="360" w:lineRule="auto"/>
        <w:ind w:left="1080"/>
        <w:jc w:val="both"/>
        <w:rPr>
          <w:rFonts w:ascii="Palatino Linotype" w:eastAsia="Palatino Linotype" w:hAnsi="Palatino Linotype" w:cs="Palatino Linotype"/>
          <w:b/>
          <w:sz w:val="22"/>
          <w:szCs w:val="22"/>
        </w:rPr>
      </w:pPr>
    </w:p>
    <w:p w14:paraId="57BC8382" w14:textId="11A69B3D" w:rsidR="00BB2290" w:rsidRPr="00BB2290" w:rsidRDefault="00BC5C8B" w:rsidP="00BB229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asunto que nos ocupa,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presentó una solicitud de información, en la que requirió al </w:t>
      </w:r>
      <w:r w:rsidR="00BB2290">
        <w:rPr>
          <w:rFonts w:ascii="Palatino Linotype" w:eastAsia="Palatino Linotype" w:hAnsi="Palatino Linotype" w:cs="Palatino Linotype"/>
          <w:sz w:val="22"/>
          <w:szCs w:val="22"/>
        </w:rPr>
        <w:t>Tribunal de Justicia Administrativa del Estado de México</w:t>
      </w:r>
      <w:r>
        <w:rPr>
          <w:rFonts w:ascii="Palatino Linotype" w:eastAsia="Palatino Linotype" w:hAnsi="Palatino Linotype" w:cs="Palatino Linotype"/>
          <w:sz w:val="22"/>
          <w:szCs w:val="22"/>
        </w:rPr>
        <w:t xml:space="preserve">, </w:t>
      </w:r>
      <w:r w:rsidR="00BB2290">
        <w:rPr>
          <w:rFonts w:ascii="Palatino Linotype" w:eastAsia="Palatino Linotype" w:hAnsi="Palatino Linotype" w:cs="Palatino Linotype"/>
          <w:sz w:val="22"/>
          <w:szCs w:val="22"/>
        </w:rPr>
        <w:t xml:space="preserve">la siguiente información: </w:t>
      </w:r>
      <w:r w:rsidR="00BB2290" w:rsidRPr="0080037B">
        <w:rPr>
          <w:i/>
          <w:iCs/>
          <w:color w:val="000000"/>
          <w:sz w:val="20"/>
          <w:szCs w:val="20"/>
        </w:rPr>
        <w:t xml:space="preserve">Solicito información sobre cuántos concursos abiertos, cerrados y procesos de evaluación (o como los denominen) se han realizado en los años 2022, 2023 y 2024, durante la gestión de la actual </w:t>
      </w:r>
      <w:r w:rsidR="00BB2290" w:rsidRPr="0080037B">
        <w:rPr>
          <w:i/>
          <w:iCs/>
          <w:color w:val="000000"/>
          <w:sz w:val="20"/>
          <w:szCs w:val="20"/>
        </w:rPr>
        <w:lastRenderedPageBreak/>
        <w:t>responsable. Además, quisiera saber si cada uno de estos concursos y procesos cuenta con un acta y dónde pueden ser consultadas dichas actas.</w:t>
      </w:r>
      <w:r w:rsidR="00BB2290">
        <w:rPr>
          <w:rFonts w:cs="Tahoma"/>
          <w:i/>
          <w:iCs/>
          <w:sz w:val="20"/>
          <w:szCs w:val="20"/>
          <w:lang w:eastAsia="es-ES"/>
        </w:rPr>
        <w:t>“</w:t>
      </w:r>
    </w:p>
    <w:p w14:paraId="14A9A5A7" w14:textId="77777777" w:rsidR="00992D40" w:rsidRDefault="00992D40" w:rsidP="00BB2290">
      <w:pPr>
        <w:spacing w:line="360" w:lineRule="auto"/>
        <w:jc w:val="both"/>
        <w:rPr>
          <w:rFonts w:ascii="Palatino Linotype" w:eastAsia="Palatino Linotype" w:hAnsi="Palatino Linotype" w:cs="Palatino Linotype"/>
          <w:sz w:val="22"/>
          <w:szCs w:val="22"/>
        </w:rPr>
      </w:pPr>
    </w:p>
    <w:p w14:paraId="2FFF423D" w14:textId="77777777" w:rsidR="00BB2290" w:rsidRDefault="00BC5C8B" w:rsidP="00BB229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respuesta, el Sujeto Obligado </w:t>
      </w:r>
      <w:r>
        <w:rPr>
          <w:rFonts w:ascii="Palatino Linotype" w:eastAsia="Palatino Linotype" w:hAnsi="Palatino Linotype" w:cs="Palatino Linotype"/>
          <w:color w:val="000000"/>
          <w:sz w:val="22"/>
          <w:szCs w:val="22"/>
        </w:rPr>
        <w:t xml:space="preserve">a través de la </w:t>
      </w:r>
      <w:r w:rsidR="00BB2290">
        <w:rPr>
          <w:rFonts w:ascii="Palatino Linotype" w:eastAsia="Palatino Linotype" w:hAnsi="Palatino Linotype" w:cs="Palatino Linotype"/>
          <w:color w:val="000000"/>
          <w:sz w:val="22"/>
          <w:szCs w:val="22"/>
        </w:rPr>
        <w:t>Directora del Instituto de Justicia Administrativa, refirió que:</w:t>
      </w:r>
    </w:p>
    <w:p w14:paraId="12457ED4" w14:textId="77777777" w:rsidR="00BB2290" w:rsidRDefault="00BB2290" w:rsidP="00BB2290">
      <w:pPr>
        <w:spacing w:line="360" w:lineRule="auto"/>
        <w:jc w:val="both"/>
        <w:rPr>
          <w:rFonts w:ascii="Palatino Linotype" w:eastAsia="Palatino Linotype" w:hAnsi="Palatino Linotype" w:cs="Palatino Linotype"/>
          <w:color w:val="000000"/>
          <w:sz w:val="22"/>
          <w:szCs w:val="22"/>
        </w:rPr>
      </w:pPr>
    </w:p>
    <w:p w14:paraId="0F1F43E4" w14:textId="77777777" w:rsidR="00BB2290" w:rsidRPr="008B6BA5" w:rsidRDefault="00BB2290" w:rsidP="00BB2290">
      <w:pPr>
        <w:tabs>
          <w:tab w:val="left" w:pos="4667"/>
        </w:tabs>
        <w:spacing w:line="360" w:lineRule="auto"/>
        <w:ind w:left="567" w:right="567"/>
        <w:rPr>
          <w:i/>
          <w:iCs/>
          <w:color w:val="000000"/>
          <w:sz w:val="20"/>
          <w:szCs w:val="20"/>
        </w:rPr>
      </w:pPr>
      <w:r w:rsidRPr="008B6BA5">
        <w:rPr>
          <w:i/>
          <w:iCs/>
          <w:color w:val="000000"/>
          <w:sz w:val="20"/>
          <w:szCs w:val="20"/>
        </w:rPr>
        <w:t>“…</w:t>
      </w:r>
    </w:p>
    <w:p w14:paraId="3D7C3022" w14:textId="77777777" w:rsidR="00BB2290" w:rsidRDefault="00BB2290" w:rsidP="00BB2290">
      <w:pPr>
        <w:tabs>
          <w:tab w:val="left" w:pos="4667"/>
        </w:tabs>
        <w:spacing w:line="360" w:lineRule="auto"/>
        <w:ind w:left="567" w:right="567"/>
        <w:rPr>
          <w:i/>
          <w:iCs/>
          <w:color w:val="000000"/>
          <w:sz w:val="20"/>
          <w:szCs w:val="20"/>
        </w:rPr>
      </w:pPr>
      <w:r w:rsidRPr="008B6BA5">
        <w:rPr>
          <w:i/>
          <w:iCs/>
          <w:color w:val="000000"/>
          <w:sz w:val="20"/>
          <w:szCs w:val="20"/>
        </w:rPr>
        <w:t>En atención a la solicitud de información mencionada anteriormente, y en cumplimiento con los principios de transparencia y máxima publicidad que rigen nuestras actividades, se informa que se han realizado un total de 16 concursos abiertos, cerrados  y procesos de evaluación en total, durante los años indicados por el particular; así mismo, las actas pueden ser consultadas en la página de IPOMEX (</w:t>
      </w:r>
      <w:hyperlink r:id="rId8" w:anchor="/" w:history="1">
        <w:r w:rsidRPr="008B6BA5">
          <w:rPr>
            <w:i/>
            <w:iCs/>
            <w:color w:val="000000"/>
            <w:sz w:val="20"/>
            <w:szCs w:val="20"/>
          </w:rPr>
          <w:t>https://sistemas3.infoem.org.mx/ipomex/#/</w:t>
        </w:r>
      </w:hyperlink>
      <w:r w:rsidRPr="008B6BA5">
        <w:rPr>
          <w:i/>
          <w:iCs/>
          <w:color w:val="000000"/>
          <w:sz w:val="20"/>
          <w:szCs w:val="20"/>
        </w:rPr>
        <w:t xml:space="preserve"> )</w:t>
      </w:r>
    </w:p>
    <w:p w14:paraId="604F6BEE" w14:textId="77777777" w:rsidR="00BB2290" w:rsidRPr="008B6BA5" w:rsidRDefault="00BB2290" w:rsidP="00BB2290">
      <w:pPr>
        <w:tabs>
          <w:tab w:val="left" w:pos="4667"/>
        </w:tabs>
        <w:spacing w:line="360" w:lineRule="auto"/>
        <w:ind w:left="567" w:right="567"/>
        <w:rPr>
          <w:i/>
          <w:iCs/>
          <w:color w:val="000000"/>
          <w:sz w:val="20"/>
          <w:szCs w:val="20"/>
        </w:rPr>
      </w:pPr>
      <w:r>
        <w:rPr>
          <w:i/>
          <w:iCs/>
          <w:color w:val="000000"/>
          <w:sz w:val="20"/>
          <w:szCs w:val="20"/>
        </w:rPr>
        <w:t>…”</w:t>
      </w:r>
    </w:p>
    <w:p w14:paraId="2566509B" w14:textId="122432D5" w:rsidR="00992D40" w:rsidRDefault="00BC5C8B" w:rsidP="00BB229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10A01F06" w14:textId="4B9D7878" w:rsidR="00BB2290" w:rsidRDefault="00BB2290" w:rsidP="00BB2290">
      <w:pPr>
        <w:spacing w:line="360" w:lineRule="auto"/>
        <w:ind w:right="-3"/>
        <w:rPr>
          <w:rFonts w:ascii="Verdana" w:hAnsi="Verdana"/>
          <w:color w:val="000000"/>
          <w:sz w:val="14"/>
          <w:szCs w:val="14"/>
        </w:rPr>
      </w:pPr>
      <w:r>
        <w:rPr>
          <w:rFonts w:ascii="Palatino Linotype" w:eastAsia="Palatino Linotype" w:hAnsi="Palatino Linotype" w:cs="Palatino Linotype"/>
          <w:color w:val="000000"/>
          <w:sz w:val="22"/>
          <w:szCs w:val="22"/>
        </w:rPr>
        <w:t xml:space="preserve">Derivado de ello, la parte Recurrente se inconformó arguyendo a la literalidad lo siguiente: </w:t>
      </w:r>
      <w:r w:rsidRPr="00885934">
        <w:rPr>
          <w:i/>
          <w:iCs/>
          <w:color w:val="000000"/>
          <w:sz w:val="20"/>
          <w:szCs w:val="20"/>
        </w:rPr>
        <w:t>No se me dio respuesta de si se cuenta con acta por cada proceso</w:t>
      </w:r>
      <w:r>
        <w:rPr>
          <w:i/>
          <w:iCs/>
          <w:color w:val="000000"/>
          <w:sz w:val="20"/>
          <w:szCs w:val="20"/>
        </w:rPr>
        <w:t>”.</w:t>
      </w:r>
    </w:p>
    <w:p w14:paraId="6199464C" w14:textId="69D2F54E" w:rsidR="00BB2290" w:rsidRDefault="00BB2290" w:rsidP="00BB2290">
      <w:pPr>
        <w:spacing w:line="360" w:lineRule="auto"/>
        <w:jc w:val="both"/>
        <w:rPr>
          <w:rFonts w:ascii="Palatino Linotype" w:eastAsia="Palatino Linotype" w:hAnsi="Palatino Linotype" w:cs="Palatino Linotype"/>
          <w:color w:val="000000"/>
          <w:sz w:val="22"/>
          <w:szCs w:val="22"/>
        </w:rPr>
      </w:pPr>
    </w:p>
    <w:p w14:paraId="612F0E31" w14:textId="52A6937D" w:rsidR="00992D40" w:rsidRDefault="00BC5C8B" w:rsidP="00BB229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las cosas, una vez admitidos y notificado el Recurso de Revisión a las partes, el Sujeto Obligado mediante la etapa de informe justificado</w:t>
      </w:r>
      <w:r w:rsidR="00BB2290">
        <w:rPr>
          <w:rFonts w:ascii="Palatino Linotype" w:eastAsia="Palatino Linotype" w:hAnsi="Palatino Linotype" w:cs="Palatino Linotype"/>
          <w:color w:val="000000"/>
          <w:sz w:val="22"/>
          <w:szCs w:val="22"/>
        </w:rPr>
        <w:t xml:space="preserve"> informó lo siguiente:</w:t>
      </w:r>
    </w:p>
    <w:p w14:paraId="353CAF8C" w14:textId="77777777" w:rsidR="00BB2290" w:rsidRDefault="00BB2290" w:rsidP="00BB2290">
      <w:pPr>
        <w:spacing w:line="360" w:lineRule="auto"/>
        <w:jc w:val="both"/>
        <w:rPr>
          <w:rFonts w:ascii="Palatino Linotype" w:eastAsia="Palatino Linotype" w:hAnsi="Palatino Linotype" w:cs="Palatino Linotype"/>
          <w:color w:val="000000"/>
          <w:sz w:val="22"/>
          <w:szCs w:val="22"/>
        </w:rPr>
      </w:pPr>
    </w:p>
    <w:p w14:paraId="667E1099" w14:textId="564B983A" w:rsidR="00BB2290" w:rsidRPr="00357073" w:rsidRDefault="00BB2290" w:rsidP="00BB2290">
      <w:pPr>
        <w:spacing w:line="360" w:lineRule="auto"/>
        <w:ind w:left="567" w:right="567"/>
        <w:rPr>
          <w:i/>
          <w:iCs/>
          <w:color w:val="000000"/>
          <w:sz w:val="20"/>
          <w:szCs w:val="20"/>
        </w:rPr>
      </w:pPr>
      <w:r>
        <w:rPr>
          <w:i/>
          <w:iCs/>
          <w:color w:val="000000"/>
          <w:sz w:val="20"/>
          <w:szCs w:val="20"/>
        </w:rPr>
        <w:t>“</w:t>
      </w:r>
      <w:r w:rsidRPr="00357073">
        <w:rPr>
          <w:i/>
          <w:iCs/>
          <w:color w:val="000000"/>
          <w:sz w:val="20"/>
          <w:szCs w:val="20"/>
        </w:rPr>
        <w:t>En consecuencia, se informa al particular que. tras una búsqueda minuciosa y exhaustiva en los archivos de este</w:t>
      </w:r>
      <w:r>
        <w:rPr>
          <w:i/>
          <w:iCs/>
          <w:color w:val="000000"/>
          <w:sz w:val="20"/>
          <w:szCs w:val="20"/>
        </w:rPr>
        <w:t xml:space="preserve"> </w:t>
      </w:r>
      <w:r w:rsidRPr="00357073">
        <w:rPr>
          <w:i/>
          <w:iCs/>
          <w:color w:val="000000"/>
          <w:sz w:val="20"/>
          <w:szCs w:val="20"/>
        </w:rPr>
        <w:t xml:space="preserve">Instituto. </w:t>
      </w:r>
      <w:r w:rsidRPr="00BB2290">
        <w:rPr>
          <w:b/>
          <w:bCs/>
          <w:i/>
          <w:iCs/>
          <w:color w:val="000000"/>
          <w:sz w:val="20"/>
          <w:szCs w:val="20"/>
          <w:u w:val="single"/>
        </w:rPr>
        <w:t>se constata que. Si, se cuenta con la. acta. realizadas por cada proceso de evaluaci6n, concursos abiertos, cerrados</w:t>
      </w:r>
      <w:r>
        <w:rPr>
          <w:i/>
          <w:iCs/>
          <w:color w:val="000000"/>
          <w:sz w:val="20"/>
          <w:szCs w:val="20"/>
        </w:rPr>
        <w:t>”</w:t>
      </w:r>
    </w:p>
    <w:p w14:paraId="65405D5E" w14:textId="77777777" w:rsidR="00992D40" w:rsidRDefault="00992D40" w:rsidP="00BB2290">
      <w:pPr>
        <w:spacing w:line="360" w:lineRule="auto"/>
        <w:jc w:val="both"/>
        <w:rPr>
          <w:rFonts w:ascii="Palatino Linotype" w:eastAsia="Palatino Linotype" w:hAnsi="Palatino Linotype" w:cs="Palatino Linotype"/>
          <w:color w:val="000000"/>
          <w:sz w:val="22"/>
          <w:szCs w:val="22"/>
        </w:rPr>
      </w:pPr>
    </w:p>
    <w:p w14:paraId="714ACABE" w14:textId="60B197E4" w:rsidR="00992D40" w:rsidRDefault="00BC5C8B" w:rsidP="00BB2290">
      <w:pPr>
        <w:spacing w:line="360" w:lineRule="auto"/>
        <w:jc w:val="both"/>
        <w:rPr>
          <w:rFonts w:ascii="Palatino Linotype" w:eastAsia="Palatino Linotype" w:hAnsi="Palatino Linotype" w:cs="Palatino Linotype"/>
          <w:sz w:val="22"/>
          <w:szCs w:val="22"/>
        </w:rPr>
      </w:pPr>
      <w:bookmarkStart w:id="1" w:name="_heading=h.1fob9te" w:colFirst="0" w:colLast="0"/>
      <w:bookmarkEnd w:id="1"/>
      <w:r>
        <w:rPr>
          <w:rFonts w:ascii="Palatino Linotype" w:eastAsia="Palatino Linotype" w:hAnsi="Palatino Linotype" w:cs="Palatino Linotype"/>
          <w:sz w:val="22"/>
          <w:szCs w:val="22"/>
        </w:rPr>
        <w:t xml:space="preserve">Una vez realizado el análisis de las constancias que conforman el expediente electrónico, el Instituto consideró que los motivos de inconformidad de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devenían </w:t>
      </w:r>
      <w:r>
        <w:rPr>
          <w:rFonts w:ascii="Palatino Linotype" w:eastAsia="Palatino Linotype" w:hAnsi="Palatino Linotype" w:cs="Palatino Linotype"/>
          <w:sz w:val="22"/>
          <w:szCs w:val="22"/>
        </w:rPr>
        <w:lastRenderedPageBreak/>
        <w:t xml:space="preserve">fundados, por lo que determinó </w:t>
      </w:r>
      <w:r w:rsidR="00BB2290">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y ordenar la entrega de </w:t>
      </w:r>
      <w:r w:rsidR="00BB2290">
        <w:rPr>
          <w:rFonts w:ascii="Palatino Linotype" w:eastAsia="Palatino Linotype" w:hAnsi="Palatino Linotype" w:cs="Palatino Linotype"/>
          <w:sz w:val="22"/>
          <w:szCs w:val="22"/>
        </w:rPr>
        <w:t>la siguiente información:</w:t>
      </w:r>
    </w:p>
    <w:p w14:paraId="28ABDE8D" w14:textId="77777777" w:rsidR="00BB2290" w:rsidRPr="00BB2290" w:rsidRDefault="00BB2290" w:rsidP="00BB2290">
      <w:pPr>
        <w:spacing w:line="360" w:lineRule="auto"/>
        <w:ind w:left="567" w:right="706"/>
        <w:jc w:val="both"/>
        <w:rPr>
          <w:rFonts w:ascii="Palatino Linotype" w:eastAsia="Palatino Linotype" w:hAnsi="Palatino Linotype" w:cs="Palatino Linotype"/>
          <w:i/>
          <w:iCs/>
          <w:sz w:val="21"/>
          <w:szCs w:val="21"/>
        </w:rPr>
      </w:pPr>
    </w:p>
    <w:p w14:paraId="4E156C65" w14:textId="77777777" w:rsidR="00BB2290" w:rsidRPr="00BB2290" w:rsidRDefault="00BB2290" w:rsidP="00BB2290">
      <w:pPr>
        <w:spacing w:line="360" w:lineRule="auto"/>
        <w:ind w:left="567" w:right="706"/>
        <w:jc w:val="both"/>
        <w:rPr>
          <w:i/>
          <w:iCs/>
          <w:color w:val="000000"/>
          <w:sz w:val="22"/>
          <w:szCs w:val="22"/>
        </w:rPr>
      </w:pPr>
      <w:r w:rsidRPr="00BB2290">
        <w:rPr>
          <w:b/>
          <w:i/>
          <w:iCs/>
          <w:color w:val="000000"/>
          <w:sz w:val="22"/>
          <w:szCs w:val="22"/>
        </w:rPr>
        <w:t xml:space="preserve">PRIMERO. </w:t>
      </w:r>
      <w:r w:rsidRPr="00BB2290">
        <w:rPr>
          <w:i/>
          <w:iCs/>
          <w:color w:val="000000"/>
          <w:sz w:val="22"/>
          <w:szCs w:val="22"/>
        </w:rPr>
        <w:t xml:space="preserve">Se </w:t>
      </w:r>
      <w:r w:rsidRPr="00BB2290">
        <w:rPr>
          <w:b/>
          <w:i/>
          <w:iCs/>
          <w:color w:val="000000"/>
          <w:sz w:val="22"/>
          <w:szCs w:val="22"/>
        </w:rPr>
        <w:t xml:space="preserve">MODIFICA </w:t>
      </w:r>
      <w:r w:rsidRPr="00BB2290">
        <w:rPr>
          <w:i/>
          <w:iCs/>
          <w:color w:val="000000"/>
          <w:sz w:val="22"/>
          <w:szCs w:val="22"/>
        </w:rPr>
        <w:t xml:space="preserve">la respuesta otorgada por el Tribunal de Justicia Administrativa del Estado de México a la solicitud de acceso a la información </w:t>
      </w:r>
      <w:r w:rsidRPr="00BB2290">
        <w:rPr>
          <w:b/>
          <w:bCs/>
          <w:i/>
          <w:iCs/>
          <w:color w:val="0D0D0D"/>
          <w:sz w:val="22"/>
          <w:szCs w:val="22"/>
        </w:rPr>
        <w:t>00226/TRIJAEM/IP/2024</w:t>
      </w:r>
      <w:r w:rsidRPr="00BB2290">
        <w:rPr>
          <w:i/>
          <w:iCs/>
          <w:color w:val="000000"/>
          <w:sz w:val="22"/>
          <w:szCs w:val="22"/>
        </w:rPr>
        <w:t xml:space="preserve">, por resultar </w:t>
      </w:r>
      <w:r w:rsidRPr="00BB2290">
        <w:rPr>
          <w:b/>
          <w:i/>
          <w:iCs/>
          <w:color w:val="000000"/>
          <w:sz w:val="22"/>
          <w:szCs w:val="22"/>
        </w:rPr>
        <w:t xml:space="preserve">FUNDADOS </w:t>
      </w:r>
      <w:r w:rsidRPr="00BB2290">
        <w:rPr>
          <w:i/>
          <w:iCs/>
          <w:color w:val="000000"/>
          <w:sz w:val="22"/>
          <w:szCs w:val="22"/>
        </w:rPr>
        <w:t>los agravios</w:t>
      </w:r>
      <w:r w:rsidRPr="00BB2290">
        <w:rPr>
          <w:b/>
          <w:i/>
          <w:iCs/>
          <w:color w:val="000000"/>
          <w:sz w:val="22"/>
          <w:szCs w:val="22"/>
        </w:rPr>
        <w:t xml:space="preserve"> </w:t>
      </w:r>
      <w:r w:rsidRPr="00BB2290">
        <w:rPr>
          <w:i/>
          <w:iCs/>
          <w:color w:val="000000"/>
          <w:sz w:val="22"/>
          <w:szCs w:val="22"/>
        </w:rPr>
        <w:t xml:space="preserve">hechos valer por el Particular, en el Recurso de Revisión </w:t>
      </w:r>
      <w:r w:rsidRPr="00BB2290">
        <w:rPr>
          <w:b/>
          <w:bCs/>
          <w:i/>
          <w:iCs/>
          <w:sz w:val="22"/>
          <w:szCs w:val="22"/>
        </w:rPr>
        <w:t>03556/INFOEM/IP/RR/2024</w:t>
      </w:r>
      <w:r w:rsidRPr="00BB2290">
        <w:rPr>
          <w:b/>
          <w:i/>
          <w:iCs/>
          <w:color w:val="000000"/>
          <w:sz w:val="22"/>
          <w:szCs w:val="22"/>
        </w:rPr>
        <w:t xml:space="preserve">, </w:t>
      </w:r>
      <w:r w:rsidRPr="00BB2290">
        <w:rPr>
          <w:i/>
          <w:iCs/>
          <w:color w:val="000000"/>
          <w:sz w:val="22"/>
          <w:szCs w:val="22"/>
        </w:rPr>
        <w:t xml:space="preserve">en términos de los Considerandos QUINTO y SÉPTIMO de la presente Resolución.  </w:t>
      </w:r>
    </w:p>
    <w:p w14:paraId="26EC4C50" w14:textId="77777777" w:rsidR="00BB2290" w:rsidRPr="00BB2290" w:rsidRDefault="00BB2290" w:rsidP="00BB2290">
      <w:pPr>
        <w:spacing w:line="360" w:lineRule="auto"/>
        <w:ind w:left="567" w:right="706"/>
        <w:jc w:val="both"/>
        <w:rPr>
          <w:b/>
          <w:i/>
          <w:iCs/>
          <w:sz w:val="22"/>
          <w:szCs w:val="22"/>
        </w:rPr>
      </w:pPr>
    </w:p>
    <w:p w14:paraId="523868EF" w14:textId="77777777" w:rsidR="00BB2290" w:rsidRPr="00BB2290" w:rsidRDefault="00BB2290" w:rsidP="00BB2290">
      <w:pPr>
        <w:spacing w:line="360" w:lineRule="auto"/>
        <w:ind w:left="567" w:right="706"/>
        <w:jc w:val="both"/>
        <w:rPr>
          <w:rFonts w:eastAsia="Calibri" w:cs="Tahoma"/>
          <w:bCs/>
          <w:i/>
          <w:iCs/>
          <w:color w:val="000000"/>
          <w:sz w:val="22"/>
          <w:szCs w:val="22"/>
          <w:lang w:eastAsia="es-ES"/>
        </w:rPr>
      </w:pPr>
      <w:r w:rsidRPr="00BB2290">
        <w:rPr>
          <w:b/>
          <w:i/>
          <w:iCs/>
          <w:sz w:val="22"/>
          <w:szCs w:val="22"/>
        </w:rPr>
        <w:t xml:space="preserve">SEGUNDO. </w:t>
      </w:r>
      <w:r w:rsidRPr="00BB2290">
        <w:rPr>
          <w:i/>
          <w:iCs/>
          <w:color w:val="000000"/>
          <w:sz w:val="22"/>
          <w:szCs w:val="22"/>
        </w:rPr>
        <w:t xml:space="preserve">Se </w:t>
      </w:r>
      <w:r w:rsidRPr="00BB2290">
        <w:rPr>
          <w:b/>
          <w:i/>
          <w:iCs/>
          <w:color w:val="000000"/>
          <w:sz w:val="22"/>
          <w:szCs w:val="22"/>
        </w:rPr>
        <w:t>ORDENA</w:t>
      </w:r>
      <w:r w:rsidRPr="00BB2290">
        <w:rPr>
          <w:i/>
          <w:iCs/>
          <w:color w:val="000000"/>
          <w:sz w:val="22"/>
          <w:szCs w:val="22"/>
        </w:rPr>
        <w:t xml:space="preserve"> al Sujeto Obligado, a efecto de que, previa búsqueda exhaustiva y razonable en las áreas competentes, entregue a través del SAIMEX, en su caso en versión pública las a</w:t>
      </w:r>
      <w:r w:rsidRPr="00BB2290">
        <w:rPr>
          <w:rFonts w:eastAsia="Calibri" w:cs="Tahoma"/>
          <w:bCs/>
          <w:i/>
          <w:iCs/>
          <w:color w:val="000000"/>
          <w:sz w:val="22"/>
          <w:szCs w:val="22"/>
          <w:lang w:eastAsia="es-ES"/>
        </w:rPr>
        <w:t>ctas de los dieciséis concursos abiertos, cerrados y procesos de evaluación, llevados a cabo del primero de enero de dos mil veintidós al quince de mayo de dos mil veinticuatro, referidos en respuesta.</w:t>
      </w:r>
    </w:p>
    <w:p w14:paraId="591E8ACA" w14:textId="77777777" w:rsidR="00BB2290" w:rsidRPr="00BB2290" w:rsidRDefault="00BB2290" w:rsidP="00BB2290">
      <w:pPr>
        <w:spacing w:line="360" w:lineRule="auto"/>
        <w:ind w:left="567" w:right="706"/>
        <w:jc w:val="both"/>
        <w:rPr>
          <w:i/>
          <w:iCs/>
          <w:color w:val="000000"/>
          <w:sz w:val="22"/>
          <w:szCs w:val="22"/>
        </w:rPr>
      </w:pPr>
    </w:p>
    <w:p w14:paraId="01059CAF" w14:textId="0305E972" w:rsidR="00992D40" w:rsidRPr="00BB2290" w:rsidRDefault="00BB2290" w:rsidP="00BB2290">
      <w:pPr>
        <w:spacing w:line="360" w:lineRule="auto"/>
        <w:ind w:left="567" w:right="706"/>
        <w:jc w:val="both"/>
        <w:rPr>
          <w:rFonts w:eastAsia="Calibri" w:cs="Tahoma"/>
          <w:bCs/>
          <w:i/>
          <w:iCs/>
          <w:color w:val="000000"/>
          <w:sz w:val="22"/>
          <w:szCs w:val="22"/>
          <w:lang w:eastAsia="es-ES"/>
        </w:rPr>
      </w:pPr>
      <w:r w:rsidRPr="00BB2290">
        <w:rPr>
          <w:rFonts w:eastAsia="Calibri" w:cs="Tahoma"/>
          <w:bCs/>
          <w:i/>
          <w:iCs/>
          <w:color w:val="000000"/>
          <w:sz w:val="22"/>
          <w:szCs w:val="22"/>
          <w:lang w:eastAsia="es-ES"/>
        </w:rPr>
        <w:t>Además, de ser necesario deberá proporcionar el Acuerdo de Clasificación donde el Comité de Transparencia, confirme la eliminación de los datos confidenciales, en la versión pública, en términos de los Considerandos QUINTO y SEXTO, de conformidad con los artículos 49, fracciones II y VIII, 132, fracción II y 143, fracción I, de la Ley de Transparencia y Acceso a la Información Pública del Estado de México y Municipios.</w:t>
      </w:r>
    </w:p>
    <w:p w14:paraId="4F58A078" w14:textId="77777777" w:rsidR="00992D40" w:rsidRDefault="00992D40" w:rsidP="00BB2290">
      <w:pPr>
        <w:spacing w:line="360" w:lineRule="auto"/>
        <w:jc w:val="both"/>
        <w:rPr>
          <w:rFonts w:ascii="Palatino Linotype" w:eastAsia="Palatino Linotype" w:hAnsi="Palatino Linotype" w:cs="Palatino Linotype"/>
          <w:sz w:val="22"/>
          <w:szCs w:val="22"/>
        </w:rPr>
      </w:pPr>
    </w:p>
    <w:p w14:paraId="1610EC98" w14:textId="77777777" w:rsidR="00992D40" w:rsidRDefault="00BC5C8B" w:rsidP="00BB2290">
      <w:pPr>
        <w:numPr>
          <w:ilvl w:val="0"/>
          <w:numId w:val="1"/>
        </w:numPr>
        <w:pBdr>
          <w:top w:val="nil"/>
          <w:left w:val="nil"/>
          <w:bottom w:val="nil"/>
          <w:right w:val="nil"/>
          <w:between w:val="nil"/>
        </w:pBdr>
        <w:spacing w:line="360" w:lineRule="auto"/>
        <w:ind w:left="567" w:hanging="28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Razones del Voto Disidente. </w:t>
      </w:r>
    </w:p>
    <w:p w14:paraId="22514FB9" w14:textId="77777777" w:rsidR="00992D40" w:rsidRDefault="00992D40" w:rsidP="00BB2290">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p>
    <w:p w14:paraId="52D01872" w14:textId="2A52C03A" w:rsidR="00BB2290" w:rsidRPr="00BB2290" w:rsidRDefault="00BC5C8B" w:rsidP="00BB2290">
      <w:pPr>
        <w:spacing w:line="360" w:lineRule="auto"/>
        <w:ind w:right="-3"/>
        <w:jc w:val="both"/>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t xml:space="preserve">Expuestos los antecedentes del presente asunto, resulta importante señalar que respetuosamente la suscrita no coincide con los términos planteados en la Resolución toda vez que desde mi punto de vista se está ordenando información distinta a la solicitada, ello en razón de que como se expondrá en líneas subsecuentes, </w:t>
      </w:r>
      <w:r w:rsidR="00BB2290">
        <w:rPr>
          <w:rFonts w:ascii="Palatino Linotype" w:eastAsia="Palatino Linotype" w:hAnsi="Palatino Linotype" w:cs="Palatino Linotype"/>
          <w:sz w:val="22"/>
          <w:szCs w:val="22"/>
        </w:rPr>
        <w:t xml:space="preserve">los agravios de la parte Recurrente </w:t>
      </w:r>
      <w:r w:rsidR="00BB2290">
        <w:rPr>
          <w:rFonts w:ascii="Palatino Linotype" w:eastAsia="Palatino Linotype" w:hAnsi="Palatino Linotype" w:cs="Palatino Linotype"/>
          <w:b/>
          <w:bCs/>
          <w:sz w:val="22"/>
          <w:szCs w:val="22"/>
        </w:rPr>
        <w:t xml:space="preserve">únicamente versaron respecto a que el Sujeto Obligado no le había referido si existe un acta por cada </w:t>
      </w:r>
      <w:r w:rsidR="00BB2290" w:rsidRPr="00BB2290">
        <w:rPr>
          <w:rFonts w:ascii="Palatino Linotype" w:hAnsi="Palatino Linotype"/>
          <w:b/>
          <w:bCs/>
          <w:color w:val="000000"/>
          <w:sz w:val="22"/>
          <w:szCs w:val="22"/>
        </w:rPr>
        <w:t>concursos abiertos, cerrados y procesos de evaluación (o como los denominen)</w:t>
      </w:r>
      <w:r w:rsidR="00BB2290">
        <w:rPr>
          <w:rFonts w:ascii="Palatino Linotype" w:hAnsi="Palatino Linotype"/>
          <w:b/>
          <w:bCs/>
          <w:color w:val="000000"/>
          <w:sz w:val="22"/>
          <w:szCs w:val="22"/>
        </w:rPr>
        <w:t xml:space="preserve">. </w:t>
      </w:r>
    </w:p>
    <w:p w14:paraId="65A6101C" w14:textId="77777777" w:rsidR="00992D40" w:rsidRDefault="00992D40" w:rsidP="00BB2290">
      <w:pPr>
        <w:spacing w:line="360" w:lineRule="auto"/>
        <w:ind w:right="-3"/>
        <w:jc w:val="both"/>
        <w:rPr>
          <w:rFonts w:ascii="Palatino Linotype" w:eastAsia="Palatino Linotype" w:hAnsi="Palatino Linotype" w:cs="Palatino Linotype"/>
          <w:sz w:val="22"/>
          <w:szCs w:val="22"/>
        </w:rPr>
      </w:pPr>
    </w:p>
    <w:p w14:paraId="676F3999" w14:textId="672D2EFB" w:rsidR="00BB2290" w:rsidRDefault="00BC5C8B" w:rsidP="00BB2290">
      <w:pPr>
        <w:spacing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primera instancia, resulta importante señalar que </w:t>
      </w:r>
      <w:r w:rsidR="00BB2290">
        <w:rPr>
          <w:rFonts w:ascii="Palatino Linotype" w:eastAsia="Palatino Linotype" w:hAnsi="Palatino Linotype" w:cs="Palatino Linotype"/>
          <w:sz w:val="22"/>
          <w:szCs w:val="22"/>
        </w:rPr>
        <w:t xml:space="preserve">la parte Solicitante requirió conocer si cada uno de los concursos y procesos solicitados contaban con un acta, situación por la que particularmente se inconformó en su medio de impugnación, es por ello que, toda vez que los motivos de inconformidad únicamente versan en que no se le dio respuesta respecto a si los procesos contaban con un acta, se colige que, los demás puntos de la solicitud debieron tomarse por consentidos. </w:t>
      </w:r>
    </w:p>
    <w:p w14:paraId="2159C98C" w14:textId="77777777" w:rsidR="00BB2290" w:rsidRDefault="00BB2290" w:rsidP="00BB2290">
      <w:pPr>
        <w:spacing w:line="360" w:lineRule="auto"/>
        <w:ind w:right="-3"/>
        <w:jc w:val="both"/>
        <w:rPr>
          <w:rFonts w:ascii="Palatino Linotype" w:eastAsia="Palatino Linotype" w:hAnsi="Palatino Linotype" w:cs="Palatino Linotype"/>
          <w:sz w:val="22"/>
          <w:szCs w:val="22"/>
        </w:rPr>
      </w:pPr>
    </w:p>
    <w:p w14:paraId="4E1BD84A" w14:textId="31017E5F" w:rsidR="00BB2290" w:rsidRDefault="00BB2290" w:rsidP="00BB2290">
      <w:pPr>
        <w:spacing w:line="360" w:lineRule="auto"/>
        <w:ind w:right="-3"/>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Sirve de sustento, la tesis jurisprudencial número VI.3o.C. J/60, publicada en el Semanario Judicial de la Federación y su Gaceta bajo el número de registro 176,608 que a la letra dice:</w:t>
      </w:r>
    </w:p>
    <w:p w14:paraId="2AE6408F" w14:textId="77777777" w:rsidR="00BB2290" w:rsidRPr="00BB2290" w:rsidRDefault="00BB2290" w:rsidP="00BB2290">
      <w:pPr>
        <w:spacing w:line="360" w:lineRule="auto"/>
        <w:ind w:right="-3"/>
        <w:jc w:val="both"/>
        <w:rPr>
          <w:rFonts w:ascii="Palatino Linotype" w:eastAsia="Palatino Linotype" w:hAnsi="Palatino Linotype" w:cs="Palatino Linotype"/>
          <w:sz w:val="22"/>
          <w:szCs w:val="22"/>
        </w:rPr>
      </w:pPr>
    </w:p>
    <w:p w14:paraId="1D457EC1" w14:textId="77777777" w:rsidR="00BB2290" w:rsidRPr="00BB2290" w:rsidRDefault="00BB2290" w:rsidP="00BB2290">
      <w:pPr>
        <w:tabs>
          <w:tab w:val="left" w:pos="851"/>
        </w:tabs>
        <w:spacing w:line="276" w:lineRule="auto"/>
        <w:ind w:left="851" w:right="616"/>
        <w:jc w:val="both"/>
        <w:rPr>
          <w:rFonts w:ascii="Palatino Linotype" w:eastAsia="Palatino Linotype" w:hAnsi="Palatino Linotype" w:cs="Palatino Linotype"/>
          <w:i/>
          <w:sz w:val="22"/>
          <w:szCs w:val="22"/>
        </w:rPr>
      </w:pPr>
      <w:r w:rsidRPr="00BB2290">
        <w:rPr>
          <w:rFonts w:ascii="Palatino Linotype" w:eastAsia="Palatino Linotype" w:hAnsi="Palatino Linotype" w:cs="Palatino Linotype"/>
          <w:b/>
          <w:i/>
          <w:sz w:val="22"/>
          <w:szCs w:val="22"/>
        </w:rPr>
        <w:t xml:space="preserve">“ACTOS CONSENTIDOS. SON LOS QUE NO SE IMPUGNAN MEDIANTE EL RECURSO IDÓNEO. </w:t>
      </w:r>
      <w:r w:rsidRPr="00BB2290">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E1C6CDC" w14:textId="77777777" w:rsid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 xml:space="preserve">De la interpretación del criterio antes citado, se advierte que cuando el particular impugnó la respuesta del </w:t>
      </w:r>
      <w:r w:rsidRPr="00BB2290">
        <w:rPr>
          <w:rFonts w:ascii="Palatino Linotype" w:eastAsia="Palatino Linotype" w:hAnsi="Palatino Linotype" w:cs="Palatino Linotype"/>
          <w:b/>
          <w:sz w:val="22"/>
          <w:szCs w:val="22"/>
        </w:rPr>
        <w:t>SUJETO OBLIGADO</w:t>
      </w:r>
      <w:r w:rsidRPr="00BB2290">
        <w:rPr>
          <w:rFonts w:ascii="Palatino Linotype" w:eastAsia="Palatino Linotype" w:hAnsi="Palatino Linotype" w:cs="Palatino Linotype"/>
          <w:sz w:val="22"/>
          <w:szCs w:val="22"/>
        </w:rPr>
        <w:t>, no expresó razón o motivo de inconformidad en contra de todos los rubros solicitados, por tanto, estos deben declararse atendidos.</w:t>
      </w:r>
    </w:p>
    <w:p w14:paraId="73202271"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p>
    <w:p w14:paraId="7388F6FB" w14:textId="77777777" w:rsid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Atento a ello, es importante traer a contexto la Tesis Jurisprudencial Número 3ª./J.7/91, Publicada en el Semanario Judicial de la Federación y su Gaceta bajo el número de registro 174,177, que establece lo siguiente:</w:t>
      </w:r>
    </w:p>
    <w:p w14:paraId="67E16FEB"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p>
    <w:p w14:paraId="6877EAD3" w14:textId="77777777" w:rsidR="00BB2290" w:rsidRPr="00BB2290" w:rsidRDefault="00BB2290" w:rsidP="00BB2290">
      <w:pPr>
        <w:tabs>
          <w:tab w:val="left" w:pos="8222"/>
          <w:tab w:val="left" w:pos="8364"/>
        </w:tabs>
        <w:spacing w:line="276" w:lineRule="auto"/>
        <w:ind w:left="567" w:right="901"/>
        <w:jc w:val="both"/>
        <w:rPr>
          <w:rFonts w:ascii="Palatino Linotype" w:eastAsia="Palatino Linotype" w:hAnsi="Palatino Linotype" w:cs="Palatino Linotype"/>
          <w:i/>
          <w:sz w:val="22"/>
          <w:szCs w:val="22"/>
        </w:rPr>
      </w:pPr>
      <w:r w:rsidRPr="00BB2290">
        <w:rPr>
          <w:rFonts w:ascii="Palatino Linotype" w:eastAsia="Palatino Linotype" w:hAnsi="Palatino Linotype" w:cs="Palatino Linotype"/>
          <w:b/>
          <w:i/>
          <w:sz w:val="22"/>
          <w:szCs w:val="22"/>
        </w:rPr>
        <w:t xml:space="preserve">“REVISIÓN EN AMPARO. LOS RESOLUTIVOS NO COMBATIDOS DEBEN DECLARARSE FIRMES. </w:t>
      </w:r>
      <w:r w:rsidRPr="00BB2290">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898AE2D" w14:textId="77777777"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5B789337" w14:textId="6268ECE9"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 xml:space="preserve">Para mayor abundamiento, también resulta aplicable el criterio 01/20 emitido por el Instituto Nacional de Transparencia, Acceso a la Información Pública y Protección de Datos Personales, que a la letra estipula lo siguiente: </w:t>
      </w:r>
    </w:p>
    <w:p w14:paraId="66284D6D" w14:textId="77777777" w:rsidR="00BB2290" w:rsidRP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3BB49AC5" w14:textId="77777777" w:rsidR="00BB2290" w:rsidRPr="00BB2290" w:rsidRDefault="00BB2290" w:rsidP="00BB2290">
      <w:pPr>
        <w:pStyle w:val="INFOEM"/>
        <w:spacing w:before="0" w:after="0" w:line="276" w:lineRule="auto"/>
        <w:ind w:left="567"/>
        <w:rPr>
          <w:szCs w:val="22"/>
        </w:rPr>
      </w:pPr>
      <w:r w:rsidRPr="00BB2290">
        <w:rPr>
          <w:b/>
          <w:szCs w:val="22"/>
        </w:rPr>
        <w:t>Actos consentidos tácitamente. Improcedencia de su análisis</w:t>
      </w:r>
      <w:r w:rsidRPr="00BB2290">
        <w:rPr>
          <w:szCs w:val="22"/>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033EC03" w14:textId="24E08030"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 xml:space="preserve">Por lo que, al no haberse inconformado sobre todos los rubros solicitados, se consideran actos consentidos y, por tanto, </w:t>
      </w:r>
      <w:r>
        <w:rPr>
          <w:rFonts w:ascii="Palatino Linotype" w:eastAsia="Palatino Linotype" w:hAnsi="Palatino Linotype" w:cs="Palatino Linotype"/>
          <w:sz w:val="22"/>
          <w:szCs w:val="22"/>
        </w:rPr>
        <w:t xml:space="preserve">el estudio debió haber versado respecto al requerimiento relacionado con </w:t>
      </w:r>
      <w:r>
        <w:rPr>
          <w:rFonts w:ascii="Palatino Linotype" w:eastAsia="Palatino Linotype" w:hAnsi="Palatino Linotype" w:cs="Palatino Linotype"/>
          <w:b/>
          <w:bCs/>
          <w:sz w:val="22"/>
          <w:szCs w:val="22"/>
        </w:rPr>
        <w:t>conocer si cada uno de los concursos y procesos cuentan con un acta</w:t>
      </w:r>
      <w:r w:rsidRPr="00BB2290">
        <w:rPr>
          <w:rFonts w:ascii="Palatino Linotype" w:eastAsia="Palatino Linotype" w:hAnsi="Palatino Linotype" w:cs="Palatino Linotype"/>
          <w:sz w:val="22"/>
          <w:szCs w:val="22"/>
        </w:rPr>
        <w:t xml:space="preserve">. </w:t>
      </w:r>
    </w:p>
    <w:p w14:paraId="357F47B8" w14:textId="77777777"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5592D51E" w14:textId="6AEFEAE5"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al hacer el estudio de dicho agravio y de las actuaciones que obran en el expediente electrónico, se puede observar que el Sujeto Obligado mediante informe justificado, a través de su servidor público habilitado competente informó que: </w:t>
      </w:r>
    </w:p>
    <w:p w14:paraId="25E168FC" w14:textId="77777777" w:rsidR="00BB2290" w:rsidRDefault="00BB2290" w:rsidP="00BB2290">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49E47E7F" w14:textId="5BA90275" w:rsidR="00BB2290" w:rsidRPr="00BB2290" w:rsidRDefault="00BB2290" w:rsidP="00BB2290">
      <w:pPr>
        <w:spacing w:line="360" w:lineRule="auto"/>
        <w:ind w:left="567" w:right="567"/>
        <w:rPr>
          <w:i/>
          <w:iCs/>
          <w:color w:val="000000"/>
          <w:sz w:val="20"/>
          <w:szCs w:val="20"/>
        </w:rPr>
      </w:pPr>
      <w:r w:rsidRPr="00357073">
        <w:rPr>
          <w:i/>
          <w:iCs/>
          <w:color w:val="000000"/>
          <w:sz w:val="20"/>
          <w:szCs w:val="20"/>
        </w:rPr>
        <w:t>En consecuencia, se informa al particular que. tras una búsqueda minuciosa y exhaustiva en los archivos de este</w:t>
      </w:r>
      <w:r>
        <w:rPr>
          <w:i/>
          <w:iCs/>
          <w:color w:val="000000"/>
          <w:sz w:val="20"/>
          <w:szCs w:val="20"/>
        </w:rPr>
        <w:t xml:space="preserve"> </w:t>
      </w:r>
      <w:r w:rsidRPr="00357073">
        <w:rPr>
          <w:i/>
          <w:iCs/>
          <w:color w:val="000000"/>
          <w:sz w:val="20"/>
          <w:szCs w:val="20"/>
        </w:rPr>
        <w:t xml:space="preserve">Instituto. se constata que. </w:t>
      </w:r>
      <w:r w:rsidRPr="00BB2290">
        <w:rPr>
          <w:b/>
          <w:bCs/>
          <w:i/>
          <w:iCs/>
          <w:color w:val="000000"/>
          <w:sz w:val="20"/>
          <w:szCs w:val="20"/>
          <w:u w:val="single"/>
        </w:rPr>
        <w:t>Si, se cuenta con la. acta. realizadas por cada proceso de evaluaci6n, concursos abiertos, cerrados</w:t>
      </w:r>
      <w:r>
        <w:rPr>
          <w:rFonts w:ascii="Palatino Linotype" w:eastAsia="Palatino Linotype" w:hAnsi="Palatino Linotype" w:cs="Palatino Linotype"/>
          <w:sz w:val="22"/>
          <w:szCs w:val="22"/>
        </w:rPr>
        <w:t xml:space="preserve">                </w:t>
      </w:r>
    </w:p>
    <w:p w14:paraId="00A8147C" w14:textId="77777777" w:rsidR="00BB2290" w:rsidRDefault="00BB2290" w:rsidP="00BB2290">
      <w:pPr>
        <w:spacing w:line="360" w:lineRule="auto"/>
        <w:jc w:val="both"/>
        <w:rPr>
          <w:rFonts w:ascii="Palatino Linotype" w:eastAsia="Palatino Linotype" w:hAnsi="Palatino Linotype" w:cs="Palatino Linotype"/>
          <w:sz w:val="22"/>
          <w:szCs w:val="22"/>
        </w:rPr>
      </w:pPr>
    </w:p>
    <w:p w14:paraId="2E857D85" w14:textId="01BB8731" w:rsidR="00992D40" w:rsidRDefault="00BC5C8B" w:rsidP="00BB229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Derivado de lo anterior, desde mi punto de vista </w:t>
      </w:r>
      <w:r w:rsidR="00BB2290">
        <w:rPr>
          <w:rFonts w:ascii="Palatino Linotype" w:eastAsia="Palatino Linotype" w:hAnsi="Palatino Linotype" w:cs="Palatino Linotype"/>
          <w:sz w:val="22"/>
          <w:szCs w:val="22"/>
        </w:rPr>
        <w:t xml:space="preserve">el Sujeto Obligado siguió </w:t>
      </w:r>
      <w:r>
        <w:rPr>
          <w:rFonts w:ascii="Palatino Linotype" w:eastAsia="Palatino Linotype" w:hAnsi="Palatino Linotype" w:cs="Palatino Linotype"/>
          <w:color w:val="000000"/>
          <w:sz w:val="22"/>
          <w:szCs w:val="22"/>
        </w:rPr>
        <w:t>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72F21314" w14:textId="77777777" w:rsidR="00BB2290" w:rsidRDefault="00BB2290" w:rsidP="00BB2290">
      <w:pPr>
        <w:spacing w:line="360" w:lineRule="auto"/>
        <w:ind w:left="567"/>
        <w:jc w:val="both"/>
        <w:rPr>
          <w:rFonts w:ascii="Palatino Linotype" w:eastAsia="Palatino Linotype" w:hAnsi="Palatino Linotype" w:cs="Palatino Linotype"/>
          <w:sz w:val="22"/>
          <w:szCs w:val="22"/>
        </w:rPr>
      </w:pPr>
    </w:p>
    <w:p w14:paraId="522D331A"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B0E59D8"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 La respuesta a los requerimientos informativos, deberá notificarse al interesado en el menor tiempo posible, que no podrá exceder de quince días hábiles, contados a partir del día siguiente a la presentación de esta. </w:t>
      </w:r>
    </w:p>
    <w:p w14:paraId="60996E70"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Excepcionalmente, el plazo referido podrá ampliarse por siete días hábiles más, cuando existan razones fundadas y motivadas, a través del Comité de Transparencia; </w:t>
      </w:r>
    </w:p>
    <w:p w14:paraId="792E96A6"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B5667F4"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 xml:space="preserve">• El acceso se dará en la modalidad de entrega y en su caso, de envío elegido por la solicitante, cuando no pueda entregarse en dicha modalidad,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deberá ofrecer otras; por lo cual, deberá fundar y motivar la necesidad de modificar el medio de entrega, y </w:t>
      </w:r>
    </w:p>
    <w:p w14:paraId="0CDEA2AF" w14:textId="77777777" w:rsidR="00992D40" w:rsidRDefault="00BC5C8B" w:rsidP="00BB2290">
      <w:pPr>
        <w:spacing w:line="360" w:lineRule="auto"/>
        <w:ind w:left="567"/>
        <w:jc w:val="both"/>
        <w:rPr>
          <w:sz w:val="22"/>
          <w:szCs w:val="22"/>
        </w:rPr>
      </w:pPr>
      <w:r>
        <w:rPr>
          <w:rFonts w:ascii="Palatino Linotype" w:eastAsia="Palatino Linotype" w:hAnsi="Palatino Linotype" w:cs="Palatino Linotype"/>
          <w:color w:val="000000"/>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w:t>
      </w:r>
      <w:r>
        <w:rPr>
          <w:rFonts w:ascii="Palatino Linotype" w:eastAsia="Palatino Linotype" w:hAnsi="Palatino Linotype" w:cs="Palatino Linotype"/>
          <w:sz w:val="22"/>
          <w:szCs w:val="22"/>
        </w:rPr>
        <w:t>transcurrida</w:t>
      </w:r>
      <w:r>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14:paraId="29941587" w14:textId="77777777" w:rsidR="00992D40" w:rsidRDefault="00992D40" w:rsidP="00BB2290">
      <w:pPr>
        <w:spacing w:line="360" w:lineRule="auto"/>
        <w:jc w:val="both"/>
        <w:rPr>
          <w:rFonts w:ascii="Palatino Linotype" w:eastAsia="Palatino Linotype" w:hAnsi="Palatino Linotype" w:cs="Palatino Linotype"/>
          <w:sz w:val="22"/>
          <w:szCs w:val="22"/>
        </w:rPr>
      </w:pPr>
    </w:p>
    <w:p w14:paraId="7CF02AC5" w14:textId="6FBE0DB4" w:rsidR="00992D40" w:rsidRDefault="00BB2290" w:rsidP="00BB229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advierte que dio atención y respuesta al requerimiento de información que fue motivo de inconformidad es su medio de impugnación, situación por la cual lo procedente era </w:t>
      </w:r>
      <w:r w:rsidRPr="00BB2290">
        <w:rPr>
          <w:rFonts w:ascii="Palatino Linotype" w:eastAsia="Palatino Linotype" w:hAnsi="Palatino Linotype" w:cs="Palatino Linotype"/>
          <w:b/>
          <w:bCs/>
          <w:sz w:val="22"/>
          <w:szCs w:val="22"/>
        </w:rPr>
        <w:t>SOBRESEER</w:t>
      </w:r>
      <w:r>
        <w:rPr>
          <w:rFonts w:ascii="Palatino Linotype" w:eastAsia="Palatino Linotype" w:hAnsi="Palatino Linotype" w:cs="Palatino Linotype"/>
          <w:sz w:val="22"/>
          <w:szCs w:val="22"/>
        </w:rPr>
        <w:t xml:space="preserve"> el Recurso de Revisión. </w:t>
      </w:r>
    </w:p>
    <w:p w14:paraId="2251525B" w14:textId="77777777" w:rsidR="00BB2290" w:rsidRDefault="00BB2290" w:rsidP="00BB2290">
      <w:pPr>
        <w:spacing w:line="360" w:lineRule="auto"/>
        <w:ind w:right="-28"/>
        <w:jc w:val="both"/>
        <w:rPr>
          <w:rFonts w:ascii="Palatino Linotype" w:eastAsia="Palatino Linotype" w:hAnsi="Palatino Linotype" w:cs="Palatino Linotype"/>
          <w:sz w:val="22"/>
          <w:szCs w:val="22"/>
        </w:rPr>
      </w:pPr>
    </w:p>
    <w:p w14:paraId="713B5A4A" w14:textId="321CA632" w:rsidR="00BB2290" w:rsidRPr="00BB2290" w:rsidRDefault="00BB2290" w:rsidP="00BB229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debido a que</w:t>
      </w:r>
      <w:r w:rsidRPr="00BB2290">
        <w:rPr>
          <w:rFonts w:ascii="Palatino Linotype" w:eastAsia="Palatino Linotype" w:hAnsi="Palatino Linotype" w:cs="Palatino Linotype"/>
          <w:sz w:val="22"/>
          <w:szCs w:val="22"/>
        </w:rPr>
        <w:t xml:space="preserve"> el Sujeto Obligado, a través de la unidad administrativa competente, atendió cabalmente la solicitud de información hasta informe justificado; se actualiz</w:t>
      </w:r>
      <w:r>
        <w:rPr>
          <w:rFonts w:ascii="Palatino Linotype" w:eastAsia="Palatino Linotype" w:hAnsi="Palatino Linotype" w:cs="Palatino Linotype"/>
          <w:sz w:val="22"/>
          <w:szCs w:val="22"/>
        </w:rPr>
        <w:t>aba</w:t>
      </w:r>
      <w:r w:rsidRPr="00BB2290">
        <w:rPr>
          <w:rFonts w:ascii="Palatino Linotype" w:eastAsia="Palatino Linotype" w:hAnsi="Palatino Linotype" w:cs="Palatino Linotype"/>
          <w:sz w:val="22"/>
          <w:szCs w:val="22"/>
        </w:rPr>
        <w:t xml:space="preserve"> la causal prevista en la fracción III del artículo 192 de la Ley de Transparencia y Acceso a la Información Pública del Estado de México y Municipios, que establece que el sobreseimiento del recurso de revisión procede en los siguientes casos:</w:t>
      </w:r>
    </w:p>
    <w:p w14:paraId="0D03C20C" w14:textId="77777777" w:rsidR="00BB2290" w:rsidRPr="00BB2290" w:rsidRDefault="00BB2290" w:rsidP="00BB2290">
      <w:pPr>
        <w:spacing w:line="360" w:lineRule="auto"/>
        <w:ind w:right="49"/>
        <w:jc w:val="both"/>
        <w:rPr>
          <w:rFonts w:ascii="Palatino Linotype" w:eastAsia="Palatino Linotype" w:hAnsi="Palatino Linotype" w:cs="Palatino Linotype"/>
          <w:sz w:val="22"/>
          <w:szCs w:val="22"/>
        </w:rPr>
      </w:pPr>
    </w:p>
    <w:p w14:paraId="6437EEE5" w14:textId="77777777" w:rsidR="00BB2290" w:rsidRPr="00BB2290" w:rsidRDefault="00BB2290" w:rsidP="00BB2290">
      <w:pPr>
        <w:spacing w:line="360" w:lineRule="auto"/>
        <w:ind w:right="900" w:firstLine="567"/>
        <w:jc w:val="both"/>
        <w:rPr>
          <w:sz w:val="22"/>
          <w:szCs w:val="22"/>
        </w:rPr>
      </w:pPr>
      <w:r w:rsidRPr="00BB2290">
        <w:rPr>
          <w:rFonts w:ascii="Palatino Linotype" w:eastAsia="Palatino Linotype" w:hAnsi="Palatino Linotype" w:cs="Palatino Linotype"/>
          <w:sz w:val="22"/>
          <w:szCs w:val="22"/>
        </w:rPr>
        <w:t>a) Cuando el sujeto obligado modifique el acto impugnado y;</w:t>
      </w:r>
    </w:p>
    <w:p w14:paraId="50D4AB4B" w14:textId="77777777" w:rsidR="00BB2290" w:rsidRPr="00BB2290" w:rsidRDefault="00BB2290" w:rsidP="00BB2290">
      <w:pPr>
        <w:spacing w:line="360" w:lineRule="auto"/>
        <w:ind w:right="900" w:firstLine="567"/>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b) Cuando el sujeto obligado revoque el acto impugnado.</w:t>
      </w:r>
    </w:p>
    <w:p w14:paraId="09BC4FDD" w14:textId="77777777" w:rsidR="00BB2290" w:rsidRPr="00BB2290" w:rsidRDefault="00BB2290" w:rsidP="00BB2290">
      <w:pPr>
        <w:spacing w:line="360" w:lineRule="auto"/>
        <w:ind w:right="900" w:firstLine="567"/>
        <w:jc w:val="both"/>
        <w:rPr>
          <w:sz w:val="22"/>
          <w:szCs w:val="22"/>
        </w:rPr>
      </w:pPr>
    </w:p>
    <w:p w14:paraId="18508F2E"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Quedando en ambos casos el acto combatido sin materia o sin efectos.</w:t>
      </w:r>
    </w:p>
    <w:p w14:paraId="65918C89" w14:textId="77777777" w:rsidR="00BB2290" w:rsidRPr="00BB2290" w:rsidRDefault="00BB2290" w:rsidP="00BB2290">
      <w:pPr>
        <w:spacing w:line="360" w:lineRule="auto"/>
        <w:jc w:val="both"/>
        <w:rPr>
          <w:sz w:val="22"/>
          <w:szCs w:val="22"/>
        </w:rPr>
      </w:pPr>
    </w:p>
    <w:p w14:paraId="1BC93FC9"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 xml:space="preserve">Como se observa de lo anterior, un acto impugnado es </w:t>
      </w:r>
      <w:r w:rsidRPr="00BB2290">
        <w:rPr>
          <w:rFonts w:ascii="Palatino Linotype" w:eastAsia="Palatino Linotype" w:hAnsi="Palatino Linotype" w:cs="Palatino Linotype"/>
          <w:b/>
          <w:sz w:val="22"/>
          <w:szCs w:val="22"/>
        </w:rPr>
        <w:t>modificado</w:t>
      </w:r>
      <w:r w:rsidRPr="00BB2290">
        <w:rPr>
          <w:rFonts w:ascii="Palatino Linotype" w:eastAsia="Palatino Linotype" w:hAnsi="Palatino Linotype" w:cs="Palatino Linotype"/>
          <w:sz w:val="22"/>
          <w:szCs w:val="22"/>
        </w:rPr>
        <w:t xml:space="preserve"> en aquellos casos en los que el sujeto obligado </w:t>
      </w:r>
      <w:r w:rsidRPr="00BB2290">
        <w:rPr>
          <w:rFonts w:ascii="Palatino Linotype" w:eastAsia="Palatino Linotype" w:hAnsi="Palatino Linotype" w:cs="Palatino Linotype"/>
          <w:b/>
          <w:sz w:val="22"/>
          <w:szCs w:val="22"/>
          <w:u w:val="single"/>
        </w:rPr>
        <w:t>subsana las deficiencias que hubiera tenido en primer momento</w:t>
      </w:r>
      <w:r w:rsidRPr="00BB2290">
        <w:rPr>
          <w:rFonts w:ascii="Palatino Linotype" w:eastAsia="Palatino Linotype" w:hAnsi="Palatino Linotype" w:cs="Palatino Linotype"/>
          <w:b/>
          <w:sz w:val="22"/>
          <w:szCs w:val="22"/>
        </w:rPr>
        <w:t>,</w:t>
      </w:r>
      <w:r w:rsidRPr="00BB2290">
        <w:rPr>
          <w:rFonts w:ascii="Palatino Linotype" w:eastAsia="Palatino Linotype" w:hAnsi="Palatino Linotype" w:cs="Palatino Linotype"/>
          <w:sz w:val="22"/>
          <w:szCs w:val="22"/>
        </w:rPr>
        <w:t xml:space="preserve"> quedando satisfecho el derecho subjetivo accionado por la parte recurrente. </w:t>
      </w:r>
    </w:p>
    <w:p w14:paraId="12A0B799"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p>
    <w:p w14:paraId="3AB01730"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Por lo que hace a la</w:t>
      </w:r>
      <w:r w:rsidRPr="00BB2290">
        <w:rPr>
          <w:rFonts w:ascii="Palatino Linotype" w:eastAsia="Palatino Linotype" w:hAnsi="Palatino Linotype" w:cs="Palatino Linotype"/>
          <w:b/>
          <w:sz w:val="22"/>
          <w:szCs w:val="22"/>
        </w:rPr>
        <w:t xml:space="preserve"> revocación</w:t>
      </w:r>
      <w:r w:rsidRPr="00BB2290">
        <w:rPr>
          <w:rFonts w:ascii="Palatino Linotype" w:eastAsia="Palatino Linotype" w:hAnsi="Palatino Linotype" w:cs="Palatino Linotype"/>
          <w:sz w:val="22"/>
          <w:szCs w:val="22"/>
        </w:rPr>
        <w:t>, esta se actualiza cuando el sujeto obligado</w:t>
      </w:r>
      <w:r w:rsidRPr="00BB2290">
        <w:rPr>
          <w:rFonts w:ascii="Palatino Linotype" w:eastAsia="Palatino Linotype" w:hAnsi="Palatino Linotype" w:cs="Palatino Linotype"/>
          <w:b/>
          <w:sz w:val="22"/>
          <w:szCs w:val="22"/>
        </w:rPr>
        <w:t xml:space="preserve"> </w:t>
      </w:r>
      <w:r w:rsidRPr="00BB2290">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10766588"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p>
    <w:p w14:paraId="2921C4C3"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En ese tenor, un acto impugnado queda sin efectos, cuando aun existiendo jurídicamente ya no genera ninguna consecuencia legal.</w:t>
      </w:r>
    </w:p>
    <w:p w14:paraId="0F8622B7" w14:textId="77777777" w:rsidR="00BB2290" w:rsidRPr="00BB2290" w:rsidRDefault="00BB2290" w:rsidP="00BB2290">
      <w:pPr>
        <w:spacing w:line="360" w:lineRule="auto"/>
        <w:jc w:val="both"/>
        <w:rPr>
          <w:rFonts w:ascii="Palatino Linotype" w:eastAsia="Palatino Linotype" w:hAnsi="Palatino Linotype" w:cs="Palatino Linotype"/>
          <w:sz w:val="22"/>
          <w:szCs w:val="22"/>
        </w:rPr>
      </w:pPr>
    </w:p>
    <w:p w14:paraId="27EE90F6" w14:textId="51DFCF22" w:rsidR="00BB2290" w:rsidRPr="00BB2290" w:rsidRDefault="00BB2290" w:rsidP="00BB2290">
      <w:pPr>
        <w:spacing w:line="360" w:lineRule="auto"/>
        <w:ind w:right="49"/>
        <w:jc w:val="both"/>
        <w:rPr>
          <w:rFonts w:ascii="Palatino Linotype" w:eastAsia="Palatino Linotype" w:hAnsi="Palatino Linotype" w:cs="Palatino Linotype"/>
          <w:sz w:val="22"/>
          <w:szCs w:val="22"/>
        </w:rPr>
      </w:pPr>
      <w:r w:rsidRPr="00BB2290">
        <w:rPr>
          <w:rFonts w:ascii="Palatino Linotype" w:eastAsia="Palatino Linotype" w:hAnsi="Palatino Linotype" w:cs="Palatino Linotype"/>
          <w:sz w:val="22"/>
          <w:szCs w:val="22"/>
        </w:rPr>
        <w:t xml:space="preserve">En tanto, en el presente caso, toda vez que, el Sujeto Obligado mediante informe justificado, a través de su unidad administrativa competente, </w:t>
      </w:r>
      <w:r>
        <w:rPr>
          <w:rFonts w:ascii="Palatino Linotype" w:eastAsia="Palatino Linotype" w:hAnsi="Palatino Linotype" w:cs="Palatino Linotype"/>
          <w:sz w:val="22"/>
          <w:szCs w:val="22"/>
        </w:rPr>
        <w:t xml:space="preserve">refirió que </w:t>
      </w:r>
      <w:r>
        <w:rPr>
          <w:rFonts w:ascii="Palatino Linotype" w:eastAsia="Palatino Linotype" w:hAnsi="Palatino Linotype" w:cs="Palatino Linotype"/>
          <w:b/>
          <w:bCs/>
          <w:sz w:val="22"/>
          <w:szCs w:val="22"/>
        </w:rPr>
        <w:t>si se contaba con un acta realizada por cada proceso de evaluación, concursos abiertos y cerrados,</w:t>
      </w:r>
      <w:r w:rsidRPr="00BB2290">
        <w:rPr>
          <w:rFonts w:ascii="Palatino Linotype" w:eastAsia="Palatino Linotype" w:hAnsi="Palatino Linotype" w:cs="Palatino Linotype"/>
          <w:sz w:val="22"/>
          <w:szCs w:val="22"/>
        </w:rPr>
        <w:t xml:space="preserve"> dejó sin materia el presente recurso de revisión, actualizándose entonces la causal prevista en la fracción III del artículo 192 de la Ley de la Materia vigente en la Entidad. </w:t>
      </w:r>
    </w:p>
    <w:p w14:paraId="08387E28" w14:textId="77777777" w:rsidR="00BB2290" w:rsidRDefault="00BB2290" w:rsidP="00BB2290">
      <w:pPr>
        <w:spacing w:line="360" w:lineRule="auto"/>
        <w:ind w:right="-28"/>
        <w:jc w:val="both"/>
        <w:rPr>
          <w:rFonts w:ascii="Palatino Linotype" w:eastAsia="Palatino Linotype" w:hAnsi="Palatino Linotype" w:cs="Palatino Linotype"/>
          <w:sz w:val="22"/>
          <w:szCs w:val="22"/>
        </w:rPr>
      </w:pPr>
    </w:p>
    <w:p w14:paraId="24A5B26B" w14:textId="5A1E287F" w:rsidR="00992D40" w:rsidRPr="00BB2290" w:rsidRDefault="00BC5C8B" w:rsidP="00BB229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Pr>
          <w:rFonts w:ascii="Palatino Linotype" w:eastAsia="Palatino Linotype" w:hAnsi="Palatino Linotype" w:cs="Palatino Linotype"/>
          <w:sz w:val="22"/>
          <w:szCs w:val="22"/>
        </w:rPr>
        <w:t>En virtud de lo anterior, se tiene que en el caso concreto</w:t>
      </w:r>
      <w:r w:rsidR="00BB2290">
        <w:rPr>
          <w:rFonts w:ascii="Palatino Linotype" w:eastAsia="Palatino Linotype" w:hAnsi="Palatino Linotype" w:cs="Palatino Linotype"/>
          <w:sz w:val="22"/>
          <w:szCs w:val="22"/>
        </w:rPr>
        <w:t xml:space="preserve">, no se comparte el sentido de la Resolución, por el contrario, se considera que se debió </w:t>
      </w:r>
      <w:r w:rsidR="00BB2290">
        <w:rPr>
          <w:rFonts w:ascii="Palatino Linotype" w:eastAsia="Palatino Linotype" w:hAnsi="Palatino Linotype" w:cs="Palatino Linotype"/>
          <w:b/>
          <w:bCs/>
          <w:sz w:val="22"/>
          <w:szCs w:val="22"/>
        </w:rPr>
        <w:t xml:space="preserve">SOBRESEER </w:t>
      </w:r>
      <w:r w:rsidR="00BB2290">
        <w:rPr>
          <w:rFonts w:ascii="Palatino Linotype" w:eastAsia="Palatino Linotype" w:hAnsi="Palatino Linotype" w:cs="Palatino Linotype"/>
          <w:sz w:val="22"/>
          <w:szCs w:val="22"/>
        </w:rPr>
        <w:t xml:space="preserve">el presente asunto, en atención al análisis anteriormente referido.  </w:t>
      </w:r>
    </w:p>
    <w:p w14:paraId="03BA671A" w14:textId="77777777" w:rsidR="00992D40" w:rsidRDefault="00992D40" w:rsidP="00BB2290">
      <w:pPr>
        <w:spacing w:line="360" w:lineRule="auto"/>
        <w:ind w:right="-93"/>
        <w:jc w:val="both"/>
        <w:rPr>
          <w:rFonts w:ascii="Palatino Linotype" w:eastAsia="Palatino Linotype" w:hAnsi="Palatino Linotype" w:cs="Palatino Linotype"/>
          <w:sz w:val="22"/>
          <w:szCs w:val="22"/>
        </w:rPr>
        <w:sectPr w:rsidR="00992D40">
          <w:headerReference w:type="even" r:id="rId9"/>
          <w:headerReference w:type="default" r:id="rId10"/>
          <w:footerReference w:type="default" r:id="rId11"/>
          <w:pgSz w:w="12240" w:h="15840"/>
          <w:pgMar w:top="1871" w:right="1327" w:bottom="2836" w:left="1985" w:header="709" w:footer="586" w:gutter="0"/>
          <w:pgNumType w:start="1"/>
          <w:cols w:space="720"/>
        </w:sectPr>
      </w:pPr>
    </w:p>
    <w:p w14:paraId="2111F4B6" w14:textId="77777777" w:rsidR="00992D40" w:rsidRDefault="00992D40" w:rsidP="00BB2290">
      <w:pPr>
        <w:spacing w:line="360" w:lineRule="auto"/>
        <w:ind w:right="423"/>
        <w:jc w:val="both"/>
        <w:rPr>
          <w:rFonts w:ascii="Palatino Linotype" w:eastAsia="Palatino Linotype" w:hAnsi="Palatino Linotype" w:cs="Palatino Linotype"/>
        </w:rPr>
      </w:pPr>
      <w:bookmarkStart w:id="3" w:name="_GoBack"/>
      <w:bookmarkEnd w:id="3"/>
    </w:p>
    <w:sectPr w:rsidR="00992D40">
      <w:headerReference w:type="default" r:id="rId12"/>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C227" w14:textId="77777777" w:rsidR="000D3FE1" w:rsidRDefault="000D3FE1">
      <w:r>
        <w:separator/>
      </w:r>
    </w:p>
  </w:endnote>
  <w:endnote w:type="continuationSeparator" w:id="0">
    <w:p w14:paraId="65AC0174" w14:textId="77777777" w:rsidR="000D3FE1" w:rsidRDefault="000D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AB4E"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b/>
        <w:color w:val="000000"/>
        <w:sz w:val="20"/>
        <w:szCs w:val="20"/>
      </w:rPr>
    </w:pPr>
  </w:p>
  <w:p w14:paraId="4ADFB0BE" w14:textId="77777777" w:rsidR="00992D40" w:rsidRDefault="00BC5C8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A3CD6">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A3CD6">
      <w:rPr>
        <w:rFonts w:ascii="Arial" w:eastAsia="Arial" w:hAnsi="Arial" w:cs="Arial"/>
        <w:b/>
        <w:noProof/>
        <w:color w:val="000000"/>
        <w:sz w:val="20"/>
        <w:szCs w:val="20"/>
      </w:rPr>
      <w:t>10</w:t>
    </w:r>
    <w:r>
      <w:rPr>
        <w:rFonts w:ascii="Arial" w:eastAsia="Arial" w:hAnsi="Arial" w:cs="Arial"/>
        <w:b/>
        <w:color w:val="000000"/>
        <w:sz w:val="20"/>
        <w:szCs w:val="20"/>
      </w:rPr>
      <w:fldChar w:fldCharType="end"/>
    </w:r>
  </w:p>
  <w:p w14:paraId="028C47F6" w14:textId="77777777" w:rsidR="00992D40" w:rsidRDefault="00992D40">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48B26" w14:textId="77777777" w:rsidR="000D3FE1" w:rsidRDefault="000D3FE1">
      <w:r>
        <w:separator/>
      </w:r>
    </w:p>
  </w:footnote>
  <w:footnote w:type="continuationSeparator" w:id="0">
    <w:p w14:paraId="05E867AB" w14:textId="77777777" w:rsidR="000D3FE1" w:rsidRDefault="000D3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5662" w14:textId="77777777" w:rsidR="00992D40" w:rsidRDefault="00BC5C8B">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0" distR="0" simplePos="0" relativeHeight="251659264" behindDoc="1" locked="0" layoutInCell="1" hidden="0" allowOverlap="1" wp14:anchorId="1C15F9D6" wp14:editId="121E428A">
              <wp:simplePos x="0" y="0"/>
              <wp:positionH relativeFrom="margin">
                <wp:align>center</wp:align>
              </wp:positionH>
              <wp:positionV relativeFrom="margin">
                <wp:align>center</wp:align>
              </wp:positionV>
              <wp:extent cx="106316511" cy="106316511"/>
              <wp:effectExtent l="0" t="0" r="0" b="0"/>
              <wp:wrapNone/>
              <wp:docPr id="23" name="Rectángulo 23"/>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14:paraId="587EE533" w14:textId="77777777" w:rsidR="00992D40" w:rsidRDefault="00BC5C8B">
                          <w:pPr>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15F9D6" id="Rectángulo 23" o:spid="_x0000_s1026" style="position:absolute;margin-left:0;margin-top:0;width:8371.4pt;height:8371.4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" filled="f" stroked="f">
              <v:textbox inset="2.53958mm,2.53958mm,2.53958mm,2.53958mm">
                <w:txbxContent>
                  <w:p w14:paraId="587EE533" w14:textId="77777777" w:rsidR="00992D40" w:rsidRDefault="00BC5C8B">
                    <w:pPr>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0AE1" w14:textId="77777777" w:rsidR="00992D40" w:rsidRDefault="00BC5C8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2DEB59A9" wp14:editId="63B87103">
          <wp:simplePos x="0" y="0"/>
          <wp:positionH relativeFrom="column">
            <wp:posOffset>-653236</wp:posOffset>
          </wp:positionH>
          <wp:positionV relativeFrom="paragraph">
            <wp:posOffset>-2471</wp:posOffset>
          </wp:positionV>
          <wp:extent cx="7521053" cy="9897494"/>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344B1695"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14:paraId="3FAE187D"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14:paraId="14EE3C65" w14:textId="77777777" w:rsidR="00992D40" w:rsidRDefault="00BC5C8B">
    <w:pPr>
      <w:pBdr>
        <w:top w:val="nil"/>
        <w:left w:val="nil"/>
        <w:bottom w:val="nil"/>
        <w:right w:val="nil"/>
        <w:between w:val="nil"/>
      </w:pBdr>
      <w:tabs>
        <w:tab w:val="center" w:pos="4419"/>
        <w:tab w:val="right" w:pos="8505"/>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VOTO DISIDENTE </w:t>
    </w:r>
  </w:p>
  <w:p w14:paraId="128F9F06" w14:textId="68776368" w:rsidR="00992D40" w:rsidRDefault="00BC5C8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BB2290">
      <w:rPr>
        <w:rFonts w:ascii="Palatino Linotype" w:eastAsia="Palatino Linotype" w:hAnsi="Palatino Linotype" w:cs="Palatino Linotype"/>
        <w:b/>
        <w:color w:val="000000"/>
        <w:sz w:val="20"/>
        <w:szCs w:val="20"/>
      </w:rPr>
      <w:t>3556</w:t>
    </w:r>
    <w:r>
      <w:rPr>
        <w:rFonts w:ascii="Palatino Linotype" w:eastAsia="Palatino Linotype" w:hAnsi="Palatino Linotype" w:cs="Palatino Linotype"/>
        <w:b/>
        <w:color w:val="000000"/>
        <w:sz w:val="20"/>
        <w:szCs w:val="20"/>
      </w:rPr>
      <w:t>/INFOEM/IP/RR/2024</w:t>
    </w:r>
  </w:p>
  <w:p w14:paraId="2AD462BA" w14:textId="7D592C3F" w:rsidR="00992D40" w:rsidRDefault="00BC5C8B" w:rsidP="00BB2290">
    <w:pPr>
      <w:pBdr>
        <w:top w:val="nil"/>
        <w:left w:val="nil"/>
        <w:bottom w:val="nil"/>
        <w:right w:val="nil"/>
        <w:between w:val="nil"/>
      </w:pBdr>
      <w:tabs>
        <w:tab w:val="center" w:pos="4419"/>
        <w:tab w:val="right" w:pos="8838"/>
      </w:tabs>
      <w:ind w:left="3544"/>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Sujeto Obligado: </w:t>
    </w:r>
    <w:r w:rsidR="00BB2290">
      <w:rPr>
        <w:rFonts w:ascii="Palatino Linotype" w:eastAsia="Palatino Linotype" w:hAnsi="Palatino Linotype" w:cs="Palatino Linotype"/>
        <w:b/>
        <w:color w:val="000000"/>
        <w:sz w:val="20"/>
        <w:szCs w:val="20"/>
      </w:rPr>
      <w:t>Tribunal de Justicia Administrativa del Estado de México</w:t>
    </w:r>
  </w:p>
  <w:p w14:paraId="30DC403B" w14:textId="77777777" w:rsidR="00992D40" w:rsidRDefault="00BC5C8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Luis Gustavo Parra Noriega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955F6"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14:paraId="4F9396B5"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14:paraId="6C097D83" w14:textId="77777777"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14:paraId="4320E9AD" w14:textId="77777777" w:rsidR="00992D40" w:rsidRDefault="00992D4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EAD"/>
    <w:multiLevelType w:val="multilevel"/>
    <w:tmpl w:val="F84047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40"/>
    <w:rsid w:val="000D3FE1"/>
    <w:rsid w:val="003A3CD6"/>
    <w:rsid w:val="004A505D"/>
    <w:rsid w:val="006A3089"/>
    <w:rsid w:val="009928A9"/>
    <w:rsid w:val="00992D40"/>
    <w:rsid w:val="00BB2290"/>
    <w:rsid w:val="00BC5C8B"/>
    <w:rsid w:val="00EE4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3677"/>
  <w15:docId w15:val="{76CAAC00-BF77-4CAE-BACC-C70C86D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A3"/>
  </w:style>
  <w:style w:type="paragraph" w:styleId="Ttulo1">
    <w:name w:val="heading 1"/>
    <w:basedOn w:val="Normal"/>
    <w:next w:val="Normal"/>
    <w:uiPriority w:val="9"/>
    <w:qFormat/>
    <w:pPr>
      <w:keepNext/>
      <w:keepLines/>
      <w:spacing w:before="480" w:after="120" w:line="256"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6"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56"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56" w:lineRule="auto"/>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pPr>
  </w:style>
  <w:style w:type="paragraph" w:styleId="Prrafodelista">
    <w:name w:val="List Paragraph"/>
    <w:basedOn w:val="Normal"/>
    <w:uiPriority w:val="34"/>
    <w:qFormat/>
    <w:rsid w:val="00E915EC"/>
    <w:pPr>
      <w:spacing w:after="160" w:line="256" w:lineRule="auto"/>
      <w:ind w:left="720"/>
      <w:contextualSpacing/>
    </w:pPr>
    <w:rPr>
      <w:rFonts w:ascii="Calibri" w:eastAsia="Calibri" w:hAnsi="Calibri" w:cs="Calibri"/>
      <w:sz w:val="22"/>
      <w:szCs w:val="22"/>
    </w:rPr>
  </w:style>
  <w:style w:type="table" w:customStyle="1" w:styleId="a">
    <w:basedOn w:val="TableNormal6"/>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 w:type="paragraph" w:customStyle="1" w:styleId="INFOEM">
    <w:name w:val="INFOEM"/>
    <w:basedOn w:val="Normal"/>
    <w:qFormat/>
    <w:rsid w:val="00BB2290"/>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stemas3.infoem.org.mx/ipom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EetcMIIAJeK4vW9va2bXLP86Q==">CgMxLjAyCGguZ2pkZ3hzMgloLjFmb2I5dGUyCWguM3pueXNoNzgAciExQnVwMThnYVNrdkVHUVQxUzRqUUFnOFQxY3ZsNHRPeDY=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1947</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Infoem590</cp:lastModifiedBy>
  <cp:revision>2</cp:revision>
  <cp:lastPrinted>2024-09-17T16:26:00Z</cp:lastPrinted>
  <dcterms:created xsi:type="dcterms:W3CDTF">2024-10-07T16:39:00Z</dcterms:created>
  <dcterms:modified xsi:type="dcterms:W3CDTF">2024-10-07T16:39:00Z</dcterms:modified>
</cp:coreProperties>
</file>