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4D" w:rsidRPr="006970E5" w:rsidRDefault="005C224D">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p>
    <w:p w:rsidR="005C224D" w:rsidRPr="006970E5" w:rsidRDefault="003627CD">
      <w:pPr>
        <w:spacing w:before="240" w:after="240" w:line="360" w:lineRule="auto"/>
        <w:ind w:right="139"/>
        <w:jc w:val="both"/>
        <w:rPr>
          <w:rFonts w:ascii="Palatino Linotype" w:eastAsia="Palatino Linotype" w:hAnsi="Palatino Linotype" w:cs="Palatino Linotype"/>
          <w:b/>
          <w:sz w:val="36"/>
          <w:szCs w:val="36"/>
        </w:rPr>
      </w:pPr>
      <w:r w:rsidRPr="006970E5">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S</w:t>
      </w:r>
      <w:r w:rsidRPr="006970E5">
        <w:rPr>
          <w:rFonts w:ascii="Palatino Linotype" w:eastAsia="Palatino Linotype" w:hAnsi="Palatino Linotype" w:cs="Palatino Linotype"/>
          <w:b/>
          <w:sz w:val="24"/>
          <w:szCs w:val="24"/>
        </w:rPr>
        <w:t xml:space="preserve">EGUNDA SESIÓN ORDINARIA CELEBRADA EL VEINTICUATRO DE ENERO DE DOS MIL VEINTICUATRO, EN EL RECURSO DE REVISIÓN </w:t>
      </w:r>
      <w:r w:rsidR="006970E5" w:rsidRPr="006970E5">
        <w:rPr>
          <w:rFonts w:ascii="Palatino Linotype" w:eastAsia="Palatino Linotype" w:hAnsi="Palatino Linotype" w:cs="Palatino Linotype"/>
          <w:b/>
          <w:sz w:val="24"/>
          <w:szCs w:val="24"/>
        </w:rPr>
        <w:t>05035</w:t>
      </w:r>
      <w:r w:rsidRPr="006970E5">
        <w:rPr>
          <w:rFonts w:ascii="Palatino Linotype" w:eastAsia="Palatino Linotype" w:hAnsi="Palatino Linotype" w:cs="Palatino Linotype"/>
          <w:b/>
          <w:sz w:val="24"/>
          <w:szCs w:val="24"/>
        </w:rPr>
        <w:t xml:space="preserve">/INFOEM/IP/RR/2023. </w:t>
      </w:r>
    </w:p>
    <w:p w:rsidR="005C224D" w:rsidRPr="006970E5" w:rsidRDefault="003627CD">
      <w:pPr>
        <w:spacing w:after="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Con fundamento en lo dispuesto por el artículo 14, fracciones X y XI, del Reglamento del Instituto de Transparenc</w:t>
      </w:r>
      <w:r w:rsidRPr="006970E5">
        <w:rPr>
          <w:rFonts w:ascii="Palatino Linotype" w:eastAsia="Palatino Linotype" w:hAnsi="Palatino Linotype" w:cs="Palatino Linotype"/>
          <w:sz w:val="24"/>
          <w:szCs w:val="24"/>
        </w:rPr>
        <w:t xml:space="preserve">ia, Acceso a la Información Pública y Protección de Datos Personales del Estado de México, la que suscribe </w:t>
      </w:r>
      <w:r w:rsidRPr="006970E5">
        <w:rPr>
          <w:rFonts w:ascii="Palatino Linotype" w:eastAsia="Palatino Linotype" w:hAnsi="Palatino Linotype" w:cs="Palatino Linotype"/>
          <w:b/>
          <w:sz w:val="24"/>
          <w:szCs w:val="24"/>
        </w:rPr>
        <w:t>Guadalupe Ramírez Peña</w:t>
      </w:r>
      <w:r w:rsidRPr="006970E5">
        <w:rPr>
          <w:rFonts w:ascii="Palatino Linotype" w:eastAsia="Palatino Linotype" w:hAnsi="Palatino Linotype" w:cs="Palatino Linotype"/>
          <w:sz w:val="24"/>
          <w:szCs w:val="24"/>
        </w:rPr>
        <w:t xml:space="preserve">, emite </w:t>
      </w:r>
      <w:r w:rsidRPr="006970E5">
        <w:rPr>
          <w:rFonts w:ascii="Palatino Linotype" w:eastAsia="Palatino Linotype" w:hAnsi="Palatino Linotype" w:cs="Palatino Linotype"/>
          <w:b/>
          <w:sz w:val="24"/>
          <w:szCs w:val="24"/>
        </w:rPr>
        <w:t xml:space="preserve">Voto Disidente </w:t>
      </w:r>
      <w:r w:rsidRPr="006970E5">
        <w:rPr>
          <w:rFonts w:ascii="Palatino Linotype" w:eastAsia="Palatino Linotype" w:hAnsi="Palatino Linotype" w:cs="Palatino Linotype"/>
          <w:sz w:val="24"/>
          <w:szCs w:val="24"/>
        </w:rPr>
        <w:t xml:space="preserve">respecto a la resolución dictada en el recurso de revisión número </w:t>
      </w:r>
      <w:r w:rsidRPr="006970E5">
        <w:rPr>
          <w:rFonts w:ascii="Palatino Linotype" w:eastAsia="Palatino Linotype" w:hAnsi="Palatino Linotype" w:cs="Palatino Linotype"/>
          <w:b/>
          <w:sz w:val="24"/>
          <w:szCs w:val="24"/>
        </w:rPr>
        <w:t xml:space="preserve">05035/INFOEM/IP/RR/2023, </w:t>
      </w:r>
      <w:r w:rsidRPr="006970E5">
        <w:rPr>
          <w:rFonts w:ascii="Palatino Linotype" w:eastAsia="Palatino Linotype" w:hAnsi="Palatino Linotype" w:cs="Palatino Linotype"/>
          <w:sz w:val="24"/>
          <w:szCs w:val="24"/>
        </w:rPr>
        <w:t>pronunciada c</w:t>
      </w:r>
      <w:r w:rsidRPr="006970E5">
        <w:rPr>
          <w:rFonts w:ascii="Palatino Linotype" w:eastAsia="Palatino Linotype" w:hAnsi="Palatino Linotype" w:cs="Palatino Linotype"/>
          <w:sz w:val="24"/>
          <w:szCs w:val="24"/>
        </w:rPr>
        <w:t>on el criterio mayoritario del Pleno de este Instituto ante el proyecto presentado por el</w:t>
      </w:r>
      <w:r w:rsidRPr="006970E5">
        <w:rPr>
          <w:rFonts w:ascii="Palatino Linotype" w:eastAsia="Palatino Linotype" w:hAnsi="Palatino Linotype" w:cs="Palatino Linotype"/>
          <w:b/>
          <w:sz w:val="24"/>
          <w:szCs w:val="24"/>
        </w:rPr>
        <w:t xml:space="preserve"> </w:t>
      </w:r>
      <w:r w:rsidRPr="006970E5">
        <w:rPr>
          <w:rFonts w:ascii="Palatino Linotype" w:eastAsia="Palatino Linotype" w:hAnsi="Palatino Linotype" w:cs="Palatino Linotype"/>
          <w:sz w:val="24"/>
          <w:szCs w:val="24"/>
        </w:rPr>
        <w:t>Co</w:t>
      </w:r>
      <w:bookmarkStart w:id="1" w:name="_GoBack"/>
      <w:bookmarkEnd w:id="1"/>
      <w:r w:rsidRPr="006970E5">
        <w:rPr>
          <w:rFonts w:ascii="Palatino Linotype" w:eastAsia="Palatino Linotype" w:hAnsi="Palatino Linotype" w:cs="Palatino Linotype"/>
          <w:sz w:val="24"/>
          <w:szCs w:val="24"/>
        </w:rPr>
        <w:t xml:space="preserve">misionado </w:t>
      </w:r>
      <w:r w:rsidRPr="006970E5">
        <w:rPr>
          <w:rFonts w:ascii="Palatino Linotype" w:eastAsia="Palatino Linotype" w:hAnsi="Palatino Linotype" w:cs="Palatino Linotype"/>
          <w:b/>
          <w:sz w:val="24"/>
          <w:szCs w:val="24"/>
        </w:rPr>
        <w:t>José Martínez Vilchis</w:t>
      </w:r>
      <w:r w:rsidRPr="006970E5">
        <w:rPr>
          <w:rFonts w:ascii="Palatino Linotype" w:eastAsia="Palatino Linotype" w:hAnsi="Palatino Linotype" w:cs="Palatino Linotype"/>
          <w:sz w:val="24"/>
          <w:szCs w:val="24"/>
        </w:rPr>
        <w:t>, que es del tenor siguiente:</w:t>
      </w:r>
    </w:p>
    <w:p w:rsidR="005C224D" w:rsidRPr="006970E5" w:rsidRDefault="005C224D">
      <w:pPr>
        <w:spacing w:after="0" w:line="360" w:lineRule="auto"/>
        <w:jc w:val="both"/>
        <w:rPr>
          <w:rFonts w:ascii="Palatino Linotype" w:eastAsia="Palatino Linotype" w:hAnsi="Palatino Linotype" w:cs="Palatino Linotype"/>
          <w:b/>
          <w:sz w:val="24"/>
          <w:szCs w:val="24"/>
        </w:rPr>
      </w:pPr>
    </w:p>
    <w:p w:rsidR="005C224D" w:rsidRPr="006970E5" w:rsidRDefault="003627CD">
      <w:pPr>
        <w:numPr>
          <w:ilvl w:val="0"/>
          <w:numId w:val="2"/>
        </w:numPr>
        <w:spacing w:after="0" w:line="360" w:lineRule="auto"/>
        <w:ind w:left="567" w:hanging="141"/>
        <w:jc w:val="both"/>
        <w:rPr>
          <w:rFonts w:ascii="Palatino Linotype" w:eastAsia="Palatino Linotype" w:hAnsi="Palatino Linotype" w:cs="Palatino Linotype"/>
          <w:b/>
          <w:sz w:val="24"/>
          <w:szCs w:val="24"/>
        </w:rPr>
      </w:pPr>
      <w:r w:rsidRPr="006970E5">
        <w:rPr>
          <w:rFonts w:ascii="Palatino Linotype" w:eastAsia="Palatino Linotype" w:hAnsi="Palatino Linotype" w:cs="Palatino Linotype"/>
          <w:b/>
          <w:sz w:val="24"/>
          <w:szCs w:val="24"/>
        </w:rPr>
        <w:t>Antecedentes.</w:t>
      </w:r>
    </w:p>
    <w:p w:rsidR="005C224D" w:rsidRPr="006970E5" w:rsidRDefault="003627CD">
      <w:pPr>
        <w:spacing w:before="240" w:after="240" w:line="360" w:lineRule="auto"/>
        <w:jc w:val="both"/>
        <w:rPr>
          <w:rFonts w:ascii="Palatino Linotype" w:eastAsia="Palatino Linotype" w:hAnsi="Palatino Linotype" w:cs="Palatino Linotype"/>
          <w:i/>
        </w:rPr>
      </w:pPr>
      <w:r w:rsidRPr="006970E5">
        <w:rPr>
          <w:rFonts w:ascii="Palatino Linotype" w:eastAsia="Palatino Linotype" w:hAnsi="Palatino Linotype" w:cs="Palatino Linotype"/>
          <w:sz w:val="24"/>
          <w:szCs w:val="24"/>
        </w:rPr>
        <w:t>A través de la solicitud de acceso a la información que nos ocupa, la persona solicitant</w:t>
      </w:r>
      <w:r w:rsidRPr="006970E5">
        <w:rPr>
          <w:rFonts w:ascii="Palatino Linotype" w:eastAsia="Palatino Linotype" w:hAnsi="Palatino Linotype" w:cs="Palatino Linotype"/>
          <w:sz w:val="24"/>
          <w:szCs w:val="24"/>
        </w:rPr>
        <w:t xml:space="preserve">e requirió al </w:t>
      </w:r>
      <w:r w:rsidRPr="006970E5">
        <w:rPr>
          <w:rFonts w:ascii="Palatino Linotype" w:eastAsia="Palatino Linotype" w:hAnsi="Palatino Linotype" w:cs="Palatino Linotype"/>
          <w:b/>
          <w:sz w:val="24"/>
          <w:szCs w:val="24"/>
        </w:rPr>
        <w:t xml:space="preserve">Sujeto Obligado, </w:t>
      </w:r>
      <w:r w:rsidRPr="006970E5">
        <w:rPr>
          <w:rFonts w:ascii="Palatino Linotype" w:eastAsia="Palatino Linotype" w:hAnsi="Palatino Linotype" w:cs="Palatino Linotype"/>
          <w:sz w:val="24"/>
          <w:szCs w:val="24"/>
        </w:rPr>
        <w:t>le proporcionara la siguiente información:</w:t>
      </w:r>
    </w:p>
    <w:p w:rsidR="005C224D" w:rsidRPr="006970E5" w:rsidRDefault="003627CD">
      <w:pPr>
        <w:spacing w:before="120" w:after="120" w:line="240" w:lineRule="auto"/>
        <w:ind w:left="851" w:right="992"/>
        <w:jc w:val="both"/>
        <w:rPr>
          <w:rFonts w:ascii="Palatino Linotype" w:eastAsia="Palatino Linotype" w:hAnsi="Palatino Linotype" w:cs="Palatino Linotype"/>
          <w:i/>
        </w:rPr>
      </w:pPr>
      <w:r w:rsidRPr="006970E5">
        <w:rPr>
          <w:rFonts w:ascii="Palatino Linotype" w:eastAsia="Palatino Linotype" w:hAnsi="Palatino Linotype" w:cs="Palatino Linotype"/>
          <w:i/>
        </w:rPr>
        <w:t xml:space="preserve">“la </w:t>
      </w:r>
      <w:proofErr w:type="spellStart"/>
      <w:r w:rsidRPr="006970E5">
        <w:rPr>
          <w:rFonts w:ascii="Palatino Linotype" w:eastAsia="Palatino Linotype" w:hAnsi="Palatino Linotype" w:cs="Palatino Linotype"/>
          <w:i/>
        </w:rPr>
        <w:t>version</w:t>
      </w:r>
      <w:proofErr w:type="spellEnd"/>
      <w:r w:rsidRPr="006970E5">
        <w:rPr>
          <w:rFonts w:ascii="Palatino Linotype" w:eastAsia="Palatino Linotype" w:hAnsi="Palatino Linotype" w:cs="Palatino Linotype"/>
          <w:i/>
        </w:rPr>
        <w:t xml:space="preserve"> publica de las manifestaciones de bienes por alta en el servicio </w:t>
      </w:r>
      <w:proofErr w:type="spellStart"/>
      <w:r w:rsidRPr="006970E5">
        <w:rPr>
          <w:rFonts w:ascii="Palatino Linotype" w:eastAsia="Palatino Linotype" w:hAnsi="Palatino Linotype" w:cs="Palatino Linotype"/>
          <w:i/>
        </w:rPr>
        <w:t>publico</w:t>
      </w:r>
      <w:proofErr w:type="spellEnd"/>
      <w:r w:rsidRPr="006970E5">
        <w:rPr>
          <w:rFonts w:ascii="Palatino Linotype" w:eastAsia="Palatino Linotype" w:hAnsi="Palatino Linotype" w:cs="Palatino Linotype"/>
          <w:i/>
        </w:rPr>
        <w:t xml:space="preserve"> y la </w:t>
      </w:r>
      <w:proofErr w:type="spellStart"/>
      <w:r w:rsidRPr="006970E5">
        <w:rPr>
          <w:rFonts w:ascii="Palatino Linotype" w:eastAsia="Palatino Linotype" w:hAnsi="Palatino Linotype" w:cs="Palatino Linotype"/>
          <w:i/>
        </w:rPr>
        <w:t>manifestacion</w:t>
      </w:r>
      <w:proofErr w:type="spellEnd"/>
      <w:r w:rsidRPr="006970E5">
        <w:rPr>
          <w:rFonts w:ascii="Palatino Linotype" w:eastAsia="Palatino Linotype" w:hAnsi="Palatino Linotype" w:cs="Palatino Linotype"/>
          <w:i/>
        </w:rPr>
        <w:t xml:space="preserve"> de bienes anual 2023 </w:t>
      </w:r>
      <w:proofErr w:type="spellStart"/>
      <w:r w:rsidRPr="006970E5">
        <w:rPr>
          <w:rFonts w:ascii="Palatino Linotype" w:eastAsia="Palatino Linotype" w:hAnsi="Palatino Linotype" w:cs="Palatino Linotype"/>
          <w:i/>
        </w:rPr>
        <w:t>deL</w:t>
      </w:r>
      <w:proofErr w:type="spellEnd"/>
      <w:r w:rsidRPr="006970E5">
        <w:rPr>
          <w:rFonts w:ascii="Palatino Linotype" w:eastAsia="Palatino Linotype" w:hAnsi="Palatino Linotype" w:cs="Palatino Linotype"/>
          <w:i/>
        </w:rPr>
        <w:t xml:space="preserve"> servidor </w:t>
      </w:r>
      <w:proofErr w:type="spellStart"/>
      <w:r w:rsidRPr="006970E5">
        <w:rPr>
          <w:rFonts w:ascii="Palatino Linotype" w:eastAsia="Palatino Linotype" w:hAnsi="Palatino Linotype" w:cs="Palatino Linotype"/>
          <w:i/>
        </w:rPr>
        <w:t>publico</w:t>
      </w:r>
      <w:proofErr w:type="spellEnd"/>
      <w:r w:rsidRPr="006970E5">
        <w:rPr>
          <w:rFonts w:ascii="Palatino Linotype" w:eastAsia="Palatino Linotype" w:hAnsi="Palatino Linotype" w:cs="Palatino Linotype"/>
          <w:i/>
        </w:rPr>
        <w:t xml:space="preserve"> MIGUEL ANGEL RAMIREZ PONCE” (Sic)”.</w:t>
      </w:r>
    </w:p>
    <w:p w:rsidR="005C224D" w:rsidRPr="006970E5" w:rsidRDefault="005C224D">
      <w:pPr>
        <w:spacing w:before="240" w:after="240" w:line="360" w:lineRule="auto"/>
        <w:jc w:val="both"/>
        <w:rPr>
          <w:rFonts w:ascii="Palatino Linotype" w:eastAsia="Palatino Linotype" w:hAnsi="Palatino Linotype" w:cs="Palatino Linotype"/>
          <w:sz w:val="24"/>
          <w:szCs w:val="24"/>
        </w:rPr>
      </w:pPr>
    </w:p>
    <w:p w:rsidR="005C224D" w:rsidRPr="006970E5" w:rsidRDefault="003627CD">
      <w:pPr>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En su respuesta, el </w:t>
      </w:r>
      <w:r w:rsidRPr="006970E5">
        <w:rPr>
          <w:rFonts w:ascii="Palatino Linotype" w:eastAsia="Palatino Linotype" w:hAnsi="Palatino Linotype" w:cs="Palatino Linotype"/>
          <w:b/>
          <w:sz w:val="24"/>
          <w:szCs w:val="24"/>
        </w:rPr>
        <w:t xml:space="preserve">Sujeto Obligado, </w:t>
      </w:r>
      <w:r w:rsidRPr="006970E5">
        <w:rPr>
          <w:rFonts w:ascii="Palatino Linotype" w:eastAsia="Palatino Linotype" w:hAnsi="Palatino Linotype" w:cs="Palatino Linotype"/>
          <w:sz w:val="24"/>
          <w:szCs w:val="24"/>
        </w:rPr>
        <w:t>adjuntó lo siguiente:</w:t>
      </w:r>
    </w:p>
    <w:p w:rsidR="005C224D" w:rsidRPr="006970E5" w:rsidRDefault="003627CD">
      <w:pPr>
        <w:tabs>
          <w:tab w:val="left" w:pos="567"/>
          <w:tab w:val="left" w:pos="709"/>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i) Oficio número IXT/TM/0984/2023, de fecha once de octubre de dos mil veintitrés, suscrito por el Tesorero Municipal de Ixtapaluca, dirigido a la Titular de la Unidad de Transparencia y Acceso a </w:t>
      </w:r>
      <w:r w:rsidRPr="006970E5">
        <w:rPr>
          <w:rFonts w:ascii="Palatino Linotype" w:eastAsia="Palatino Linotype" w:hAnsi="Palatino Linotype" w:cs="Palatino Linotype"/>
          <w:sz w:val="24"/>
          <w:szCs w:val="24"/>
        </w:rPr>
        <w:t>la Información Pública, mediante el cual arguyó lo siguiente:</w:t>
      </w:r>
    </w:p>
    <w:p w:rsidR="005C224D" w:rsidRPr="006970E5" w:rsidRDefault="003627CD" w:rsidP="006970E5">
      <w:pPr>
        <w:tabs>
          <w:tab w:val="left" w:pos="567"/>
          <w:tab w:val="left" w:pos="709"/>
          <w:tab w:val="left" w:pos="851"/>
          <w:tab w:val="left" w:pos="993"/>
          <w:tab w:val="left" w:pos="4667"/>
          <w:tab w:val="left" w:pos="8080"/>
        </w:tabs>
        <w:spacing w:before="120" w:after="120" w:line="240" w:lineRule="auto"/>
        <w:ind w:left="567" w:right="709"/>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“…En virtud a su solicitud, le comento que no hace mención del ordenamiento al que se refiere; sin embargo, le remito en calidad de Proyecto de Clasificación para que sea presentado al Comité de</w:t>
      </w:r>
      <w:r w:rsidRPr="006970E5">
        <w:rPr>
          <w:rFonts w:ascii="Palatino Linotype" w:eastAsia="Palatino Linotype" w:hAnsi="Palatino Linotype" w:cs="Palatino Linotype"/>
          <w:i/>
          <w:szCs w:val="24"/>
        </w:rPr>
        <w:t xml:space="preserve"> Transparencia para la emisión de su Versión Pública, la documentación solicitada en el artículo 32 de la Ley Orgánica Municipal del Estado de México.</w:t>
      </w:r>
    </w:p>
    <w:p w:rsidR="005C224D" w:rsidRPr="006970E5" w:rsidRDefault="003627CD" w:rsidP="006970E5">
      <w:pPr>
        <w:tabs>
          <w:tab w:val="left" w:pos="567"/>
          <w:tab w:val="left" w:pos="709"/>
          <w:tab w:val="left" w:pos="851"/>
          <w:tab w:val="left" w:pos="993"/>
          <w:tab w:val="left" w:pos="4667"/>
          <w:tab w:val="left" w:pos="8080"/>
        </w:tabs>
        <w:spacing w:before="120" w:after="120" w:line="240" w:lineRule="auto"/>
        <w:ind w:left="567" w:right="709"/>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Anexo copia de la siguiente documentación del que suscribe, Titular de la Tesorería Municipal:</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Ficha Curricular;</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Constancia de No Inhabilitación:</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Certificado de Competencia Laboral;</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Informe de No Antecedentes Penales;</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Certificado de No Registro de Deudor Alimentario Moroso; e</w:t>
      </w:r>
    </w:p>
    <w:p w:rsidR="005C224D" w:rsidRPr="006970E5" w:rsidRDefault="003627CD" w:rsidP="006970E5">
      <w:pPr>
        <w:numPr>
          <w:ilvl w:val="0"/>
          <w:numId w:val="1"/>
        </w:numPr>
        <w:pBdr>
          <w:top w:val="nil"/>
          <w:left w:val="nil"/>
          <w:bottom w:val="nil"/>
          <w:right w:val="nil"/>
          <w:between w:val="nil"/>
        </w:pBdr>
        <w:tabs>
          <w:tab w:val="left" w:pos="567"/>
          <w:tab w:val="left" w:pos="851"/>
          <w:tab w:val="left" w:pos="1134"/>
          <w:tab w:val="left" w:pos="1276"/>
          <w:tab w:val="left" w:pos="4667"/>
          <w:tab w:val="left" w:pos="8080"/>
        </w:tabs>
        <w:spacing w:before="120" w:after="120" w:line="240" w:lineRule="auto"/>
        <w:ind w:left="567" w:right="709" w:firstLine="0"/>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INE</w:t>
      </w:r>
    </w:p>
    <w:p w:rsidR="005C224D" w:rsidRPr="006970E5" w:rsidRDefault="003627CD" w:rsidP="006970E5">
      <w:pPr>
        <w:tabs>
          <w:tab w:val="left" w:pos="567"/>
          <w:tab w:val="left" w:pos="709"/>
          <w:tab w:val="left" w:pos="851"/>
          <w:tab w:val="left" w:pos="993"/>
          <w:tab w:val="left" w:pos="4667"/>
          <w:tab w:val="left" w:pos="8080"/>
        </w:tabs>
        <w:spacing w:before="120" w:after="120" w:line="240" w:lineRule="auto"/>
        <w:ind w:left="567" w:right="709"/>
        <w:jc w:val="both"/>
        <w:rPr>
          <w:rFonts w:ascii="Palatino Linotype" w:eastAsia="Palatino Linotype" w:hAnsi="Palatino Linotype" w:cs="Palatino Linotype"/>
          <w:i/>
          <w:szCs w:val="24"/>
        </w:rPr>
      </w:pPr>
      <w:r w:rsidRPr="006970E5">
        <w:rPr>
          <w:rFonts w:ascii="Palatino Linotype" w:eastAsia="Palatino Linotype" w:hAnsi="Palatino Linotype" w:cs="Palatino Linotype"/>
          <w:i/>
          <w:szCs w:val="24"/>
        </w:rPr>
        <w:t>Sin más que agregar quedo de usted, para cualquier duda o comentario a</w:t>
      </w:r>
      <w:r w:rsidRPr="006970E5">
        <w:rPr>
          <w:rFonts w:ascii="Palatino Linotype" w:eastAsia="Palatino Linotype" w:hAnsi="Palatino Linotype" w:cs="Palatino Linotype"/>
          <w:i/>
          <w:szCs w:val="24"/>
        </w:rPr>
        <w:t>l respecto. …” (Sic)</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ii) Ficha Curricular del Tesorero Municipal de Ixtapaluca Omar Guerrero Mendoza.</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lastRenderedPageBreak/>
        <w:t>iii) Constancia de no inhabilitación del C. Omar Guerrero Mendoza, de fecha tres de agosto de dos mil veintidós, expedida por el Director General de Respo</w:t>
      </w:r>
      <w:r w:rsidRPr="006970E5">
        <w:rPr>
          <w:rFonts w:ascii="Palatino Linotype" w:eastAsia="Palatino Linotype" w:hAnsi="Palatino Linotype" w:cs="Palatino Linotype"/>
          <w:sz w:val="24"/>
          <w:szCs w:val="24"/>
        </w:rPr>
        <w:t>nsabilidades Administrativas de la Secretaría de la Contraloría.</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iv) Certificado de Competencia Laboral del Tesorero Municipal el C. Omar Guerrero Mendoza.</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v) Informe de no Antecedentes Penales del Tesorero Municipal el C. Omar Guerrero Mendoza, de fecha d</w:t>
      </w:r>
      <w:r w:rsidRPr="006970E5">
        <w:rPr>
          <w:rFonts w:ascii="Palatino Linotype" w:eastAsia="Palatino Linotype" w:hAnsi="Palatino Linotype" w:cs="Palatino Linotype"/>
          <w:sz w:val="24"/>
          <w:szCs w:val="24"/>
        </w:rPr>
        <w:t>iecinueve de junio de dos mil veintitrés, expedido por la Coordinación General de Servicios Periciales de la Fiscalía General de Justicia del Estado de México.</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vi) Certificado de no registro de deudor alimentario moroso, del Tesorero Municipal el C. Omar G</w:t>
      </w:r>
      <w:r w:rsidRPr="006970E5">
        <w:rPr>
          <w:rFonts w:ascii="Palatino Linotype" w:eastAsia="Palatino Linotype" w:hAnsi="Palatino Linotype" w:cs="Palatino Linotype"/>
          <w:sz w:val="24"/>
          <w:szCs w:val="24"/>
        </w:rPr>
        <w:t>uerrero Mendoza, de fecha diecinueve de junio de dos mil veintitrés, expedido por la C. Juez de la Oficina Central del Registro Civil de la Ciudad de México.</w:t>
      </w:r>
    </w:p>
    <w:p w:rsidR="005C224D" w:rsidRPr="006970E5" w:rsidRDefault="003627CD">
      <w:pPr>
        <w:tabs>
          <w:tab w:val="left" w:pos="567"/>
          <w:tab w:val="left" w:pos="709"/>
          <w:tab w:val="left" w:pos="4667"/>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vii) Copia de la credencial para votar del C. Omar Guerrero Mendoza, expedida por el Instituto Nac</w:t>
      </w:r>
      <w:r w:rsidRPr="006970E5">
        <w:rPr>
          <w:rFonts w:ascii="Palatino Linotype" w:eastAsia="Palatino Linotype" w:hAnsi="Palatino Linotype" w:cs="Palatino Linotype"/>
          <w:sz w:val="24"/>
          <w:szCs w:val="24"/>
        </w:rPr>
        <w:t>ional Electoral.</w:t>
      </w:r>
    </w:p>
    <w:p w:rsidR="005C224D" w:rsidRPr="006970E5" w:rsidRDefault="003627CD">
      <w:pPr>
        <w:tabs>
          <w:tab w:val="left" w:pos="567"/>
          <w:tab w:val="left" w:pos="709"/>
        </w:tabs>
        <w:spacing w:before="240" w:after="240" w:line="360" w:lineRule="auto"/>
        <w:ind w:left="284" w:right="51"/>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viii) Oficio número IXTA-DIYOP-2983-2023 de fecha veinticinco de octubre de dos mil veintitrés, suscrito por el Director de Infraestructura y Obras Públicas, dirigido la Titular de la Unidad de Transparencia y Acceso a la Información, mediante el cual argu</w:t>
      </w:r>
      <w:r w:rsidRPr="006970E5">
        <w:rPr>
          <w:rFonts w:ascii="Palatino Linotype" w:eastAsia="Palatino Linotype" w:hAnsi="Palatino Linotype" w:cs="Palatino Linotype"/>
          <w:sz w:val="24"/>
          <w:szCs w:val="24"/>
        </w:rPr>
        <w:t>yó lo siguiente:</w:t>
      </w:r>
    </w:p>
    <w:p w:rsidR="005C224D" w:rsidRPr="006970E5" w:rsidRDefault="003627CD">
      <w:pPr>
        <w:tabs>
          <w:tab w:val="left" w:pos="567"/>
          <w:tab w:val="left" w:pos="709"/>
          <w:tab w:val="left" w:pos="4667"/>
          <w:tab w:val="left" w:pos="8222"/>
        </w:tabs>
        <w:spacing w:before="120" w:after="120" w:line="240" w:lineRule="auto"/>
        <w:ind w:left="567" w:right="902"/>
        <w:jc w:val="both"/>
        <w:rPr>
          <w:rFonts w:ascii="Palatino Linotype" w:eastAsia="Palatino Linotype" w:hAnsi="Palatino Linotype" w:cs="Palatino Linotype"/>
          <w:i/>
          <w:sz w:val="24"/>
          <w:szCs w:val="24"/>
        </w:rPr>
      </w:pPr>
      <w:r w:rsidRPr="006970E5">
        <w:rPr>
          <w:rFonts w:ascii="Palatino Linotype" w:eastAsia="Palatino Linotype" w:hAnsi="Palatino Linotype" w:cs="Palatino Linotype"/>
          <w:i/>
          <w:sz w:val="24"/>
          <w:szCs w:val="24"/>
        </w:rPr>
        <w:lastRenderedPageBreak/>
        <w:t>“…Los requerimientos académicos, legales y administrativos que se solicitan para cubrir el puesto de la Dirección de Obras Públicas, no se encuentran enlistados en el libro décimo segundo del Código Administrativo del Estado de México.</w:t>
      </w:r>
    </w:p>
    <w:p w:rsidR="005C224D" w:rsidRPr="006970E5" w:rsidRDefault="003627CD">
      <w:pPr>
        <w:tabs>
          <w:tab w:val="left" w:pos="567"/>
          <w:tab w:val="left" w:pos="709"/>
          <w:tab w:val="left" w:pos="4667"/>
          <w:tab w:val="left" w:pos="8222"/>
        </w:tabs>
        <w:spacing w:before="120" w:after="120" w:line="240" w:lineRule="auto"/>
        <w:ind w:left="567" w:right="902"/>
        <w:jc w:val="both"/>
        <w:rPr>
          <w:rFonts w:ascii="Palatino Linotype" w:eastAsia="Palatino Linotype" w:hAnsi="Palatino Linotype" w:cs="Palatino Linotype"/>
          <w:i/>
          <w:sz w:val="24"/>
          <w:szCs w:val="24"/>
        </w:rPr>
      </w:pPr>
      <w:r w:rsidRPr="006970E5">
        <w:rPr>
          <w:rFonts w:ascii="Palatino Linotype" w:eastAsia="Palatino Linotype" w:hAnsi="Palatino Linotype" w:cs="Palatino Linotype"/>
          <w:i/>
          <w:sz w:val="24"/>
          <w:szCs w:val="24"/>
        </w:rPr>
        <w:t>Sin</w:t>
      </w:r>
      <w:r w:rsidRPr="006970E5">
        <w:rPr>
          <w:rFonts w:ascii="Palatino Linotype" w:eastAsia="Palatino Linotype" w:hAnsi="Palatino Linotype" w:cs="Palatino Linotype"/>
          <w:i/>
          <w:sz w:val="24"/>
          <w:szCs w:val="24"/>
        </w:rPr>
        <w:t xml:space="preserve"> más por el momento, agradezco su atención al presente…” (Sic)</w:t>
      </w:r>
    </w:p>
    <w:p w:rsidR="005C224D" w:rsidRPr="006970E5" w:rsidRDefault="003627CD">
      <w:pPr>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Una vez conocida la respuesta del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la parte </w:t>
      </w:r>
      <w:r w:rsidRPr="006970E5">
        <w:rPr>
          <w:rFonts w:ascii="Palatino Linotype" w:eastAsia="Palatino Linotype" w:hAnsi="Palatino Linotype" w:cs="Palatino Linotype"/>
          <w:b/>
          <w:sz w:val="24"/>
          <w:szCs w:val="24"/>
        </w:rPr>
        <w:t>Recurrente</w:t>
      </w:r>
      <w:r w:rsidRPr="006970E5">
        <w:rPr>
          <w:rFonts w:ascii="Palatino Linotype" w:eastAsia="Palatino Linotype" w:hAnsi="Palatino Linotype" w:cs="Palatino Linotype"/>
          <w:sz w:val="24"/>
          <w:szCs w:val="24"/>
        </w:rPr>
        <w:t xml:space="preserve"> interpuso el medio de impugnación citado al rubro, manifestado lo siguiente: </w:t>
      </w:r>
    </w:p>
    <w:p w:rsidR="005C224D" w:rsidRPr="006970E5" w:rsidRDefault="003627CD">
      <w:pPr>
        <w:tabs>
          <w:tab w:val="left" w:pos="4667"/>
        </w:tabs>
        <w:spacing w:line="360" w:lineRule="auto"/>
        <w:ind w:right="567"/>
        <w:jc w:val="both"/>
        <w:rPr>
          <w:rFonts w:ascii="Palatino Linotype" w:eastAsia="Palatino Linotype" w:hAnsi="Palatino Linotype" w:cs="Palatino Linotype"/>
          <w:b/>
          <w:sz w:val="24"/>
          <w:szCs w:val="24"/>
        </w:rPr>
      </w:pPr>
      <w:r w:rsidRPr="006970E5">
        <w:rPr>
          <w:rFonts w:ascii="Palatino Linotype" w:eastAsia="Palatino Linotype" w:hAnsi="Palatino Linotype" w:cs="Palatino Linotype"/>
          <w:b/>
          <w:sz w:val="24"/>
          <w:szCs w:val="24"/>
        </w:rPr>
        <w:t>Acto Impugnado:</w:t>
      </w:r>
    </w:p>
    <w:p w:rsidR="005C224D" w:rsidRPr="006970E5" w:rsidRDefault="003627CD">
      <w:pPr>
        <w:spacing w:line="240" w:lineRule="auto"/>
        <w:ind w:left="851" w:right="900"/>
        <w:jc w:val="both"/>
        <w:rPr>
          <w:rFonts w:ascii="Palatino Linotype" w:eastAsia="Palatino Linotype" w:hAnsi="Palatino Linotype" w:cs="Palatino Linotype"/>
          <w:i/>
        </w:rPr>
      </w:pPr>
      <w:r w:rsidRPr="006970E5">
        <w:rPr>
          <w:rFonts w:ascii="Palatino Linotype" w:eastAsia="Palatino Linotype" w:hAnsi="Palatino Linotype" w:cs="Palatino Linotype"/>
          <w:i/>
        </w:rPr>
        <w:t>“la respuesta” (sic)</w:t>
      </w:r>
    </w:p>
    <w:p w:rsidR="005C224D" w:rsidRPr="006970E5" w:rsidRDefault="003627CD">
      <w:pPr>
        <w:spacing w:line="360" w:lineRule="auto"/>
        <w:ind w:right="567"/>
        <w:jc w:val="both"/>
        <w:rPr>
          <w:rFonts w:ascii="Palatino Linotype" w:eastAsia="Palatino Linotype" w:hAnsi="Palatino Linotype" w:cs="Palatino Linotype"/>
          <w:b/>
          <w:sz w:val="24"/>
          <w:szCs w:val="24"/>
        </w:rPr>
      </w:pPr>
      <w:r w:rsidRPr="006970E5">
        <w:rPr>
          <w:rFonts w:ascii="Palatino Linotype" w:eastAsia="Palatino Linotype" w:hAnsi="Palatino Linotype" w:cs="Palatino Linotype"/>
          <w:b/>
          <w:sz w:val="24"/>
          <w:szCs w:val="24"/>
        </w:rPr>
        <w:t>Razones o Motivos Inconformidad:</w:t>
      </w:r>
    </w:p>
    <w:p w:rsidR="005C224D" w:rsidRPr="006970E5" w:rsidRDefault="003627CD">
      <w:pPr>
        <w:tabs>
          <w:tab w:val="center" w:pos="4536"/>
        </w:tabs>
        <w:spacing w:line="240" w:lineRule="auto"/>
        <w:ind w:left="851" w:right="900"/>
        <w:jc w:val="both"/>
        <w:rPr>
          <w:rFonts w:ascii="Palatino Linotype" w:eastAsia="Palatino Linotype" w:hAnsi="Palatino Linotype" w:cs="Palatino Linotype"/>
          <w:i/>
        </w:rPr>
      </w:pPr>
      <w:r w:rsidRPr="006970E5">
        <w:rPr>
          <w:rFonts w:ascii="Palatino Linotype" w:eastAsia="Palatino Linotype" w:hAnsi="Palatino Linotype" w:cs="Palatino Linotype"/>
          <w:i/>
        </w:rPr>
        <w:t xml:space="preserve">“no hay acta de inexistencia de la </w:t>
      </w:r>
      <w:proofErr w:type="spellStart"/>
      <w:r w:rsidRPr="006970E5">
        <w:rPr>
          <w:rFonts w:ascii="Palatino Linotype" w:eastAsia="Palatino Linotype" w:hAnsi="Palatino Linotype" w:cs="Palatino Linotype"/>
          <w:i/>
        </w:rPr>
        <w:t>informacion</w:t>
      </w:r>
      <w:proofErr w:type="spellEnd"/>
      <w:r w:rsidRPr="006970E5">
        <w:rPr>
          <w:rFonts w:ascii="Palatino Linotype" w:eastAsia="Palatino Linotype" w:hAnsi="Palatino Linotype" w:cs="Palatino Linotype"/>
          <w:i/>
        </w:rPr>
        <w:t>” (Sic).</w:t>
      </w:r>
    </w:p>
    <w:p w:rsidR="005C224D" w:rsidRPr="006970E5" w:rsidRDefault="003627C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Las partes fueron omisas en rendir manifestaciones, en el plazo establecido </w:t>
      </w:r>
      <w:proofErr w:type="spellStart"/>
      <w:r w:rsidRPr="006970E5">
        <w:rPr>
          <w:rFonts w:ascii="Palatino Linotype" w:eastAsia="Palatino Linotype" w:hAnsi="Palatino Linotype" w:cs="Palatino Linotype"/>
          <w:sz w:val="24"/>
          <w:szCs w:val="24"/>
        </w:rPr>
        <w:t>par</w:t>
      </w:r>
      <w:proofErr w:type="spellEnd"/>
      <w:r w:rsidRPr="006970E5">
        <w:rPr>
          <w:rFonts w:ascii="Palatino Linotype" w:eastAsia="Palatino Linotype" w:hAnsi="Palatino Linotype" w:cs="Palatino Linotype"/>
          <w:sz w:val="24"/>
          <w:szCs w:val="24"/>
        </w:rPr>
        <w:t xml:space="preserve"> </w:t>
      </w:r>
      <w:proofErr w:type="spellStart"/>
      <w:r w:rsidRPr="006970E5">
        <w:rPr>
          <w:rFonts w:ascii="Palatino Linotype" w:eastAsia="Palatino Linotype" w:hAnsi="Palatino Linotype" w:cs="Palatino Linotype"/>
          <w:sz w:val="24"/>
          <w:szCs w:val="24"/>
        </w:rPr>
        <w:t>atal</w:t>
      </w:r>
      <w:proofErr w:type="spellEnd"/>
      <w:r w:rsidRPr="006970E5">
        <w:rPr>
          <w:rFonts w:ascii="Palatino Linotype" w:eastAsia="Palatino Linotype" w:hAnsi="Palatino Linotype" w:cs="Palatino Linotype"/>
          <w:sz w:val="24"/>
          <w:szCs w:val="24"/>
        </w:rPr>
        <w:t xml:space="preserve"> efecto.</w:t>
      </w:r>
    </w:p>
    <w:p w:rsidR="005C224D" w:rsidRPr="006970E5" w:rsidRDefault="003627C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bookmarkStart w:id="2" w:name="_heading=h.30j0zll" w:colFirst="0" w:colLast="0"/>
      <w:bookmarkEnd w:id="2"/>
      <w:r w:rsidRPr="006970E5">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6970E5">
        <w:rPr>
          <w:rFonts w:ascii="Palatino Linotype" w:eastAsia="Palatino Linotype" w:hAnsi="Palatino Linotype" w:cs="Palatino Linotype"/>
          <w:b/>
          <w:sz w:val="24"/>
          <w:szCs w:val="24"/>
        </w:rPr>
        <w:t xml:space="preserve">Recurrente </w:t>
      </w:r>
      <w:r w:rsidRPr="006970E5">
        <w:rPr>
          <w:rFonts w:ascii="Palatino Linotype" w:eastAsia="Palatino Linotype" w:hAnsi="Palatino Linotype" w:cs="Palatino Linotype"/>
          <w:sz w:val="24"/>
          <w:szCs w:val="24"/>
        </w:rPr>
        <w:t xml:space="preserve">resultan fundados, y determinó modificar la respuesta del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para ordenar  la entrega de lo siguiente:</w:t>
      </w:r>
    </w:p>
    <w:p w:rsidR="005C224D" w:rsidRPr="006970E5" w:rsidRDefault="003627CD">
      <w:pPr>
        <w:spacing w:before="120" w:after="120" w:line="240" w:lineRule="auto"/>
        <w:ind w:left="851" w:right="992"/>
        <w:jc w:val="both"/>
        <w:rPr>
          <w:rFonts w:ascii="Palatino Linotype" w:eastAsia="Palatino Linotype" w:hAnsi="Palatino Linotype" w:cs="Palatino Linotype"/>
          <w:b/>
          <w:i/>
        </w:rPr>
      </w:pPr>
      <w:r w:rsidRPr="006970E5">
        <w:rPr>
          <w:rFonts w:ascii="Palatino Linotype" w:eastAsia="Palatino Linotype" w:hAnsi="Palatino Linotype" w:cs="Palatino Linotype"/>
          <w:i/>
        </w:rPr>
        <w:t>“1. Acuerdo que emita</w:t>
      </w:r>
      <w:r w:rsidRPr="006970E5">
        <w:rPr>
          <w:rFonts w:ascii="Palatino Linotype" w:eastAsia="Palatino Linotype" w:hAnsi="Palatino Linotype" w:cs="Palatino Linotype"/>
          <w:i/>
        </w:rPr>
        <w:t xml:space="preserve"> el Comité de Transparencia en el que se confirme la declaración de incompetencia del Sujeto obligado respecto de la información requerida mediante la solicitud de </w:t>
      </w:r>
      <w:proofErr w:type="spellStart"/>
      <w:r w:rsidRPr="006970E5">
        <w:rPr>
          <w:rFonts w:ascii="Palatino Linotype" w:eastAsia="Palatino Linotype" w:hAnsi="Palatino Linotype" w:cs="Palatino Linotype"/>
          <w:i/>
        </w:rPr>
        <w:t>informaciòn</w:t>
      </w:r>
      <w:proofErr w:type="spellEnd"/>
      <w:r w:rsidRPr="006970E5">
        <w:rPr>
          <w:rFonts w:ascii="Palatino Linotype" w:eastAsia="Palatino Linotype" w:hAnsi="Palatino Linotype" w:cs="Palatino Linotype"/>
          <w:i/>
        </w:rPr>
        <w:t xml:space="preserve"> </w:t>
      </w:r>
      <w:r w:rsidRPr="006970E5">
        <w:rPr>
          <w:rFonts w:ascii="Palatino Linotype" w:eastAsia="Palatino Linotype" w:hAnsi="Palatino Linotype" w:cs="Palatino Linotype"/>
          <w:b/>
          <w:i/>
        </w:rPr>
        <w:t>00172/LERMA/IP/2023”</w:t>
      </w:r>
    </w:p>
    <w:p w:rsidR="005C224D" w:rsidRPr="006970E5" w:rsidRDefault="005C224D">
      <w:pPr>
        <w:spacing w:before="120" w:after="120" w:line="240" w:lineRule="auto"/>
        <w:ind w:left="851" w:right="992"/>
        <w:jc w:val="both"/>
        <w:rPr>
          <w:rFonts w:ascii="Palatino Linotype" w:eastAsia="Palatino Linotype" w:hAnsi="Palatino Linotype" w:cs="Palatino Linotype"/>
          <w:i/>
        </w:rPr>
      </w:pPr>
    </w:p>
    <w:p w:rsidR="005C224D" w:rsidRPr="006970E5" w:rsidRDefault="005C224D">
      <w:pPr>
        <w:spacing w:before="120" w:after="120" w:line="240" w:lineRule="auto"/>
        <w:ind w:left="851" w:right="992"/>
        <w:jc w:val="both"/>
        <w:rPr>
          <w:rFonts w:ascii="Palatino Linotype" w:eastAsia="Palatino Linotype" w:hAnsi="Palatino Linotype" w:cs="Palatino Linotype"/>
          <w:i/>
        </w:rPr>
      </w:pPr>
    </w:p>
    <w:p w:rsidR="005C224D" w:rsidRPr="006970E5" w:rsidRDefault="005C224D">
      <w:pPr>
        <w:spacing w:before="120" w:after="120" w:line="240" w:lineRule="auto"/>
        <w:ind w:left="851" w:right="992"/>
        <w:jc w:val="both"/>
        <w:rPr>
          <w:rFonts w:ascii="Palatino Linotype" w:eastAsia="Palatino Linotype" w:hAnsi="Palatino Linotype" w:cs="Palatino Linotype"/>
          <w:i/>
        </w:rPr>
      </w:pPr>
    </w:p>
    <w:p w:rsidR="005C224D" w:rsidRPr="006970E5" w:rsidRDefault="005C224D">
      <w:pPr>
        <w:spacing w:before="120" w:after="120" w:line="240" w:lineRule="auto"/>
        <w:ind w:left="851" w:right="992"/>
        <w:jc w:val="both"/>
        <w:rPr>
          <w:rFonts w:ascii="Palatino Linotype" w:eastAsia="Palatino Linotype" w:hAnsi="Palatino Linotype" w:cs="Palatino Linotype"/>
          <w:i/>
        </w:rPr>
      </w:pPr>
    </w:p>
    <w:p w:rsidR="005C224D" w:rsidRPr="006970E5" w:rsidRDefault="003627CD">
      <w:pPr>
        <w:numPr>
          <w:ilvl w:val="0"/>
          <w:numId w:val="2"/>
        </w:numPr>
        <w:pBdr>
          <w:top w:val="nil"/>
          <w:left w:val="nil"/>
          <w:bottom w:val="nil"/>
          <w:right w:val="nil"/>
          <w:between w:val="nil"/>
        </w:pBdr>
        <w:spacing w:before="240" w:after="240" w:line="360" w:lineRule="auto"/>
        <w:ind w:right="-6"/>
        <w:jc w:val="both"/>
        <w:rPr>
          <w:rFonts w:ascii="Palatino Linotype" w:eastAsia="Palatino Linotype" w:hAnsi="Palatino Linotype" w:cs="Palatino Linotype"/>
          <w:b/>
          <w:sz w:val="24"/>
          <w:szCs w:val="24"/>
        </w:rPr>
      </w:pPr>
      <w:r w:rsidRPr="006970E5">
        <w:rPr>
          <w:rFonts w:ascii="Palatino Linotype" w:eastAsia="Palatino Linotype" w:hAnsi="Palatino Linotype" w:cs="Palatino Linotype"/>
          <w:b/>
          <w:sz w:val="24"/>
          <w:szCs w:val="24"/>
        </w:rPr>
        <w:lastRenderedPageBreak/>
        <w:t>Razones del Voto Disidente.</w:t>
      </w:r>
    </w:p>
    <w:p w:rsidR="005C224D" w:rsidRPr="006970E5" w:rsidRDefault="003627CD">
      <w:pPr>
        <w:spacing w:before="120" w:line="360" w:lineRule="auto"/>
        <w:ind w:right="139"/>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Las razones que motivan el </w:t>
      </w:r>
      <w:r w:rsidRPr="006970E5">
        <w:rPr>
          <w:rFonts w:ascii="Palatino Linotype" w:eastAsia="Palatino Linotype" w:hAnsi="Palatino Linotype" w:cs="Palatino Linotype"/>
          <w:sz w:val="24"/>
          <w:szCs w:val="24"/>
        </w:rPr>
        <w:t>presente voto radican en que la suscrita no comparte el sentido de la resolución, por las razones que a continuación se señalan:</w:t>
      </w:r>
    </w:p>
    <w:p w:rsidR="005C224D" w:rsidRPr="006970E5" w:rsidRDefault="003627CD">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Respecto a la Declaración de Incompetencia la Ley de Transparencia y Acceso a la Información Pública del Estado de México, establece, en los artículos 49, fracción II y 167, lo siguiente: </w:t>
      </w:r>
    </w:p>
    <w:p w:rsidR="005C224D" w:rsidRPr="006970E5" w:rsidRDefault="003627CD">
      <w:pPr>
        <w:tabs>
          <w:tab w:val="left" w:pos="142"/>
          <w:tab w:val="left" w:pos="284"/>
        </w:tabs>
        <w:spacing w:before="120" w:after="120" w:line="240" w:lineRule="auto"/>
        <w:ind w:left="851" w:right="902"/>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r w:rsidRPr="006970E5">
        <w:rPr>
          <w:rFonts w:ascii="Palatino Linotype" w:eastAsia="Palatino Linotype" w:hAnsi="Palatino Linotype" w:cs="Palatino Linotype"/>
          <w:b/>
          <w:i/>
        </w:rPr>
        <w:t>Artículo 49.</w:t>
      </w:r>
      <w:r w:rsidRPr="006970E5">
        <w:rPr>
          <w:rFonts w:ascii="Palatino Linotype" w:eastAsia="Palatino Linotype" w:hAnsi="Palatino Linotype" w:cs="Palatino Linotype"/>
          <w:i/>
        </w:rPr>
        <w:t xml:space="preserve"> </w:t>
      </w:r>
      <w:r w:rsidRPr="006970E5">
        <w:rPr>
          <w:rFonts w:ascii="Palatino Linotype" w:eastAsia="Palatino Linotype" w:hAnsi="Palatino Linotype" w:cs="Palatino Linotype"/>
          <w:b/>
          <w:i/>
        </w:rPr>
        <w:t>Los Comités de Transparencia</w:t>
      </w:r>
      <w:r w:rsidRPr="006970E5">
        <w:rPr>
          <w:rFonts w:ascii="Palatino Linotype" w:eastAsia="Palatino Linotype" w:hAnsi="Palatino Linotype" w:cs="Palatino Linotype"/>
          <w:i/>
        </w:rPr>
        <w:t xml:space="preserve"> tendrán las siguientes atribuciones:</w:t>
      </w:r>
    </w:p>
    <w:p w:rsidR="005C224D" w:rsidRPr="006970E5" w:rsidRDefault="003627CD">
      <w:pPr>
        <w:tabs>
          <w:tab w:val="left" w:pos="142"/>
          <w:tab w:val="left" w:pos="284"/>
        </w:tabs>
        <w:spacing w:before="120" w:after="120" w:line="240" w:lineRule="auto"/>
        <w:ind w:left="1134" w:right="902"/>
        <w:jc w:val="both"/>
        <w:rPr>
          <w:rFonts w:ascii="Palatino Linotype" w:eastAsia="Palatino Linotype" w:hAnsi="Palatino Linotype" w:cs="Palatino Linotype"/>
          <w:b/>
          <w:i/>
        </w:rPr>
      </w:pPr>
      <w:r w:rsidRPr="006970E5">
        <w:rPr>
          <w:rFonts w:ascii="Palatino Linotype" w:eastAsia="Palatino Linotype" w:hAnsi="Palatino Linotype" w:cs="Palatino Linotype"/>
          <w:b/>
          <w:i/>
        </w:rPr>
        <w:t>...</w:t>
      </w:r>
    </w:p>
    <w:p w:rsidR="005C224D" w:rsidRPr="006970E5" w:rsidRDefault="003627CD">
      <w:pPr>
        <w:tabs>
          <w:tab w:val="left" w:pos="142"/>
          <w:tab w:val="left" w:pos="284"/>
        </w:tabs>
        <w:spacing w:before="120" w:after="120" w:line="240" w:lineRule="auto"/>
        <w:ind w:left="1134" w:right="902"/>
        <w:jc w:val="both"/>
        <w:rPr>
          <w:rFonts w:ascii="Palatino Linotype" w:eastAsia="Palatino Linotype" w:hAnsi="Palatino Linotype" w:cs="Palatino Linotype"/>
          <w:b/>
          <w:i/>
          <w:u w:val="single"/>
        </w:rPr>
      </w:pPr>
      <w:r w:rsidRPr="006970E5">
        <w:rPr>
          <w:rFonts w:ascii="Palatino Linotype" w:eastAsia="Palatino Linotype" w:hAnsi="Palatino Linotype" w:cs="Palatino Linotype"/>
          <w:b/>
          <w:i/>
        </w:rPr>
        <w:t>II.</w:t>
      </w:r>
      <w:r w:rsidRPr="006970E5">
        <w:t xml:space="preserve"> </w:t>
      </w:r>
      <w:r w:rsidRPr="006970E5">
        <w:rPr>
          <w:rFonts w:ascii="Palatino Linotype" w:eastAsia="Palatino Linotype" w:hAnsi="Palatino Linotype" w:cs="Palatino Linotype"/>
          <w:b/>
          <w:i/>
        </w:rPr>
        <w:t>Confirmar, modificar o revocar</w:t>
      </w:r>
      <w:r w:rsidRPr="006970E5">
        <w:rPr>
          <w:rFonts w:ascii="Palatino Linotype" w:eastAsia="Palatino Linotype" w:hAnsi="Palatino Linotype" w:cs="Palatino Linotype"/>
          <w:i/>
        </w:rPr>
        <w:t xml:space="preserve"> las determinaciones que en materia de ampliación del plazo de respuesta, clasificación de la información </w:t>
      </w:r>
      <w:r w:rsidRPr="006970E5">
        <w:rPr>
          <w:rFonts w:ascii="Palatino Linotype" w:eastAsia="Palatino Linotype" w:hAnsi="Palatino Linotype" w:cs="Palatino Linotype"/>
          <w:b/>
          <w:i/>
        </w:rPr>
        <w:t>y declaración</w:t>
      </w:r>
      <w:r w:rsidRPr="006970E5">
        <w:rPr>
          <w:rFonts w:ascii="Palatino Linotype" w:eastAsia="Palatino Linotype" w:hAnsi="Palatino Linotype" w:cs="Palatino Linotype"/>
          <w:i/>
        </w:rPr>
        <w:t xml:space="preserve"> de inexistencia o </w:t>
      </w:r>
      <w:r w:rsidRPr="006970E5">
        <w:rPr>
          <w:rFonts w:ascii="Palatino Linotype" w:eastAsia="Palatino Linotype" w:hAnsi="Palatino Linotype" w:cs="Palatino Linotype"/>
          <w:b/>
          <w:i/>
        </w:rPr>
        <w:t>de incompetencia realicen los titulares de</w:t>
      </w:r>
      <w:r w:rsidRPr="006970E5">
        <w:rPr>
          <w:rFonts w:ascii="Palatino Linotype" w:eastAsia="Palatino Linotype" w:hAnsi="Palatino Linotype" w:cs="Palatino Linotype"/>
          <w:b/>
          <w:i/>
        </w:rPr>
        <w:t xml:space="preserve"> las áreas de los sujetos obligados;</w:t>
      </w:r>
    </w:p>
    <w:p w:rsidR="005C224D" w:rsidRPr="006970E5" w:rsidRDefault="003627CD">
      <w:pPr>
        <w:tabs>
          <w:tab w:val="left" w:pos="142"/>
          <w:tab w:val="left" w:pos="284"/>
        </w:tabs>
        <w:spacing w:before="120" w:after="120" w:line="240" w:lineRule="auto"/>
        <w:ind w:left="851" w:right="902"/>
        <w:jc w:val="both"/>
        <w:rPr>
          <w:rFonts w:ascii="Palatino Linotype" w:eastAsia="Palatino Linotype" w:hAnsi="Palatino Linotype" w:cs="Palatino Linotype"/>
          <w:b/>
          <w:i/>
        </w:rPr>
      </w:pPr>
      <w:r w:rsidRPr="006970E5">
        <w:rPr>
          <w:rFonts w:ascii="Palatino Linotype" w:eastAsia="Palatino Linotype" w:hAnsi="Palatino Linotype" w:cs="Palatino Linotype"/>
          <w:b/>
          <w:i/>
        </w:rPr>
        <w:t>...</w:t>
      </w:r>
    </w:p>
    <w:p w:rsidR="005C224D" w:rsidRPr="006970E5" w:rsidRDefault="003627CD">
      <w:pPr>
        <w:tabs>
          <w:tab w:val="left" w:pos="142"/>
          <w:tab w:val="left" w:pos="284"/>
        </w:tabs>
        <w:spacing w:before="120" w:after="120" w:line="240" w:lineRule="auto"/>
        <w:ind w:left="851" w:right="902"/>
        <w:jc w:val="both"/>
        <w:rPr>
          <w:rFonts w:ascii="Palatino Linotype" w:eastAsia="Palatino Linotype" w:hAnsi="Palatino Linotype" w:cs="Palatino Linotype"/>
          <w:b/>
          <w:i/>
        </w:rPr>
      </w:pPr>
      <w:r w:rsidRPr="006970E5">
        <w:rPr>
          <w:rFonts w:ascii="Palatino Linotype" w:eastAsia="Palatino Linotype" w:hAnsi="Palatino Linotype" w:cs="Palatino Linotype"/>
          <w:b/>
          <w:i/>
        </w:rPr>
        <w:t>Artículo 167</w:t>
      </w:r>
      <w:r w:rsidRPr="006970E5">
        <w:rPr>
          <w:rFonts w:ascii="Palatino Linotype" w:eastAsia="Palatino Linotype" w:hAnsi="Palatino Linotype" w:cs="Palatino Linotype"/>
          <w:i/>
        </w:rPr>
        <w:t xml:space="preserve">. </w:t>
      </w:r>
      <w:r w:rsidRPr="006970E5">
        <w:rPr>
          <w:rFonts w:ascii="Palatino Linotype" w:eastAsia="Palatino Linotype" w:hAnsi="Palatino Linotype" w:cs="Palatino Linotype"/>
          <w:b/>
          <w:i/>
        </w:rPr>
        <w:t>Cuando las unidades de transparencia determinen la notoria incompetencia</w:t>
      </w:r>
      <w:r w:rsidRPr="006970E5">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6970E5">
        <w:rPr>
          <w:rFonts w:ascii="Palatino Linotype" w:eastAsia="Palatino Linotype" w:hAnsi="Palatino Linotype" w:cs="Palatino Linotype"/>
          <w:b/>
          <w:i/>
        </w:rPr>
        <w:t>deber</w:t>
      </w:r>
      <w:r w:rsidRPr="006970E5">
        <w:rPr>
          <w:rFonts w:ascii="Palatino Linotype" w:eastAsia="Palatino Linotype" w:hAnsi="Palatino Linotype" w:cs="Palatino Linotype"/>
          <w:b/>
          <w:i/>
        </w:rPr>
        <w:t>án comunicarlo al solicitante, dentro de los tres días hábiles posteriores a la recepción de la solicitud</w:t>
      </w:r>
      <w:r w:rsidRPr="006970E5">
        <w:rPr>
          <w:rFonts w:ascii="Palatino Linotype" w:eastAsia="Palatino Linotype" w:hAnsi="Palatino Linotype" w:cs="Palatino Linotype"/>
          <w:i/>
        </w:rPr>
        <w:t xml:space="preserve"> y, </w:t>
      </w:r>
      <w:r w:rsidRPr="006970E5">
        <w:rPr>
          <w:rFonts w:ascii="Palatino Linotype" w:eastAsia="Palatino Linotype" w:hAnsi="Palatino Linotype" w:cs="Palatino Linotype"/>
          <w:b/>
          <w:i/>
        </w:rPr>
        <w:t>en su caso orientar al solicitante, el o los sujetos obligados competentes.</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b/>
          <w:sz w:val="24"/>
          <w:szCs w:val="24"/>
        </w:rPr>
      </w:pPr>
      <w:r w:rsidRPr="006970E5">
        <w:rPr>
          <w:rFonts w:ascii="Palatino Linotype" w:eastAsia="Palatino Linotype" w:hAnsi="Palatino Linotype" w:cs="Palatino Linotype"/>
          <w:sz w:val="24"/>
          <w:szCs w:val="24"/>
        </w:rPr>
        <w:t>De los preceptos citados se desprende que es atribución del Comité de T</w:t>
      </w:r>
      <w:r w:rsidRPr="006970E5">
        <w:rPr>
          <w:rFonts w:ascii="Palatino Linotype" w:eastAsia="Palatino Linotype" w:hAnsi="Palatino Linotype" w:cs="Palatino Linotype"/>
          <w:sz w:val="24"/>
          <w:szCs w:val="24"/>
        </w:rPr>
        <w:t xml:space="preserve">ransparencia confirmar, modificar o revocar, en su caso, la declaración de incompetencia, </w:t>
      </w:r>
      <w:r w:rsidRPr="006970E5">
        <w:rPr>
          <w:rFonts w:ascii="Palatino Linotype" w:eastAsia="Palatino Linotype" w:hAnsi="Palatino Linotype" w:cs="Palatino Linotype"/>
          <w:b/>
          <w:sz w:val="24"/>
          <w:szCs w:val="24"/>
        </w:rPr>
        <w:t xml:space="preserve">en aquellos casos en los que no se trate de una notoria incompetencia. </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Puesto que la Ley también prevé que dicho acuerdo no es necesario cuando la Unidad de Transpar</w:t>
      </w:r>
      <w:r w:rsidRPr="006970E5">
        <w:rPr>
          <w:rFonts w:ascii="Palatino Linotype" w:eastAsia="Palatino Linotype" w:hAnsi="Palatino Linotype" w:cs="Palatino Linotype"/>
          <w:sz w:val="24"/>
          <w:szCs w:val="24"/>
        </w:rPr>
        <w:t xml:space="preserve">encia determine que la incompetencia es notoria dando un plazo de tres </w:t>
      </w:r>
      <w:r w:rsidRPr="006970E5">
        <w:rPr>
          <w:rFonts w:ascii="Palatino Linotype" w:eastAsia="Palatino Linotype" w:hAnsi="Palatino Linotype" w:cs="Palatino Linotype"/>
          <w:sz w:val="24"/>
          <w:szCs w:val="24"/>
        </w:rPr>
        <w:lastRenderedPageBreak/>
        <w:t>días hábiles para hacerlo del conocimiento del particular, por lo que si bien, en el caso particular, no fue respetado dicho plazo, ello no cambia la circunstancia de que la incompetenc</w:t>
      </w:r>
      <w:r w:rsidRPr="006970E5">
        <w:rPr>
          <w:rFonts w:ascii="Palatino Linotype" w:eastAsia="Palatino Linotype" w:hAnsi="Palatino Linotype" w:cs="Palatino Linotype"/>
          <w:sz w:val="24"/>
          <w:szCs w:val="24"/>
        </w:rPr>
        <w:t xml:space="preserve">ia del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para dar atención a la solicitud de información siga siendo notoria. </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u w:val="single"/>
        </w:rPr>
      </w:pPr>
      <w:r w:rsidRPr="006970E5">
        <w:rPr>
          <w:rFonts w:ascii="Palatino Linotype" w:eastAsia="Palatino Linotype" w:hAnsi="Palatino Linotype" w:cs="Palatino Linotype"/>
          <w:sz w:val="24"/>
          <w:szCs w:val="24"/>
        </w:rPr>
        <w:t>En otras palabras, la Ley de la Materia confiere a las Unidades de Transparencia la posibilidad de notificar la incompetencia cuando esta sea notoria, siendo innec</w:t>
      </w:r>
      <w:r w:rsidRPr="006970E5">
        <w:rPr>
          <w:rFonts w:ascii="Palatino Linotype" w:eastAsia="Palatino Linotype" w:hAnsi="Palatino Linotype" w:cs="Palatino Linotype"/>
          <w:sz w:val="24"/>
          <w:szCs w:val="24"/>
        </w:rPr>
        <w:t xml:space="preserve">esario que dicha circunstancia sea sometida a consideración de los integrantes del Comité de Transparencia </w:t>
      </w:r>
      <w:r w:rsidRPr="006970E5">
        <w:rPr>
          <w:rFonts w:ascii="Palatino Linotype" w:eastAsia="Palatino Linotype" w:hAnsi="Palatino Linotype" w:cs="Palatino Linotype"/>
          <w:sz w:val="24"/>
          <w:szCs w:val="24"/>
          <w:u w:val="single"/>
        </w:rPr>
        <w:t xml:space="preserve">para su aprobación. </w:t>
      </w:r>
    </w:p>
    <w:p w:rsidR="005C224D" w:rsidRPr="006970E5" w:rsidRDefault="003627CD">
      <w:pPr>
        <w:spacing w:before="240" w:after="240" w:line="360" w:lineRule="auto"/>
        <w:ind w:right="18"/>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Como sustento de lo anterior, resulta aplicable el Criterio 20/20, emitido por el Instituto Nacional de Transparencia, Acceso a la Información, y Protección de Datos Personales, INAI, que lleva por rubro y texto los siguientes:  </w:t>
      </w:r>
    </w:p>
    <w:p w:rsidR="005C224D" w:rsidRPr="006970E5" w:rsidRDefault="003627CD">
      <w:pPr>
        <w:pBdr>
          <w:top w:val="nil"/>
          <w:left w:val="nil"/>
          <w:bottom w:val="nil"/>
          <w:right w:val="nil"/>
          <w:between w:val="nil"/>
        </w:pBdr>
        <w:spacing w:before="240" w:after="240" w:line="240" w:lineRule="auto"/>
        <w:ind w:left="851" w:right="900"/>
        <w:jc w:val="both"/>
        <w:rPr>
          <w:rFonts w:ascii="Palatino Linotype" w:eastAsia="Palatino Linotype" w:hAnsi="Palatino Linotype" w:cs="Palatino Linotype"/>
          <w:i/>
        </w:rPr>
      </w:pPr>
      <w:r w:rsidRPr="006970E5">
        <w:rPr>
          <w:rFonts w:ascii="Palatino Linotype" w:eastAsia="Palatino Linotype" w:hAnsi="Palatino Linotype" w:cs="Palatino Linotype"/>
          <w:b/>
          <w:i/>
        </w:rPr>
        <w:t>“Declaración de incompetencia por parte del Comité, cuando no sea notoria o manifiesta.</w:t>
      </w:r>
      <w:r w:rsidRPr="006970E5">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w:t>
      </w:r>
      <w:r w:rsidRPr="006970E5">
        <w:rPr>
          <w:rFonts w:ascii="Palatino Linotype" w:eastAsia="Palatino Linotype" w:hAnsi="Palatino Linotype" w:cs="Palatino Linotype"/>
          <w:i/>
        </w:rPr>
        <w:t>lte necesario efectuar un análisis mayor para determinar la incompetencia, ésta debe ser declarada por el Comité de Transparencia.”</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De igual manera, el Pleno de este Instituto, a través del Criterio 02/04 emitido en la Segunda Época, precisa los alcances d</w:t>
      </w:r>
      <w:r w:rsidRPr="006970E5">
        <w:rPr>
          <w:rFonts w:ascii="Palatino Linotype" w:eastAsia="Palatino Linotype" w:hAnsi="Palatino Linotype" w:cs="Palatino Linotype"/>
          <w:sz w:val="24"/>
          <w:szCs w:val="24"/>
        </w:rPr>
        <w:t>el artículo 167 de la Ley de Transparencia, al señalar que corresponde al Comité de Transparencia confirmar la declaratoria de incompetencia y notificarle dicha determinación al particular, refiriéndose a aquellos casos en los que exista</w:t>
      </w:r>
      <w:r w:rsidRPr="006970E5">
        <w:rPr>
          <w:rFonts w:ascii="Palatino Linotype" w:eastAsia="Palatino Linotype" w:hAnsi="Palatino Linotype" w:cs="Palatino Linotype"/>
          <w:b/>
          <w:sz w:val="24"/>
          <w:szCs w:val="24"/>
        </w:rPr>
        <w:t xml:space="preserve"> </w:t>
      </w:r>
      <w:r w:rsidRPr="006970E5">
        <w:rPr>
          <w:rFonts w:ascii="Palatino Linotype" w:eastAsia="Palatino Linotype" w:hAnsi="Palatino Linotype" w:cs="Palatino Linotype"/>
          <w:b/>
          <w:sz w:val="24"/>
          <w:szCs w:val="24"/>
          <w:u w:val="single"/>
        </w:rPr>
        <w:t>duda razonable sob</w:t>
      </w:r>
      <w:r w:rsidRPr="006970E5">
        <w:rPr>
          <w:rFonts w:ascii="Palatino Linotype" w:eastAsia="Palatino Linotype" w:hAnsi="Palatino Linotype" w:cs="Palatino Linotype"/>
          <w:b/>
          <w:sz w:val="24"/>
          <w:szCs w:val="24"/>
          <w:u w:val="single"/>
        </w:rPr>
        <w:t>re la administración del documento materia de la solicitud de información</w:t>
      </w:r>
      <w:r w:rsidRPr="006970E5">
        <w:rPr>
          <w:rFonts w:ascii="Palatino Linotype" w:eastAsia="Palatino Linotype" w:hAnsi="Palatino Linotype" w:cs="Palatino Linotype"/>
          <w:sz w:val="24"/>
          <w:szCs w:val="24"/>
        </w:rPr>
        <w:t>, como se lee enseguida:</w:t>
      </w:r>
    </w:p>
    <w:p w:rsidR="005C224D" w:rsidRPr="006970E5" w:rsidRDefault="003627CD">
      <w:pPr>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b/>
          <w:i/>
        </w:rPr>
        <w:lastRenderedPageBreak/>
        <w:t xml:space="preserve">“DECLARATORIA DE INCOMPETENCIA DEL SUJETO OBLIGADO. SUPUESTO PARA CONFIRMARLA POR ACUERDO DEL COMITÉ DE TRANSPARENCIA. </w:t>
      </w:r>
      <w:r w:rsidRPr="006970E5">
        <w:rPr>
          <w:rFonts w:ascii="Palatino Linotype" w:eastAsia="Palatino Linotype" w:hAnsi="Palatino Linotype" w:cs="Palatino Linotype"/>
          <w:i/>
        </w:rPr>
        <w:t>De conformidad con el artículo 167 de l</w:t>
      </w:r>
      <w:r w:rsidRPr="006970E5">
        <w:rPr>
          <w:rFonts w:ascii="Palatino Linotype" w:eastAsia="Palatino Linotype" w:hAnsi="Palatino Linotype" w:cs="Palatino Linotype"/>
          <w:i/>
        </w:rPr>
        <w:t>a Ley de Transparencia vigente en la entidad, las Unidades de Transparencia tienen la facultad de determinar la notoria incompetencia para atender las solicitudes de acceso a la información y comunicarla al solicitante dentro de los tres días hábiles poste</w:t>
      </w:r>
      <w:r w:rsidRPr="006970E5">
        <w:rPr>
          <w:rFonts w:ascii="Palatino Linotype" w:eastAsia="Palatino Linotype" w:hAnsi="Palatino Linotype" w:cs="Palatino Linotype"/>
          <w:i/>
        </w:rPr>
        <w:t xml:space="preserve">riores a la recepción de la misma, así como en su caso, orientar al particular sobre el o los Sujetos Obligados competentes para su atención. No obstante, es importante resaltar que </w:t>
      </w:r>
      <w:r w:rsidRPr="006970E5">
        <w:rPr>
          <w:rFonts w:ascii="Palatino Linotype" w:eastAsia="Palatino Linotype" w:hAnsi="Palatino Linotype" w:cs="Palatino Linotype"/>
          <w:b/>
          <w:i/>
        </w:rPr>
        <w:t>al ejercer el derecho de acceso a la información pública cabe la posibilid</w:t>
      </w:r>
      <w:r w:rsidRPr="006970E5">
        <w:rPr>
          <w:rFonts w:ascii="Palatino Linotype" w:eastAsia="Palatino Linotype" w:hAnsi="Palatino Linotype" w:cs="Palatino Linotype"/>
          <w:b/>
          <w:i/>
        </w:rPr>
        <w:t xml:space="preserve">ad de que existan atribuciones concurrentes entre dos o más Sujetos Obligados que </w:t>
      </w:r>
      <w:r w:rsidRPr="006970E5">
        <w:rPr>
          <w:rFonts w:ascii="Palatino Linotype" w:eastAsia="Palatino Linotype" w:hAnsi="Palatino Linotype" w:cs="Palatino Linotype"/>
          <w:b/>
          <w:i/>
          <w:u w:val="single"/>
        </w:rPr>
        <w:t>impiden determinar dentro del término legal de tres días hábiles</w:t>
      </w:r>
      <w:r w:rsidRPr="006970E5">
        <w:rPr>
          <w:rFonts w:ascii="Palatino Linotype" w:eastAsia="Palatino Linotype" w:hAnsi="Palatino Linotype" w:cs="Palatino Linotype"/>
          <w:b/>
          <w:i/>
        </w:rPr>
        <w:t>, si se posee o no la información por el Sujeto Obligado requerid</w:t>
      </w:r>
      <w:r w:rsidRPr="006970E5">
        <w:rPr>
          <w:rFonts w:ascii="Palatino Linotype" w:eastAsia="Palatino Linotype" w:hAnsi="Palatino Linotype" w:cs="Palatino Linotype"/>
          <w:i/>
        </w:rPr>
        <w:t>o; en virtud de ello, en aras de disipar toda</w:t>
      </w:r>
      <w:r w:rsidRPr="006970E5">
        <w:rPr>
          <w:rFonts w:ascii="Palatino Linotype" w:eastAsia="Palatino Linotype" w:hAnsi="Palatino Linotype" w:cs="Palatino Linotype"/>
          <w:i/>
        </w:rPr>
        <w:t xml:space="preserve"> duda razonable sobre la administración del documento materia de la solicitud de información, el Sujeto Obligado deberá dar el trámite correspondiente a la solicitud de información a efecto de realizar un análisis minucioso de las facultades, competencias </w:t>
      </w:r>
      <w:r w:rsidRPr="006970E5">
        <w:rPr>
          <w:rFonts w:ascii="Palatino Linotype" w:eastAsia="Palatino Linotype" w:hAnsi="Palatino Linotype" w:cs="Palatino Linotype"/>
          <w:i/>
        </w:rPr>
        <w:t>o funciones de cada una de las Unidades Administrativas que lo integran y, si posterior a ello, se corrobora la incompetencia para la atención del requerimiento, en razón de que es otro el Sujeto Obligado poseedor de la documentación, corresponde a su Comi</w:t>
      </w:r>
      <w:r w:rsidRPr="006970E5">
        <w:rPr>
          <w:rFonts w:ascii="Palatino Linotype" w:eastAsia="Palatino Linotype" w:hAnsi="Palatino Linotype" w:cs="Palatino Linotype"/>
          <w:i/>
        </w:rPr>
        <w:t>té de Transparencia confirmar la declaratoria de incompetencia y notificarle dicha determinación al particular, en términos de lo dispuesto en el artículo 49, fracción II de la Ley de Transparencia Local, al ser este el acto jurídico idóneo que genera segu</w:t>
      </w:r>
      <w:r w:rsidRPr="006970E5">
        <w:rPr>
          <w:rFonts w:ascii="Palatino Linotype" w:eastAsia="Palatino Linotype" w:hAnsi="Palatino Linotype" w:cs="Palatino Linotype"/>
          <w:i/>
        </w:rPr>
        <w:t>ridad jurídica de que el Ente ante quien se presentó la solicitud, carece de facultades, competencias o funciones para poseer o generar la información requerida; lo anterior, sin perjuicio de que pueda gestionar la colaboración de otro Sujeto Obligado comp</w:t>
      </w:r>
      <w:r w:rsidRPr="006970E5">
        <w:rPr>
          <w:rFonts w:ascii="Palatino Linotype" w:eastAsia="Palatino Linotype" w:hAnsi="Palatino Linotype" w:cs="Palatino Linotype"/>
          <w:i/>
        </w:rPr>
        <w:t>etente para atender la solicitud.”</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En el caso particular, en la resolución del recurso de revisión se señaló de manera textual lo siguiente: </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“Así, se advierte que el Ayuntamiento de Lerma, es incompetente para conocer de la información de las manifestacio</w:t>
      </w:r>
      <w:r w:rsidRPr="006970E5">
        <w:rPr>
          <w:rFonts w:ascii="Palatino Linotype" w:eastAsia="Palatino Linotype" w:hAnsi="Palatino Linotype" w:cs="Palatino Linotype"/>
          <w:i/>
        </w:rPr>
        <w:t xml:space="preserve">nes de bienes de los servidores públicos del </w:t>
      </w:r>
      <w:r w:rsidRPr="006970E5">
        <w:rPr>
          <w:rFonts w:ascii="Palatino Linotype" w:eastAsia="Palatino Linotype" w:hAnsi="Palatino Linotype" w:cs="Palatino Linotype"/>
          <w:i/>
        </w:rPr>
        <w:lastRenderedPageBreak/>
        <w:t>Ayuntamiento, pues ésta la administra la Secretaría de la Contraloría del Gobierno del Estado de México.</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Cabe destacar que la Secretaría de la Contraloría del Gobierno del Estado de México, de acuerdo con los di</w:t>
      </w:r>
      <w:r w:rsidRPr="006970E5">
        <w:rPr>
          <w:rFonts w:ascii="Palatino Linotype" w:eastAsia="Palatino Linotype" w:hAnsi="Palatino Linotype" w:cs="Palatino Linotype"/>
          <w:i/>
        </w:rPr>
        <w:t>spositivos jurídicos a continuación descritos, cuenta con las siguientes funciones:</w:t>
      </w:r>
    </w:p>
    <w:p w:rsidR="005C224D" w:rsidRPr="006970E5" w:rsidRDefault="003627CD">
      <w:pPr>
        <w:tabs>
          <w:tab w:val="left" w:pos="709"/>
        </w:tabs>
        <w:spacing w:before="120" w:after="120" w:line="240" w:lineRule="auto"/>
        <w:ind w:left="1134" w:right="1273"/>
        <w:jc w:val="both"/>
        <w:rPr>
          <w:rFonts w:ascii="Palatino Linotype" w:eastAsia="Palatino Linotype" w:hAnsi="Palatino Linotype" w:cs="Palatino Linotype"/>
          <w:b/>
          <w:i/>
        </w:rPr>
      </w:pPr>
      <w:r w:rsidRPr="006970E5">
        <w:rPr>
          <w:rFonts w:ascii="Palatino Linotype" w:eastAsia="Palatino Linotype" w:hAnsi="Palatino Linotype" w:cs="Palatino Linotype"/>
          <w:b/>
          <w:i/>
        </w:rPr>
        <w:t>Ley Orgánica de la Administración Pública del Estado de México</w:t>
      </w:r>
    </w:p>
    <w:p w:rsidR="005C224D" w:rsidRPr="006970E5" w:rsidRDefault="003627CD">
      <w:pPr>
        <w:pBdr>
          <w:top w:val="nil"/>
          <w:left w:val="nil"/>
          <w:bottom w:val="nil"/>
          <w:right w:val="nil"/>
          <w:between w:val="nil"/>
        </w:pBdr>
        <w:spacing w:before="120"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r w:rsidRPr="006970E5">
        <w:rPr>
          <w:rFonts w:ascii="Palatino Linotype" w:eastAsia="Palatino Linotype" w:hAnsi="Palatino Linotype" w:cs="Palatino Linotype"/>
          <w:b/>
          <w:i/>
        </w:rPr>
        <w:t>Artículo 47</w:t>
      </w:r>
      <w:r w:rsidRPr="006970E5">
        <w:rPr>
          <w:rFonts w:ascii="Palatino Linotype" w:eastAsia="Palatino Linotype" w:hAnsi="Palatino Linotype" w:cs="Palatino Linotype"/>
          <w:i/>
        </w:rPr>
        <w:t>. La Secretaría de la Contraloría contará con las siguientes atribuciones:</w:t>
      </w:r>
    </w:p>
    <w:p w:rsidR="005C224D" w:rsidRPr="006970E5" w:rsidRDefault="003627CD">
      <w:pPr>
        <w:pBdr>
          <w:top w:val="nil"/>
          <w:left w:val="nil"/>
          <w:bottom w:val="nil"/>
          <w:right w:val="nil"/>
          <w:between w:val="nil"/>
        </w:pBdr>
        <w:spacing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p>
    <w:p w:rsidR="005C224D" w:rsidRPr="006970E5" w:rsidRDefault="003627CD">
      <w:pPr>
        <w:pBdr>
          <w:top w:val="nil"/>
          <w:left w:val="nil"/>
          <w:bottom w:val="nil"/>
          <w:right w:val="nil"/>
          <w:between w:val="nil"/>
        </w:pBdr>
        <w:spacing w:after="12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b/>
          <w:i/>
        </w:rPr>
        <w:t>XVII.</w:t>
      </w:r>
      <w:r w:rsidRPr="006970E5">
        <w:rPr>
          <w:rFonts w:ascii="Palatino Linotype" w:eastAsia="Palatino Linotype" w:hAnsi="Palatino Linotype" w:cs="Palatino Linotype"/>
          <w:i/>
        </w:rPr>
        <w:t xml:space="preserve"> </w:t>
      </w:r>
      <w:r w:rsidRPr="006970E5">
        <w:rPr>
          <w:rFonts w:ascii="Palatino Linotype" w:eastAsia="Palatino Linotype" w:hAnsi="Palatino Linotype" w:cs="Palatino Linotype"/>
          <w:b/>
          <w:i/>
          <w:u w:val="single"/>
        </w:rPr>
        <w:t>Recibir y registrar la declaración de situación patrimonial</w:t>
      </w:r>
      <w:r w:rsidRPr="006970E5">
        <w:rPr>
          <w:rFonts w:ascii="Palatino Linotype" w:eastAsia="Palatino Linotype" w:hAnsi="Palatino Linotype" w:cs="Palatino Linotype"/>
          <w:i/>
        </w:rPr>
        <w:t xml:space="preserve">, la declaración de intereses, la presentación de la constancia de declaración fiscal y determinar el conflicto de intereses </w:t>
      </w:r>
      <w:r w:rsidRPr="006970E5">
        <w:rPr>
          <w:rFonts w:ascii="Palatino Linotype" w:eastAsia="Palatino Linotype" w:hAnsi="Palatino Linotype" w:cs="Palatino Linotype"/>
          <w:b/>
          <w:i/>
          <w:u w:val="single"/>
        </w:rPr>
        <w:t>de los servidores públicos</w:t>
      </w:r>
      <w:r w:rsidRPr="006970E5">
        <w:rPr>
          <w:rFonts w:ascii="Palatino Linotype" w:eastAsia="Palatino Linotype" w:hAnsi="Palatino Linotype" w:cs="Palatino Linotype"/>
          <w:i/>
        </w:rPr>
        <w:t xml:space="preserve"> del Estado </w:t>
      </w:r>
      <w:r w:rsidRPr="006970E5">
        <w:rPr>
          <w:rFonts w:ascii="Palatino Linotype" w:eastAsia="Palatino Linotype" w:hAnsi="Palatino Linotype" w:cs="Palatino Linotype"/>
          <w:b/>
          <w:i/>
          <w:u w:val="single"/>
        </w:rPr>
        <w:t>y municipios</w:t>
      </w:r>
      <w:r w:rsidRPr="006970E5">
        <w:rPr>
          <w:rFonts w:ascii="Palatino Linotype" w:eastAsia="Palatino Linotype" w:hAnsi="Palatino Linotype" w:cs="Palatino Linotype"/>
          <w:i/>
        </w:rPr>
        <w:t>, verificar y practica</w:t>
      </w:r>
      <w:r w:rsidRPr="006970E5">
        <w:rPr>
          <w:rFonts w:ascii="Palatino Linotype" w:eastAsia="Palatino Linotype" w:hAnsi="Palatino Linotype" w:cs="Palatino Linotype"/>
          <w:i/>
        </w:rPr>
        <w:t>r las investigaciones que fueren necesarias en términos de la Ley de Responsabilidades Administrativas del Estado de México y Municipios y demás disposiciones legales aplicables, así como registrar la información sobre las sanciones administrativas que, en</w:t>
      </w:r>
      <w:r w:rsidRPr="006970E5">
        <w:rPr>
          <w:rFonts w:ascii="Palatino Linotype" w:eastAsia="Palatino Linotype" w:hAnsi="Palatino Linotype" w:cs="Palatino Linotype"/>
          <w:i/>
        </w:rPr>
        <w:t xml:space="preserve"> su caso, les hayan sido impuestas;”</w:t>
      </w:r>
    </w:p>
    <w:p w:rsidR="005C224D" w:rsidRPr="006970E5" w:rsidRDefault="003627CD">
      <w:pPr>
        <w:tabs>
          <w:tab w:val="left" w:pos="709"/>
        </w:tabs>
        <w:spacing w:before="120" w:after="120" w:line="240" w:lineRule="auto"/>
        <w:ind w:left="1134" w:right="1273"/>
        <w:jc w:val="both"/>
        <w:rPr>
          <w:rFonts w:ascii="Palatino Linotype" w:eastAsia="Palatino Linotype" w:hAnsi="Palatino Linotype" w:cs="Palatino Linotype"/>
          <w:b/>
          <w:i/>
        </w:rPr>
      </w:pPr>
      <w:r w:rsidRPr="006970E5">
        <w:rPr>
          <w:rFonts w:ascii="Palatino Linotype" w:eastAsia="Palatino Linotype" w:hAnsi="Palatino Linotype" w:cs="Palatino Linotype"/>
          <w:b/>
          <w:i/>
        </w:rPr>
        <w:t>Reglamento Interior de la Secretaría de la Contraloría</w:t>
      </w:r>
    </w:p>
    <w:p w:rsidR="005C224D" w:rsidRPr="006970E5" w:rsidRDefault="003627CD">
      <w:pPr>
        <w:pBdr>
          <w:top w:val="nil"/>
          <w:left w:val="nil"/>
          <w:bottom w:val="nil"/>
          <w:right w:val="nil"/>
          <w:between w:val="nil"/>
        </w:pBdr>
        <w:spacing w:before="120"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r w:rsidRPr="006970E5">
        <w:rPr>
          <w:rFonts w:ascii="Palatino Linotype" w:eastAsia="Palatino Linotype" w:hAnsi="Palatino Linotype" w:cs="Palatino Linotype"/>
          <w:b/>
          <w:i/>
        </w:rPr>
        <w:t>Artículo 24.</w:t>
      </w:r>
      <w:r w:rsidRPr="006970E5">
        <w:rPr>
          <w:rFonts w:ascii="Palatino Linotype" w:eastAsia="Palatino Linotype" w:hAnsi="Palatino Linotype" w:cs="Palatino Linotype"/>
          <w:i/>
        </w:rPr>
        <w:t xml:space="preserve"> A la Dirección General de Responsabilidades Administrativas, corresponden las atribuciones siguientes:</w:t>
      </w:r>
    </w:p>
    <w:p w:rsidR="005C224D" w:rsidRPr="006970E5" w:rsidRDefault="003627CD">
      <w:pPr>
        <w:pBdr>
          <w:top w:val="nil"/>
          <w:left w:val="nil"/>
          <w:bottom w:val="nil"/>
          <w:right w:val="nil"/>
          <w:between w:val="nil"/>
        </w:pBdr>
        <w:spacing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p>
    <w:p w:rsidR="005C224D" w:rsidRPr="006970E5" w:rsidRDefault="003627CD">
      <w:pPr>
        <w:pBdr>
          <w:top w:val="nil"/>
          <w:left w:val="nil"/>
          <w:bottom w:val="nil"/>
          <w:right w:val="nil"/>
          <w:between w:val="nil"/>
        </w:pBdr>
        <w:spacing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b/>
          <w:i/>
        </w:rPr>
        <w:t>IV.</w:t>
      </w:r>
      <w:r w:rsidRPr="006970E5">
        <w:rPr>
          <w:rFonts w:ascii="Palatino Linotype" w:eastAsia="Palatino Linotype" w:hAnsi="Palatino Linotype" w:cs="Palatino Linotype"/>
          <w:i/>
        </w:rPr>
        <w:t xml:space="preserve"> Coordinar las acciones que permitan </w:t>
      </w:r>
      <w:r w:rsidRPr="006970E5">
        <w:rPr>
          <w:rFonts w:ascii="Palatino Linotype" w:eastAsia="Palatino Linotype" w:hAnsi="Palatino Linotype" w:cs="Palatino Linotype"/>
          <w:b/>
          <w:i/>
          <w:u w:val="single"/>
        </w:rPr>
        <w:t>la integración del padrón de servidores públicos de la Administración</w:t>
      </w:r>
      <w:r w:rsidRPr="006970E5">
        <w:rPr>
          <w:rFonts w:ascii="Palatino Linotype" w:eastAsia="Palatino Linotype" w:hAnsi="Palatino Linotype" w:cs="Palatino Linotype"/>
          <w:i/>
        </w:rPr>
        <w:t xml:space="preserve"> Pública Estatal y </w:t>
      </w:r>
      <w:r w:rsidRPr="006970E5">
        <w:rPr>
          <w:rFonts w:ascii="Palatino Linotype" w:eastAsia="Palatino Linotype" w:hAnsi="Palatino Linotype" w:cs="Palatino Linotype"/>
          <w:b/>
          <w:i/>
          <w:u w:val="single"/>
        </w:rPr>
        <w:t>Municipal, obligados a presentar declaración de situación patrimonial</w:t>
      </w:r>
      <w:r w:rsidRPr="006970E5">
        <w:rPr>
          <w:rFonts w:ascii="Palatino Linotype" w:eastAsia="Palatino Linotype" w:hAnsi="Palatino Linotype" w:cs="Palatino Linotype"/>
          <w:i/>
        </w:rPr>
        <w:t>, de intereses y el acuse de la presentación de la declaración fiscal;</w:t>
      </w:r>
    </w:p>
    <w:p w:rsidR="005C224D" w:rsidRPr="006970E5" w:rsidRDefault="003627CD">
      <w:pPr>
        <w:pBdr>
          <w:top w:val="nil"/>
          <w:left w:val="nil"/>
          <w:bottom w:val="nil"/>
          <w:right w:val="nil"/>
          <w:between w:val="nil"/>
        </w:pBdr>
        <w:spacing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i/>
        </w:rPr>
        <w:t>…</w:t>
      </w:r>
    </w:p>
    <w:p w:rsidR="005C224D" w:rsidRPr="006970E5" w:rsidRDefault="003627CD">
      <w:pPr>
        <w:pBdr>
          <w:top w:val="nil"/>
          <w:left w:val="nil"/>
          <w:bottom w:val="nil"/>
          <w:right w:val="nil"/>
          <w:between w:val="nil"/>
        </w:pBdr>
        <w:spacing w:after="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b/>
          <w:i/>
        </w:rPr>
        <w:t>VI.</w:t>
      </w:r>
      <w:r w:rsidRPr="006970E5">
        <w:rPr>
          <w:rFonts w:ascii="Palatino Linotype" w:eastAsia="Palatino Linotype" w:hAnsi="Palatino Linotype" w:cs="Palatino Linotype"/>
          <w:i/>
        </w:rPr>
        <w:t xml:space="preserve"> </w:t>
      </w:r>
      <w:r w:rsidRPr="006970E5">
        <w:rPr>
          <w:rFonts w:ascii="Palatino Linotype" w:eastAsia="Palatino Linotype" w:hAnsi="Palatino Linotype" w:cs="Palatino Linotype"/>
          <w:b/>
          <w:i/>
          <w:u w:val="single"/>
        </w:rPr>
        <w:t>Recibir las declaracio</w:t>
      </w:r>
      <w:r w:rsidRPr="006970E5">
        <w:rPr>
          <w:rFonts w:ascii="Palatino Linotype" w:eastAsia="Palatino Linotype" w:hAnsi="Palatino Linotype" w:cs="Palatino Linotype"/>
          <w:b/>
          <w:i/>
          <w:u w:val="single"/>
        </w:rPr>
        <w:t>nes de situación patrimonial</w:t>
      </w:r>
      <w:r w:rsidRPr="006970E5">
        <w:rPr>
          <w:rFonts w:ascii="Palatino Linotype" w:eastAsia="Palatino Linotype" w:hAnsi="Palatino Linotype" w:cs="Palatino Linotype"/>
          <w:i/>
        </w:rPr>
        <w:t xml:space="preserve">, de intereses y el acuse de la presentación de la declaración fiscal de los servidores públicos </w:t>
      </w:r>
      <w:r w:rsidRPr="006970E5">
        <w:rPr>
          <w:rFonts w:ascii="Palatino Linotype" w:eastAsia="Palatino Linotype" w:hAnsi="Palatino Linotype" w:cs="Palatino Linotype"/>
          <w:b/>
          <w:i/>
          <w:u w:val="single"/>
        </w:rPr>
        <w:t>de la Administración Pública</w:t>
      </w:r>
      <w:r w:rsidRPr="006970E5">
        <w:rPr>
          <w:rFonts w:ascii="Palatino Linotype" w:eastAsia="Palatino Linotype" w:hAnsi="Palatino Linotype" w:cs="Palatino Linotype"/>
          <w:i/>
        </w:rPr>
        <w:t xml:space="preserve"> Estatal y </w:t>
      </w:r>
      <w:r w:rsidRPr="006970E5">
        <w:rPr>
          <w:rFonts w:ascii="Palatino Linotype" w:eastAsia="Palatino Linotype" w:hAnsi="Palatino Linotype" w:cs="Palatino Linotype"/>
          <w:b/>
          <w:i/>
          <w:u w:val="single"/>
        </w:rPr>
        <w:t>Municipal</w:t>
      </w:r>
      <w:r w:rsidRPr="006970E5">
        <w:rPr>
          <w:rFonts w:ascii="Palatino Linotype" w:eastAsia="Palatino Linotype" w:hAnsi="Palatino Linotype" w:cs="Palatino Linotype"/>
          <w:i/>
        </w:rPr>
        <w:t>;</w:t>
      </w:r>
    </w:p>
    <w:p w:rsidR="005C224D" w:rsidRPr="006970E5" w:rsidRDefault="003627CD">
      <w:pPr>
        <w:pBdr>
          <w:top w:val="nil"/>
          <w:left w:val="nil"/>
          <w:bottom w:val="nil"/>
          <w:right w:val="nil"/>
          <w:between w:val="nil"/>
        </w:pBdr>
        <w:spacing w:after="120" w:line="240" w:lineRule="auto"/>
        <w:ind w:left="1134" w:right="1273"/>
        <w:jc w:val="both"/>
        <w:rPr>
          <w:rFonts w:ascii="Palatino Linotype" w:eastAsia="Palatino Linotype" w:hAnsi="Palatino Linotype" w:cs="Palatino Linotype"/>
          <w:i/>
        </w:rPr>
      </w:pPr>
      <w:r w:rsidRPr="006970E5">
        <w:rPr>
          <w:rFonts w:ascii="Palatino Linotype" w:eastAsia="Palatino Linotype" w:hAnsi="Palatino Linotype" w:cs="Palatino Linotype"/>
          <w:b/>
          <w:i/>
        </w:rPr>
        <w:t>VII.</w:t>
      </w:r>
      <w:r w:rsidRPr="006970E5">
        <w:rPr>
          <w:rFonts w:ascii="Palatino Linotype" w:eastAsia="Palatino Linotype" w:hAnsi="Palatino Linotype" w:cs="Palatino Linotype"/>
          <w:i/>
        </w:rPr>
        <w:t xml:space="preserve"> Coordinar y </w:t>
      </w:r>
      <w:r w:rsidRPr="006970E5">
        <w:rPr>
          <w:rFonts w:ascii="Palatino Linotype" w:eastAsia="Palatino Linotype" w:hAnsi="Palatino Linotype" w:cs="Palatino Linotype"/>
          <w:b/>
          <w:i/>
          <w:u w:val="single"/>
        </w:rPr>
        <w:t>llevar el registro y resguardo de las declaraciones de situación patrimonial</w:t>
      </w:r>
      <w:r w:rsidRPr="006970E5">
        <w:rPr>
          <w:rFonts w:ascii="Palatino Linotype" w:eastAsia="Palatino Linotype" w:hAnsi="Palatino Linotype" w:cs="Palatino Linotype"/>
          <w:i/>
        </w:rPr>
        <w:t xml:space="preserve">, de intereses y el acuse de la presentación de la declaración fiscal </w:t>
      </w:r>
      <w:r w:rsidRPr="006970E5">
        <w:rPr>
          <w:rFonts w:ascii="Palatino Linotype" w:eastAsia="Palatino Linotype" w:hAnsi="Palatino Linotype" w:cs="Palatino Linotype"/>
          <w:b/>
          <w:i/>
          <w:u w:val="single"/>
        </w:rPr>
        <w:t>de los servidores públicos de la Administración</w:t>
      </w:r>
      <w:r w:rsidRPr="006970E5">
        <w:rPr>
          <w:rFonts w:ascii="Palatino Linotype" w:eastAsia="Palatino Linotype" w:hAnsi="Palatino Linotype" w:cs="Palatino Linotype"/>
          <w:i/>
        </w:rPr>
        <w:t xml:space="preserve"> Pública Estatal y </w:t>
      </w:r>
      <w:r w:rsidRPr="006970E5">
        <w:rPr>
          <w:rFonts w:ascii="Palatino Linotype" w:eastAsia="Palatino Linotype" w:hAnsi="Palatino Linotype" w:cs="Palatino Linotype"/>
          <w:b/>
          <w:i/>
          <w:u w:val="single"/>
        </w:rPr>
        <w:t>Municipal</w:t>
      </w:r>
      <w:r w:rsidRPr="006970E5">
        <w:rPr>
          <w:rFonts w:ascii="Palatino Linotype" w:eastAsia="Palatino Linotype" w:hAnsi="Palatino Linotype" w:cs="Palatino Linotype"/>
          <w:i/>
        </w:rPr>
        <w:t xml:space="preserve">, para su publicitación conforme a </w:t>
      </w:r>
      <w:r w:rsidRPr="006970E5">
        <w:rPr>
          <w:rFonts w:ascii="Palatino Linotype" w:eastAsia="Palatino Linotype" w:hAnsi="Palatino Linotype" w:cs="Palatino Linotype"/>
          <w:i/>
        </w:rPr>
        <w:t xml:space="preserve">las disposiciones jurídicas aplicables, así como para suministrar la </w:t>
      </w:r>
      <w:r w:rsidRPr="006970E5">
        <w:rPr>
          <w:rFonts w:ascii="Palatino Linotype" w:eastAsia="Palatino Linotype" w:hAnsi="Palatino Linotype" w:cs="Palatino Linotype"/>
          <w:i/>
        </w:rPr>
        <w:lastRenderedPageBreak/>
        <w:t>información correspondiente a la Plataforma Digital Nacional y Estatal del Sistema Nacional y Estatal Anticorrupción;”</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Como podemos apreciar el artículo 47 de la Ley Orgánica de la Admini</w:t>
      </w:r>
      <w:r w:rsidRPr="006970E5">
        <w:rPr>
          <w:rFonts w:ascii="Palatino Linotype" w:eastAsia="Palatino Linotype" w:hAnsi="Palatino Linotype" w:cs="Palatino Linotype"/>
          <w:i/>
        </w:rPr>
        <w:t>stración Pública del Estado de México otorga a la Secretaría de la Contraloría diversas atribuciones, entre ellas la establecida en la fracción XVII, en la que se establece claramente que esta Secretaría es responsable de recibir y registrar la declaración</w:t>
      </w:r>
      <w:r w:rsidRPr="006970E5">
        <w:rPr>
          <w:rFonts w:ascii="Palatino Linotype" w:eastAsia="Palatino Linotype" w:hAnsi="Palatino Linotype" w:cs="Palatino Linotype"/>
          <w:i/>
        </w:rPr>
        <w:t xml:space="preserve"> de situación patrimonial de los servidores públicos de los municipios, además, la normativa le confiere la facultad de realizar investigaciones necesarias en términos de la Ley de Responsabilidades Administrativas del Estado de México y Municipios.</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Por su</w:t>
      </w:r>
      <w:r w:rsidRPr="006970E5">
        <w:rPr>
          <w:rFonts w:ascii="Palatino Linotype" w:eastAsia="Palatino Linotype" w:hAnsi="Palatino Linotype" w:cs="Palatino Linotype"/>
          <w:i/>
        </w:rPr>
        <w:t xml:space="preserve"> parte el artículo 24 del Reglamento Interior de la Secretaría de la Contraloría detalla las atribuciones de la Dirección General de Responsabilidades Administrativas, la cual está encargada de coordinar las acciones para integrar el padrón de servidores p</w:t>
      </w:r>
      <w:r w:rsidRPr="006970E5">
        <w:rPr>
          <w:rFonts w:ascii="Palatino Linotype" w:eastAsia="Palatino Linotype" w:hAnsi="Palatino Linotype" w:cs="Palatino Linotype"/>
          <w:i/>
        </w:rPr>
        <w:t>úblicos municipales obligados a presentar la declaración de situación patrimonial.</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Esta Dirección General también recibe y coordina el registro y resguardo de las declaraciones de situación patrimonial de los servidores públicos de la Administración Públic</w:t>
      </w:r>
      <w:r w:rsidRPr="006970E5">
        <w:rPr>
          <w:rFonts w:ascii="Palatino Linotype" w:eastAsia="Palatino Linotype" w:hAnsi="Palatino Linotype" w:cs="Palatino Linotype"/>
          <w:i/>
        </w:rPr>
        <w:t>a Municipal.</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Específicamente, se menciona que la Dirección General de Responsabilidades Administrativas tiene la función de recibir las declaraciones de situación patrimonial, de intereses y el acuse de la presentación de la declaración fiscal de los servi</w:t>
      </w:r>
      <w:r w:rsidRPr="006970E5">
        <w:rPr>
          <w:rFonts w:ascii="Palatino Linotype" w:eastAsia="Palatino Linotype" w:hAnsi="Palatino Linotype" w:cs="Palatino Linotype"/>
          <w:i/>
        </w:rPr>
        <w:t>dores públicos municipales.</w:t>
      </w:r>
    </w:p>
    <w:p w:rsidR="005C224D" w:rsidRPr="006970E5" w:rsidRDefault="003627CD">
      <w:pPr>
        <w:tabs>
          <w:tab w:val="left" w:pos="709"/>
        </w:tabs>
        <w:spacing w:before="120" w:after="120" w:line="240" w:lineRule="auto"/>
        <w:ind w:left="851" w:right="990"/>
        <w:jc w:val="both"/>
        <w:rPr>
          <w:rFonts w:ascii="Palatino Linotype" w:eastAsia="Palatino Linotype" w:hAnsi="Palatino Linotype" w:cs="Palatino Linotype"/>
          <w:i/>
        </w:rPr>
      </w:pPr>
      <w:r w:rsidRPr="006970E5">
        <w:rPr>
          <w:rFonts w:ascii="Palatino Linotype" w:eastAsia="Palatino Linotype" w:hAnsi="Palatino Linotype" w:cs="Palatino Linotype"/>
          <w:i/>
        </w:rPr>
        <w:t xml:space="preserve">Visto lo anterior, se confirma que el sujeto obligado es incompetente para tener bajo su resguardo, las declaraciones de situación patrimonial, pues al Ayuntamiento de Lerma </w:t>
      </w:r>
      <w:r w:rsidRPr="006970E5">
        <w:rPr>
          <w:rFonts w:ascii="Palatino Linotype" w:eastAsia="Palatino Linotype" w:hAnsi="Palatino Linotype" w:cs="Palatino Linotype"/>
          <w:b/>
          <w:i/>
          <w:u w:val="single"/>
        </w:rPr>
        <w:t>no</w:t>
      </w:r>
      <w:r w:rsidRPr="006970E5">
        <w:rPr>
          <w:rFonts w:ascii="Palatino Linotype" w:eastAsia="Palatino Linotype" w:hAnsi="Palatino Linotype" w:cs="Palatino Linotype"/>
          <w:i/>
        </w:rPr>
        <w:t xml:space="preserve"> le corresponde la integración del padrón de servido</w:t>
      </w:r>
      <w:r w:rsidRPr="006970E5">
        <w:rPr>
          <w:rFonts w:ascii="Palatino Linotype" w:eastAsia="Palatino Linotype" w:hAnsi="Palatino Linotype" w:cs="Palatino Linotype"/>
          <w:i/>
        </w:rPr>
        <w:t xml:space="preserve">res públicos de la Administración Pública Municipal obligados a presentar declaración de situación patrimonial, </w:t>
      </w:r>
      <w:r w:rsidRPr="006970E5">
        <w:rPr>
          <w:rFonts w:ascii="Palatino Linotype" w:eastAsia="Palatino Linotype" w:hAnsi="Palatino Linotype" w:cs="Palatino Linotype"/>
          <w:b/>
          <w:i/>
          <w:u w:val="single"/>
        </w:rPr>
        <w:t>tampoco</w:t>
      </w:r>
      <w:r w:rsidRPr="006970E5">
        <w:rPr>
          <w:rFonts w:ascii="Palatino Linotype" w:eastAsia="Palatino Linotype" w:hAnsi="Palatino Linotype" w:cs="Palatino Linotype"/>
          <w:i/>
        </w:rPr>
        <w:t xml:space="preserve"> le corresponde recibir las declaraciones de situación patrimonial, de intereses y el acuse de la presentación de la declaración fiscal d</w:t>
      </w:r>
      <w:r w:rsidRPr="006970E5">
        <w:rPr>
          <w:rFonts w:ascii="Palatino Linotype" w:eastAsia="Palatino Linotype" w:hAnsi="Palatino Linotype" w:cs="Palatino Linotype"/>
          <w:i/>
        </w:rPr>
        <w:t xml:space="preserve">e los servidores públicos de la Administración Pública Municipal, </w:t>
      </w:r>
      <w:r w:rsidRPr="006970E5">
        <w:rPr>
          <w:rFonts w:ascii="Palatino Linotype" w:eastAsia="Palatino Linotype" w:hAnsi="Palatino Linotype" w:cs="Palatino Linotype"/>
          <w:b/>
          <w:i/>
          <w:u w:val="single"/>
        </w:rPr>
        <w:t>ni tiene la obligación</w:t>
      </w:r>
      <w:r w:rsidRPr="006970E5">
        <w:rPr>
          <w:rFonts w:ascii="Palatino Linotype" w:eastAsia="Palatino Linotype" w:hAnsi="Palatino Linotype" w:cs="Palatino Linotype"/>
          <w:i/>
        </w:rPr>
        <w:t xml:space="preserve"> de llevar el registro y resguardo de las declaraciones de situación patrimonial, de intereses y el acuse de la presentación de la declaración fiscal de los servidores </w:t>
      </w:r>
      <w:r w:rsidRPr="006970E5">
        <w:rPr>
          <w:rFonts w:ascii="Palatino Linotype" w:eastAsia="Palatino Linotype" w:hAnsi="Palatino Linotype" w:cs="Palatino Linotype"/>
          <w:i/>
        </w:rPr>
        <w:t>públicos municipales.”</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lastRenderedPageBreak/>
        <w:t xml:space="preserve">Conforme a lo anterior, se logra vislumbrar que el </w:t>
      </w:r>
      <w:r w:rsidRPr="006970E5">
        <w:rPr>
          <w:rFonts w:ascii="Palatino Linotype" w:eastAsia="Palatino Linotype" w:hAnsi="Palatino Linotype" w:cs="Palatino Linotype"/>
          <w:b/>
          <w:sz w:val="24"/>
          <w:szCs w:val="24"/>
        </w:rPr>
        <w:t xml:space="preserve">Sujeto Obligado </w:t>
      </w:r>
      <w:r w:rsidRPr="006970E5">
        <w:rPr>
          <w:rFonts w:ascii="Palatino Linotype" w:eastAsia="Palatino Linotype" w:hAnsi="Palatino Linotype" w:cs="Palatino Linotype"/>
          <w:sz w:val="24"/>
          <w:szCs w:val="24"/>
        </w:rPr>
        <w:t xml:space="preserve">es incompetente para proporcionar información relacionada con la </w:t>
      </w:r>
      <w:r w:rsidRPr="006970E5">
        <w:rPr>
          <w:rFonts w:ascii="Palatino Linotype" w:eastAsia="Palatino Linotype" w:hAnsi="Palatino Linotype" w:cs="Palatino Linotype"/>
          <w:b/>
          <w:sz w:val="24"/>
          <w:szCs w:val="24"/>
        </w:rPr>
        <w:t>declaración patrimonial</w:t>
      </w:r>
      <w:r w:rsidRPr="006970E5">
        <w:rPr>
          <w:rFonts w:ascii="Palatino Linotype" w:eastAsia="Palatino Linotype" w:hAnsi="Palatino Linotype" w:cs="Palatino Linotype"/>
          <w:sz w:val="24"/>
          <w:szCs w:val="24"/>
        </w:rPr>
        <w:t xml:space="preserve"> y de</w:t>
      </w:r>
      <w:r w:rsidRPr="006970E5">
        <w:rPr>
          <w:rFonts w:ascii="Palatino Linotype" w:eastAsia="Palatino Linotype" w:hAnsi="Palatino Linotype" w:cs="Palatino Linotype"/>
          <w:b/>
          <w:sz w:val="24"/>
          <w:szCs w:val="24"/>
        </w:rPr>
        <w:t xml:space="preserve"> </w:t>
      </w:r>
      <w:r w:rsidRPr="006970E5">
        <w:rPr>
          <w:rFonts w:ascii="Palatino Linotype" w:eastAsia="Palatino Linotype" w:hAnsi="Palatino Linotype" w:cs="Palatino Linotype"/>
          <w:sz w:val="24"/>
          <w:szCs w:val="24"/>
        </w:rPr>
        <w:t>conflicto de intereses</w:t>
      </w:r>
      <w:r w:rsidRPr="006970E5">
        <w:rPr>
          <w:rFonts w:ascii="Palatino Linotype" w:eastAsia="Palatino Linotype" w:hAnsi="Palatino Linotype" w:cs="Palatino Linotype"/>
          <w:b/>
          <w:sz w:val="24"/>
          <w:szCs w:val="24"/>
        </w:rPr>
        <w:t xml:space="preserve"> de la persona referida en la solicitud</w:t>
      </w:r>
      <w:r w:rsidRPr="006970E5">
        <w:rPr>
          <w:rFonts w:ascii="Palatino Linotype" w:eastAsia="Palatino Linotype" w:hAnsi="Palatino Linotype" w:cs="Palatino Linotype"/>
          <w:sz w:val="24"/>
          <w:szCs w:val="24"/>
        </w:rPr>
        <w:t xml:space="preserve">, al carecer de atribuciones para conocer de dicha información con lo cual, se logra ratificar que el </w:t>
      </w:r>
      <w:r w:rsidRPr="006970E5">
        <w:rPr>
          <w:rFonts w:ascii="Palatino Linotype" w:eastAsia="Palatino Linotype" w:hAnsi="Palatino Linotype" w:cs="Palatino Linotype"/>
          <w:b/>
          <w:sz w:val="24"/>
          <w:szCs w:val="24"/>
        </w:rPr>
        <w:t>Ayuntamiento de Lerma</w:t>
      </w:r>
      <w:r w:rsidRPr="006970E5">
        <w:rPr>
          <w:rFonts w:ascii="Palatino Linotype" w:eastAsia="Palatino Linotype" w:hAnsi="Palatino Linotype" w:cs="Palatino Linotype"/>
          <w:sz w:val="24"/>
          <w:szCs w:val="24"/>
        </w:rPr>
        <w:t xml:space="preserve"> es notoriamente incompetente para conocer de la información solicitada.</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Es por ello que la Suscrita estima que no es procedente orde</w:t>
      </w:r>
      <w:r w:rsidRPr="006970E5">
        <w:rPr>
          <w:rFonts w:ascii="Palatino Linotype" w:eastAsia="Palatino Linotype" w:hAnsi="Palatino Linotype" w:cs="Palatino Linotype"/>
          <w:sz w:val="24"/>
          <w:szCs w:val="24"/>
        </w:rPr>
        <w:t>nar la emisión del acuerdo de incompetencia</w:t>
      </w:r>
      <w:r w:rsidRPr="006970E5">
        <w:rPr>
          <w:rFonts w:ascii="Palatino Linotype" w:eastAsia="Palatino Linotype" w:hAnsi="Palatino Linotype" w:cs="Palatino Linotype"/>
          <w:sz w:val="18"/>
          <w:szCs w:val="18"/>
        </w:rPr>
        <w:t>,</w:t>
      </w:r>
      <w:r w:rsidRPr="006970E5">
        <w:rPr>
          <w:rFonts w:ascii="Palatino Linotype" w:eastAsia="Palatino Linotype" w:hAnsi="Palatino Linotype" w:cs="Palatino Linotype"/>
          <w:sz w:val="24"/>
          <w:szCs w:val="24"/>
        </w:rPr>
        <w:t xml:space="preserve"> aun cuando la Unidad de Transparencia efectuó la declaración de la notoria incompetencia por parte del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para atender favorablemente la solicitud de información, de manera posterior a los tres días de haberse presentado esta.</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b/>
          <w:sz w:val="24"/>
          <w:szCs w:val="24"/>
          <w:u w:val="single"/>
        </w:rPr>
      </w:pPr>
      <w:bookmarkStart w:id="3" w:name="_heading=h.tyjcwt" w:colFirst="0" w:colLast="0"/>
      <w:bookmarkEnd w:id="3"/>
      <w:r w:rsidRPr="006970E5">
        <w:rPr>
          <w:rFonts w:ascii="Palatino Linotype" w:eastAsia="Palatino Linotype" w:hAnsi="Palatino Linotype" w:cs="Palatino Linotype"/>
          <w:sz w:val="24"/>
          <w:szCs w:val="24"/>
        </w:rPr>
        <w:t xml:space="preserve">Lo anterior se estima así, ya que desde mi perspectiva, ordenar al Comité de Transparencia del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que sesione para que em</w:t>
      </w:r>
      <w:r w:rsidRPr="006970E5">
        <w:rPr>
          <w:rFonts w:ascii="Palatino Linotype" w:eastAsia="Palatino Linotype" w:hAnsi="Palatino Linotype" w:cs="Palatino Linotype"/>
          <w:sz w:val="24"/>
          <w:szCs w:val="24"/>
        </w:rPr>
        <w:t xml:space="preserve">ita un acuerdo en el que confirme la declaratoria de incompetencia para garantizar el derecho de la parte </w:t>
      </w:r>
      <w:r w:rsidRPr="006970E5">
        <w:rPr>
          <w:rFonts w:ascii="Palatino Linotype" w:eastAsia="Palatino Linotype" w:hAnsi="Palatino Linotype" w:cs="Palatino Linotype"/>
          <w:b/>
          <w:sz w:val="24"/>
          <w:szCs w:val="24"/>
        </w:rPr>
        <w:t>Recurrente</w:t>
      </w:r>
      <w:r w:rsidRPr="006970E5">
        <w:rPr>
          <w:rFonts w:ascii="Palatino Linotype" w:eastAsia="Palatino Linotype" w:hAnsi="Palatino Linotype" w:cs="Palatino Linotype"/>
          <w:sz w:val="24"/>
          <w:szCs w:val="24"/>
        </w:rPr>
        <w:t xml:space="preserve"> dilata los plazos del procedimiento, genera una carga adicional al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y ello no modifica el hecho de que la parte </w:t>
      </w:r>
      <w:r w:rsidRPr="006970E5">
        <w:rPr>
          <w:rFonts w:ascii="Palatino Linotype" w:eastAsia="Palatino Linotype" w:hAnsi="Palatino Linotype" w:cs="Palatino Linotype"/>
          <w:b/>
          <w:sz w:val="24"/>
          <w:szCs w:val="24"/>
        </w:rPr>
        <w:t>Recurrente</w:t>
      </w:r>
      <w:r w:rsidRPr="006970E5">
        <w:rPr>
          <w:rFonts w:ascii="Palatino Linotype" w:eastAsia="Palatino Linotype" w:hAnsi="Palatino Linotype" w:cs="Palatino Linotype"/>
          <w:sz w:val="24"/>
          <w:szCs w:val="24"/>
        </w:rPr>
        <w:t xml:space="preserve"> </w:t>
      </w:r>
      <w:r w:rsidRPr="006970E5">
        <w:rPr>
          <w:rFonts w:ascii="Palatino Linotype" w:eastAsia="Palatino Linotype" w:hAnsi="Palatino Linotype" w:cs="Palatino Linotype"/>
          <w:sz w:val="24"/>
          <w:szCs w:val="24"/>
        </w:rPr>
        <w:t>no obtendrá la información que es de su interés por ésta vía, en virtud de que el propio Instituto ha determinado que</w:t>
      </w:r>
      <w:r w:rsidRPr="006970E5">
        <w:rPr>
          <w:rFonts w:ascii="Palatino Linotype" w:eastAsia="Palatino Linotype" w:hAnsi="Palatino Linotype" w:cs="Palatino Linotype"/>
          <w:b/>
          <w:i/>
          <w:sz w:val="24"/>
          <w:szCs w:val="24"/>
        </w:rPr>
        <w:t xml:space="preserve"> </w:t>
      </w:r>
      <w:r w:rsidRPr="006970E5">
        <w:rPr>
          <w:rFonts w:ascii="Palatino Linotype" w:eastAsia="Palatino Linotype" w:hAnsi="Palatino Linotype" w:cs="Palatino Linotype"/>
          <w:b/>
          <w:sz w:val="24"/>
          <w:szCs w:val="24"/>
          <w:u w:val="single"/>
        </w:rPr>
        <w:t>el Sujeto Obligado no cuenta con competencia para atender los requerimientos señalados por la persona solicitante, por ende, no se</w:t>
      </w:r>
      <w:r w:rsidRPr="006970E5">
        <w:rPr>
          <w:b/>
          <w:sz w:val="24"/>
          <w:szCs w:val="24"/>
          <w:u w:val="single"/>
        </w:rPr>
        <w:t xml:space="preserve"> </w:t>
      </w:r>
      <w:r w:rsidRPr="006970E5">
        <w:rPr>
          <w:rFonts w:ascii="Palatino Linotype" w:eastAsia="Palatino Linotype" w:hAnsi="Palatino Linotype" w:cs="Palatino Linotype"/>
          <w:b/>
          <w:sz w:val="24"/>
          <w:szCs w:val="24"/>
          <w:u w:val="single"/>
        </w:rPr>
        <w:t>encuent</w:t>
      </w:r>
      <w:r w:rsidRPr="006970E5">
        <w:rPr>
          <w:rFonts w:ascii="Palatino Linotype" w:eastAsia="Palatino Linotype" w:hAnsi="Palatino Linotype" w:cs="Palatino Linotype"/>
          <w:b/>
          <w:sz w:val="24"/>
          <w:szCs w:val="24"/>
          <w:u w:val="single"/>
        </w:rPr>
        <w:t xml:space="preserve">ra constreñido a entregar la información requerida ante la falta de atribuciones para generar, poseer o administrar lo solicitado. </w:t>
      </w:r>
    </w:p>
    <w:p w:rsidR="005C224D" w:rsidRPr="006970E5" w:rsidRDefault="003627CD">
      <w:pPr>
        <w:tabs>
          <w:tab w:val="left" w:pos="142"/>
          <w:tab w:val="left" w:pos="284"/>
        </w:tabs>
        <w:spacing w:before="240" w:after="240" w:line="360" w:lineRule="auto"/>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lastRenderedPageBreak/>
        <w:t>Por ello, instruir al Comité de Transparencia para que sesione y emita una resolución en la que se confirme una notoria inco</w:t>
      </w:r>
      <w:r w:rsidRPr="006970E5">
        <w:rPr>
          <w:rFonts w:ascii="Palatino Linotype" w:eastAsia="Palatino Linotype" w:hAnsi="Palatino Linotype" w:cs="Palatino Linotype"/>
          <w:sz w:val="24"/>
          <w:szCs w:val="24"/>
        </w:rPr>
        <w:t xml:space="preserve">mpetencia que ya fue declarada por el </w:t>
      </w:r>
      <w:r w:rsidRPr="006970E5">
        <w:rPr>
          <w:rFonts w:ascii="Palatino Linotype" w:eastAsia="Palatino Linotype" w:hAnsi="Palatino Linotype" w:cs="Palatino Linotype"/>
          <w:b/>
          <w:sz w:val="24"/>
          <w:szCs w:val="24"/>
        </w:rPr>
        <w:t>Sujeto Obligado</w:t>
      </w:r>
      <w:r w:rsidRPr="006970E5">
        <w:rPr>
          <w:rFonts w:ascii="Palatino Linotype" w:eastAsia="Palatino Linotype" w:hAnsi="Palatino Linotype" w:cs="Palatino Linotype"/>
          <w:sz w:val="24"/>
          <w:szCs w:val="24"/>
        </w:rPr>
        <w:t xml:space="preserve"> y analizada por este Organismo Garante, se aparta de los principios de sencillez y rapidez establecidos por la Ley de Transparencia y Acceso a la Información Pública del Estado de México y Municipios, e</w:t>
      </w:r>
      <w:r w:rsidRPr="006970E5">
        <w:rPr>
          <w:rFonts w:ascii="Palatino Linotype" w:eastAsia="Palatino Linotype" w:hAnsi="Palatino Linotype" w:cs="Palatino Linotype"/>
          <w:sz w:val="24"/>
          <w:szCs w:val="24"/>
        </w:rPr>
        <w:t xml:space="preserve">n sus artículos 2, fracciones II y III, 21 y 150. </w:t>
      </w:r>
    </w:p>
    <w:p w:rsidR="005C224D" w:rsidRPr="006970E5" w:rsidRDefault="003627CD">
      <w:pPr>
        <w:spacing w:before="240" w:after="240" w:line="360" w:lineRule="auto"/>
        <w:ind w:right="139"/>
        <w:jc w:val="both"/>
        <w:rPr>
          <w:rFonts w:ascii="Palatino Linotype" w:eastAsia="Palatino Linotype" w:hAnsi="Palatino Linotype" w:cs="Palatino Linotype"/>
          <w:sz w:val="24"/>
          <w:szCs w:val="24"/>
        </w:rPr>
      </w:pPr>
      <w:r w:rsidRPr="006970E5">
        <w:rPr>
          <w:rFonts w:ascii="Palatino Linotype" w:eastAsia="Palatino Linotype" w:hAnsi="Palatino Linotype" w:cs="Palatino Linotype"/>
          <w:sz w:val="24"/>
          <w:szCs w:val="24"/>
        </w:rPr>
        <w:t xml:space="preserve">Es por todo lo vertido en líneas anteriores que la Suscrita no comparte el sentido de la resolución, y formula el presente </w:t>
      </w:r>
      <w:r w:rsidRPr="006970E5">
        <w:rPr>
          <w:rFonts w:ascii="Palatino Linotype" w:eastAsia="Palatino Linotype" w:hAnsi="Palatino Linotype" w:cs="Palatino Linotype"/>
          <w:b/>
          <w:sz w:val="24"/>
          <w:szCs w:val="24"/>
        </w:rPr>
        <w:t>Voto Disidente</w:t>
      </w:r>
      <w:r w:rsidRPr="006970E5">
        <w:rPr>
          <w:rFonts w:ascii="Palatino Linotype" w:eastAsia="Palatino Linotype" w:hAnsi="Palatino Linotype" w:cs="Palatino Linotype"/>
          <w:sz w:val="24"/>
          <w:szCs w:val="24"/>
        </w:rPr>
        <w:t>.</w:t>
      </w:r>
      <w:r w:rsidRPr="006970E5">
        <w:rPr>
          <w:rFonts w:ascii="Palatino Linotype" w:eastAsia="Palatino Linotype" w:hAnsi="Palatino Linotype" w:cs="Palatino Linotype"/>
          <w:sz w:val="24"/>
          <w:szCs w:val="24"/>
        </w:rPr>
        <w:t xml:space="preserve"> </w:t>
      </w: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p w:rsidR="005C224D" w:rsidRPr="006970E5" w:rsidRDefault="005C224D">
      <w:pPr>
        <w:spacing w:after="0" w:line="360" w:lineRule="auto"/>
        <w:ind w:right="139"/>
        <w:jc w:val="both"/>
        <w:rPr>
          <w:rFonts w:ascii="Palatino Linotype" w:eastAsia="Palatino Linotype" w:hAnsi="Palatino Linotype" w:cs="Palatino Linotype"/>
        </w:rPr>
      </w:pPr>
    </w:p>
    <w:sectPr w:rsidR="005C224D" w:rsidRPr="006970E5">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CD" w:rsidRDefault="003627CD">
      <w:pPr>
        <w:spacing w:after="0" w:line="240" w:lineRule="auto"/>
      </w:pPr>
      <w:r>
        <w:separator/>
      </w:r>
    </w:p>
  </w:endnote>
  <w:endnote w:type="continuationSeparator" w:id="0">
    <w:p w:rsidR="003627CD" w:rsidRDefault="0036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CD" w:rsidRDefault="003627CD">
      <w:pPr>
        <w:spacing w:after="0" w:line="240" w:lineRule="auto"/>
      </w:pPr>
      <w:r>
        <w:separator/>
      </w:r>
    </w:p>
  </w:footnote>
  <w:footnote w:type="continuationSeparator" w:id="0">
    <w:p w:rsidR="003627CD" w:rsidRDefault="00362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4D" w:rsidRDefault="003627C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-1245234</wp:posOffset>
          </wp:positionH>
          <wp:positionV relativeFrom="paragraph">
            <wp:posOffset>-452118</wp:posOffset>
          </wp:positionV>
          <wp:extent cx="7510145" cy="9883775"/>
          <wp:effectExtent l="0" t="0" r="0" b="0"/>
          <wp:wrapNone/>
          <wp:docPr id="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5C224D" w:rsidRDefault="003627C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p w:rsidR="005C224D" w:rsidRDefault="003627C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RECURSOS DE REVISIÓN: 05035/INFOEM/IP/RR/2023 </w:t>
    </w:r>
  </w:p>
  <w:p w:rsidR="005C224D" w:rsidRDefault="005C224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E62C7"/>
    <w:multiLevelType w:val="multilevel"/>
    <w:tmpl w:val="86EA6756"/>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750B73C7"/>
    <w:multiLevelType w:val="multilevel"/>
    <w:tmpl w:val="BE184B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D"/>
    <w:rsid w:val="003627CD"/>
    <w:rsid w:val="005C224D"/>
    <w:rsid w:val="00697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017A8-1445-4FF8-B061-1D3B88D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9yR/J3AFY53IPJoD9U0DOjsKw==">CgMxLjAyCGguZ2pkZ3hzMgloLjMwajB6bGwyCGgudHlqY3d0OAByITFWeWYtRWxHWFlUMXR6N3FEWkpMaGJNaWQ0U045ck5VRg==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2543</Words>
  <Characters>13988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2024-01-26T18:18:00Z</dcterms:created>
  <dcterms:modified xsi:type="dcterms:W3CDTF">2024-01-29T16:19:00Z</dcterms:modified>
</cp:coreProperties>
</file>