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BD" w:rsidRDefault="003A6B43">
      <w:pPr>
        <w:spacing w:before="240" w:after="0" w:line="360" w:lineRule="auto"/>
        <w:ind w:right="139"/>
        <w:jc w:val="both"/>
        <w:rPr>
          <w:rFonts w:ascii="Palatino Linotype" w:eastAsia="Palatino Linotype" w:hAnsi="Palatino Linotype" w:cs="Palatino Linotype"/>
          <w:b/>
          <w:sz w:val="24"/>
          <w:szCs w:val="24"/>
        </w:rPr>
      </w:pPr>
      <w:bookmarkStart w:id="0" w:name="_heading=h.1fob9te" w:colFirst="0" w:colLast="0"/>
      <w:bookmarkEnd w:id="0"/>
      <w:r>
        <w:rPr>
          <w:rFonts w:ascii="Palatino Linotype" w:eastAsia="Palatino Linotype" w:hAnsi="Palatino Linotype" w:cs="Palatino Linotype"/>
          <w:b/>
          <w:sz w:val="24"/>
          <w:szCs w:val="24"/>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OCTAVA SESIÓN ORDINARIA CELEBRADA EL CATORCE DE AGOSTO DE DOS MIL VEINTICUATRO, EN EL RECURSO DE REVISIÓN 00730/INFOEM/IP/RR/2024. </w:t>
      </w:r>
    </w:p>
    <w:p w:rsidR="007A02BD" w:rsidRDefault="007A02BD">
      <w:pPr>
        <w:spacing w:after="0" w:line="360" w:lineRule="auto"/>
        <w:ind w:right="139"/>
        <w:jc w:val="both"/>
        <w:rPr>
          <w:rFonts w:ascii="Palatino Linotype" w:eastAsia="Palatino Linotype" w:hAnsi="Palatino Linotype" w:cs="Palatino Linotype"/>
          <w:b/>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la que suscribe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00730/INFOEM/IP/RR/2024, </w:t>
      </w:r>
      <w:r>
        <w:rPr>
          <w:rFonts w:ascii="Palatino Linotype" w:eastAsia="Palatino Linotype" w:hAnsi="Palatino Linotype" w:cs="Palatino Linotype"/>
          <w:sz w:val="24"/>
          <w:szCs w:val="24"/>
        </w:rPr>
        <w:t>pronunciada por el Pleno de este Instituto ante el proyecto presentado por la Comisionado Presidente José Martínez Vilchis, el cual se formuló, conforme al tenor siguiente:</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left="567"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Antecedentes.</w:t>
      </w:r>
    </w:p>
    <w:p w:rsidR="007A02BD" w:rsidRDefault="007A02BD">
      <w:pPr>
        <w:spacing w:after="0" w:line="360" w:lineRule="auto"/>
        <w:ind w:left="567" w:right="142"/>
        <w:jc w:val="both"/>
        <w:rPr>
          <w:rFonts w:ascii="Palatino Linotype" w:eastAsia="Palatino Linotype" w:hAnsi="Palatino Linotype" w:cs="Palatino Linotype"/>
          <w:b/>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Como quedó debidamente asentado en la resolución, materia del presente voto la persona solicitante requirió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lo siguiente:</w:t>
      </w: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1. Listado completo en versión pública del padrón de ahorradores de la caja de ahorro de la Federación.</w:t>
      </w:r>
    </w:p>
    <w:p w:rsidR="007A02BD" w:rsidRDefault="007A02BD">
      <w:pPr>
        <w:spacing w:after="0" w:line="360" w:lineRule="auto"/>
        <w:jc w:val="both"/>
        <w:rPr>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Listado completo en versión pública de los que realizan aportaciones sindicales a la Federación.</w:t>
      </w:r>
    </w:p>
    <w:p w:rsidR="007A02BD" w:rsidRDefault="007A02BD">
      <w:pPr>
        <w:spacing w:after="0" w:line="360" w:lineRule="auto"/>
        <w:jc w:val="both"/>
        <w:rPr>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Requisitos para adherirse a la caja de ahorros de la Federación.</w:t>
      </w:r>
    </w:p>
    <w:p w:rsidR="007A02BD" w:rsidRDefault="007A02BD">
      <w:pPr>
        <w:spacing w:after="0" w:line="360" w:lineRule="auto"/>
        <w:jc w:val="both"/>
        <w:rPr>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Cómo es posible que se le haya realizado un préstamo tan exuberante de 2´000,000.00 al Titular del Órgano Interno de Control de la Universidad Autónoma del Estado de México, sin ser maestro de la Universidad.</w:t>
      </w:r>
    </w:p>
    <w:p w:rsidR="007A02BD" w:rsidRDefault="007A02BD">
      <w:pPr>
        <w:spacing w:after="0" w:line="360" w:lineRule="auto"/>
        <w:jc w:val="both"/>
        <w:rPr>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5. Como es que el Titular del Órgano Interno de Control, garantizó el pago de las mensualidades de dicho prestamos, ya que es una cantidad exuberante y no creo que dicha cantidad se la presten a cualquiera, que dejo en garantía.</w:t>
      </w:r>
    </w:p>
    <w:p w:rsidR="007A02BD" w:rsidRDefault="007A02BD">
      <w:pPr>
        <w:spacing w:after="0" w:line="360" w:lineRule="auto"/>
        <w:jc w:val="both"/>
        <w:rPr>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6. Que se explique si acaso no se configura un conflicto de interés ya que es el Titular del Órgano Interno de Control y pide préstamos a la misma entidad a la que él puede fiscalizar.</w:t>
      </w:r>
    </w:p>
    <w:p w:rsidR="007A02BD" w:rsidRDefault="007A02BD">
      <w:pPr>
        <w:spacing w:after="0" w:line="360" w:lineRule="auto"/>
        <w:jc w:val="both"/>
        <w:rPr>
          <w:sz w:val="24"/>
          <w:szCs w:val="24"/>
        </w:rPr>
      </w:pPr>
    </w:p>
    <w:p w:rsidR="007A02BD" w:rsidRDefault="003A6B43">
      <w:pPr>
        <w:spacing w:after="0" w:line="360" w:lineRule="auto"/>
        <w:jc w:val="both"/>
        <w:rPr>
          <w:sz w:val="24"/>
          <w:szCs w:val="24"/>
        </w:rPr>
      </w:pPr>
      <w:bookmarkStart w:id="1" w:name="_heading=h.gjdgxs" w:colFirst="0" w:colLast="0"/>
      <w:bookmarkEnd w:id="1"/>
      <w:r>
        <w:rPr>
          <w:rFonts w:ascii="Palatino Linotype" w:eastAsia="Palatino Linotype" w:hAnsi="Palatino Linotype" w:cs="Palatino Linotype"/>
          <w:sz w:val="24"/>
          <w:szCs w:val="24"/>
        </w:rPr>
        <w:lastRenderedPageBreak/>
        <w:t>7. Ojalá que el titular del órgano interno de control y la federación de asociaciones autónomas ambas de la universidad, pueda justificar, el préstamo tan grande de 2´000,000.00</w:t>
      </w:r>
      <w:proofErr w:type="gramStart"/>
      <w:r>
        <w:rPr>
          <w:rFonts w:ascii="Palatino Linotype" w:eastAsia="Palatino Linotype" w:hAnsi="Palatino Linotype" w:cs="Palatino Linotype"/>
          <w:sz w:val="24"/>
          <w:szCs w:val="24"/>
        </w:rPr>
        <w:t>,,</w:t>
      </w:r>
      <w:proofErr w:type="gramEnd"/>
      <w:r>
        <w:rPr>
          <w:rFonts w:ascii="Palatino Linotype" w:eastAsia="Palatino Linotype" w:hAnsi="Palatino Linotype" w:cs="Palatino Linotype"/>
          <w:sz w:val="24"/>
          <w:szCs w:val="24"/>
        </w:rPr>
        <w:t xml:space="preserve"> dónde queda la ética y buen comportamiento que según él predica.</w:t>
      </w:r>
    </w:p>
    <w:p w:rsidR="007A02BD" w:rsidRDefault="007A02BD">
      <w:pPr>
        <w:spacing w:after="0" w:line="360" w:lineRule="auto"/>
        <w:ind w:right="142"/>
        <w:jc w:val="both"/>
        <w:rPr>
          <w:rFonts w:ascii="Palatino Linotype" w:eastAsia="Palatino Linotype" w:hAnsi="Palatino Linotype" w:cs="Palatino Linotype"/>
          <w:color w:val="000000"/>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En respuesta, </w:t>
      </w:r>
      <w:r>
        <w:rPr>
          <w:rFonts w:ascii="Palatino Linotype" w:eastAsia="Palatino Linotype" w:hAnsi="Palatino Linotype" w:cs="Palatino Linotype"/>
          <w:b/>
          <w:color w:val="000000"/>
          <w:sz w:val="24"/>
          <w:szCs w:val="24"/>
        </w:rPr>
        <w:t>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manifestó de los numerales señalados, lo siguiente:</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1. Manifestó que esa Organización Sindical, no puede informar lo requerido; toda vez que de darse a conocer lo solicitado, se estarían violentando datos personales, de conformidad con la Ley de Protección de Datos Personales en Posesión de Sujetos Obligados del Estado de México y Municipios Mediante informe justificado remitió el Acta de la Segunda Sesión Extraordinaria del Comité de Transparencia del Sujeto Obligado, que contiene el Acuerdo 001/24 por el que se confirma la clasificación como reservada la información referente a la caja de ahorro y cuotas sindicales.</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Informó que las aportaciones sindicales provienen de particulares (nuestros agremiados), por tal motivo son aportaciones privadas, no provienen de recursos públicos; sin embargo y de acuerdo al artículo 102 fracción III de la Ley de Transparencia y Acceso a la Información Pública del Estado de México y Municipios tiene como propósito proporcionar el padrón de socios motivo por el cual entregó la liga para su consulta.</w:t>
      </w: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Asimismo, mediante informe justificado remitió un listado que corresponde al padrón de afiliados de la Federación de Asociaciones Autónomas de Personal Académico de la Universidad Autónoma del Estado de México (FAAPAUAEM), con los rubros correspondientes a nombre, paterno y materno.</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3. Comunicó que los requisitos los encuentra en el Capítulo III, Artículo 13 del Reglamento de Caja de Ahorro. La transparencia Sindical, también se encuentra regulada por la Ley General de Transparencia y Acceso a la Información Publica en su artículo 70, 78 y 79, obligaciones comunes y específicas que deben ser internas y externas en cuestión sindical, mismas que se establecen en el artículo 364 y 364 bis de la Ley Federal de Trabajo, así como en los artículos 92, 99 y 102 de la Ley de Transparencia y Acceso a la Información Pública del Estado de México y Municipios</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 5. 6. y 7. Manifestó que esa federación únicamente está obligada a transparentar e informar a la sociedad en general lo que expresamente la Ley de Transparencia y Acceso a la Información Pública del Estado de México y Municipios le impone respecto de los recursos públicos que recibe por parte del Estado.</w:t>
      </w:r>
    </w:p>
    <w:p w:rsidR="007A02BD" w:rsidRDefault="007A02BD">
      <w:pPr>
        <w:spacing w:after="0" w:line="360" w:lineRule="auto"/>
        <w:ind w:right="142"/>
        <w:jc w:val="both"/>
        <w:rPr>
          <w:rFonts w:ascii="Palatino Linotype" w:eastAsia="Palatino Linotype" w:hAnsi="Palatino Linotype" w:cs="Palatino Linotype"/>
          <w:sz w:val="24"/>
          <w:szCs w:val="24"/>
        </w:rPr>
      </w:pPr>
    </w:p>
    <w:p w:rsidR="007A02BD" w:rsidRDefault="003A6B43">
      <w:pP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refirió que en relación a lo referido, la solicitud no puede ser atendida por ésta vía, ya que se deriva de un juicio de valor y por lo tanto no es considerado como un derecho de acceso a la información pública, de acuerdo a lo establecido </w:t>
      </w:r>
      <w:r>
        <w:rPr>
          <w:rFonts w:ascii="Palatino Linotype" w:eastAsia="Palatino Linotype" w:hAnsi="Palatino Linotype" w:cs="Palatino Linotype"/>
          <w:sz w:val="24"/>
          <w:szCs w:val="24"/>
        </w:rPr>
        <w:lastRenderedPageBreak/>
        <w:t>en el artículo 24, último párrafo de la Ley de Transparencia y Acceso a la Información Pública del Estado de México y Municipios.</w:t>
      </w:r>
    </w:p>
    <w:p w:rsidR="007A02BD" w:rsidRDefault="007A02BD">
      <w:pPr>
        <w:spacing w:after="0" w:line="360" w:lineRule="auto"/>
        <w:ind w:right="142"/>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Bajo tales argumentos,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interpuso el medio de impugnación citado al rubro, mediante el cual manifestó lo siguiente:</w:t>
      </w:r>
    </w:p>
    <w:p w:rsidR="007A02BD" w:rsidRDefault="007A02BD">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p>
    <w:p w:rsidR="007A02BD" w:rsidRDefault="007A02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A02BD" w:rsidRDefault="003A6B43">
      <w:pPr>
        <w:numPr>
          <w:ilvl w:val="0"/>
          <w:numId w:val="2"/>
        </w:numPr>
        <w:pBdr>
          <w:top w:val="nil"/>
          <w:left w:val="nil"/>
          <w:bottom w:val="nil"/>
          <w:right w:val="nil"/>
          <w:between w:val="nil"/>
        </w:pBdr>
        <w:spacing w:before="240"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Acto Impugnado:</w:t>
      </w:r>
    </w:p>
    <w:p w:rsidR="007A02BD" w:rsidRDefault="003A6B43">
      <w:pPr>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“la respuesta proporcionada por la FAAPAUEM” [sic]</w:t>
      </w:r>
    </w:p>
    <w:p w:rsidR="007A02BD" w:rsidRDefault="007A02BD">
      <w:pPr>
        <w:pBdr>
          <w:top w:val="nil"/>
          <w:left w:val="nil"/>
          <w:bottom w:val="nil"/>
          <w:right w:val="nil"/>
          <w:between w:val="nil"/>
        </w:pBdr>
        <w:spacing w:after="0" w:line="240" w:lineRule="auto"/>
        <w:rPr>
          <w:rFonts w:ascii="Times New Roman" w:eastAsia="Times New Roman" w:hAnsi="Times New Roman" w:cs="Times New Roman"/>
          <w:color w:val="000000"/>
          <w:sz w:val="2"/>
          <w:szCs w:val="2"/>
        </w:rPr>
      </w:pPr>
    </w:p>
    <w:p w:rsidR="007A02BD" w:rsidRDefault="003A6B43">
      <w:pPr>
        <w:numPr>
          <w:ilvl w:val="0"/>
          <w:numId w:val="2"/>
        </w:num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p>
    <w:p w:rsidR="007A02BD" w:rsidRDefault="003A6B43">
      <w:pPr>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 xml:space="preserve">“En términos de los artículos 176, 178, 179 de la Ley de Transparencia y Acceso a la Información Pública del Estado de México y Municipios vengo a interponer mi garantía secundaría en contra de la supuesta respuesta de la Federación de Asociaciones Autónoma del Personal Académico de la Universidad Autónoma del Estado de México, bajo el tenor de los siguientes argumentos. </w:t>
      </w:r>
      <w:r>
        <w:rPr>
          <w:rFonts w:ascii="Palatino Linotype" w:eastAsia="Palatino Linotype" w:hAnsi="Palatino Linotype" w:cs="Palatino Linotype"/>
          <w:i/>
          <w:u w:val="single"/>
        </w:rPr>
        <w:t>1 Es falso que no me pueden proporcionar en versión pública el padrón de beneficiarios si la misma ley refiere en su artículo 102 fracción III refiere que deben proporcionar el “padrón de socios, afiliados o análogos” razón por la cual se solicitó desde un principio se me proporcionará la información en versión pública</w:t>
      </w:r>
      <w:r>
        <w:rPr>
          <w:rFonts w:ascii="Palatino Linotype" w:eastAsia="Palatino Linotype" w:hAnsi="Palatino Linotype" w:cs="Palatino Linotype"/>
          <w:i/>
        </w:rPr>
        <w:t xml:space="preserve">, protegiendo los datos personales de cada uno de los que conforman el padrón de socios, afiliados o análogos asimismo dicho artículo refiere que solamente podrá ser clasificada como confidencial los domicilios de los socios, afiliados o análogos. 2 </w:t>
      </w:r>
      <w:r>
        <w:rPr>
          <w:rFonts w:ascii="Palatino Linotype" w:eastAsia="Palatino Linotype" w:hAnsi="Palatino Linotype" w:cs="Palatino Linotype"/>
          <w:b/>
          <w:i/>
        </w:rPr>
        <w:t>Es falso que no me pueden proporcionar en versión pública el listado completo de los que realizan aportaciones sindicales a dicha Federación</w:t>
      </w:r>
      <w:r>
        <w:rPr>
          <w:rFonts w:ascii="Palatino Linotype" w:eastAsia="Palatino Linotype" w:hAnsi="Palatino Linotype" w:cs="Palatino Linotype"/>
          <w:i/>
        </w:rPr>
        <w:t xml:space="preserve">, si la misma ley refiere en su artículo 102 fracción IV refiere que deben proporcionar la relación de los recursos públicos económicos, en especie viene o donativos y el informe detallado </w:t>
      </w:r>
      <w:r>
        <w:rPr>
          <w:rFonts w:ascii="Palatino Linotype" w:eastAsia="Palatino Linotype" w:hAnsi="Palatino Linotype" w:cs="Palatino Linotype"/>
          <w:i/>
        </w:rPr>
        <w:lastRenderedPageBreak/>
        <w:t xml:space="preserve">del ejercicio y destino final de los recursos.”, por lo que si bien es cierto dichas aportaciones las hacen los trabajadores de la Universidad, estas aportaciones se hacen del sueldo que perciben los trabajadores, es decir son recursos públicos y se debe manifestar que qué y para qué se usa dicho recurso. 3 4 Si bien es cierto que los sujetos obligados solo proporcionan la información que </w:t>
      </w:r>
      <w:r>
        <w:rPr>
          <w:rFonts w:ascii="Palatino Linotype" w:eastAsia="Palatino Linotype" w:hAnsi="Palatino Linotype" w:cs="Palatino Linotype"/>
          <w:i/>
          <w:u w:val="single"/>
        </w:rPr>
        <w:t>se genera posee o administre, según su propia respuesta, solicito la expresión documental, en términos del criterio 16/17 emitido por el Pleno del Instituto Nacional de Transparencia, Acceso a la Información Pública y Protección de Datos Personales, de todo lo relacionado con el préstamo que se realizó al C. Victorino Barrios Dávalos sin cumplir con el requisito de ser docente</w:t>
      </w:r>
      <w:r>
        <w:rPr>
          <w:rFonts w:ascii="Palatino Linotype" w:eastAsia="Palatino Linotype" w:hAnsi="Palatino Linotype" w:cs="Palatino Linotype"/>
          <w:i/>
        </w:rPr>
        <w:t xml:space="preserve">. 5 Se sospecha que la FAAPA oculta información toda vez que la solicitud es muy clara, </w:t>
      </w:r>
      <w:r>
        <w:rPr>
          <w:rFonts w:ascii="Palatino Linotype" w:eastAsia="Palatino Linotype" w:hAnsi="Palatino Linotype" w:cs="Palatino Linotype"/>
          <w:b/>
          <w:i/>
        </w:rPr>
        <w:t>solicito todo los documentos relacionados con el préstamo tan exuberante que recibió el C. Victorino Barrios Dávalos, información que obra en sus archivos y que pretende evadir la solicitud, la cual es muy clara</w:t>
      </w:r>
      <w:r>
        <w:rPr>
          <w:rFonts w:ascii="Palatino Linotype" w:eastAsia="Palatino Linotype" w:hAnsi="Palatino Linotype" w:cs="Palatino Linotype"/>
          <w:i/>
        </w:rPr>
        <w:t xml:space="preserve">. 6 Se sospecha que la FAAPA oculta información toda vez que la solicitud es muy clara, ya que </w:t>
      </w:r>
      <w:r>
        <w:rPr>
          <w:rFonts w:ascii="Palatino Linotype" w:eastAsia="Palatino Linotype" w:hAnsi="Palatino Linotype" w:cs="Palatino Linotype"/>
          <w:b/>
          <w:i/>
        </w:rPr>
        <w:t>se solicitó justificar el préstamo realizado al C. Victorino Barrios Dávalos, esto debe entenderse como, demostrar, manifestar obviamente bajo documentales cuáles fueron las razones para otorgar dicho recurso</w:t>
      </w:r>
      <w:r>
        <w:rPr>
          <w:rFonts w:ascii="Palatino Linotype" w:eastAsia="Palatino Linotype" w:hAnsi="Palatino Linotype" w:cs="Palatino Linotype"/>
          <w:i/>
        </w:rPr>
        <w:t>. Por lo anterior y en términos del artículo 13 de la ley de la materia, solicito de al INFOEM, la suplencia de la queja y ordene la entrega de la información que se solicitó en la solicitud de mérito” [sic]</w:t>
      </w:r>
    </w:p>
    <w:p w:rsidR="007A02BD" w:rsidRDefault="007A02BD">
      <w:pPr>
        <w:pBdr>
          <w:top w:val="nil"/>
          <w:left w:val="nil"/>
          <w:bottom w:val="nil"/>
          <w:right w:val="nil"/>
          <w:between w:val="nil"/>
        </w:pBdr>
        <w:spacing w:before="160" w:after="0" w:line="360" w:lineRule="auto"/>
        <w:ind w:right="139"/>
        <w:jc w:val="both"/>
        <w:rPr>
          <w:rFonts w:ascii="Palatino Linotype" w:eastAsia="Palatino Linotype" w:hAnsi="Palatino Linotype" w:cs="Palatino Linotype"/>
          <w:sz w:val="24"/>
          <w:szCs w:val="24"/>
        </w:rPr>
      </w:pPr>
    </w:p>
    <w:p w:rsidR="007A02BD" w:rsidRDefault="003A6B43">
      <w:pPr>
        <w:spacing w:after="0" w:line="360" w:lineRule="auto"/>
        <w:ind w:right="49"/>
        <w:jc w:val="both"/>
        <w:rPr>
          <w:rFonts w:ascii="Palatino Linotype" w:eastAsia="Palatino Linotype" w:hAnsi="Palatino Linotype" w:cs="Palatino Linotype"/>
          <w:sz w:val="28"/>
          <w:szCs w:val="28"/>
        </w:rPr>
      </w:pPr>
      <w:r>
        <w:rPr>
          <w:rFonts w:ascii="Palatino Linotype" w:eastAsia="Palatino Linotype" w:hAnsi="Palatino Linotype" w:cs="Palatino Linotype"/>
          <w:sz w:val="24"/>
          <w:szCs w:val="24"/>
        </w:rPr>
        <w:t xml:space="preserve">Durante la etapa de manifestaciones,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rindió su Informe Justificado los siguientes documentos:</w:t>
      </w:r>
    </w:p>
    <w:p w:rsidR="007A02BD" w:rsidRDefault="007A02B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7A02BD" w:rsidRDefault="003A6B4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“acta y acuerdo del </w:t>
      </w:r>
      <w:proofErr w:type="spellStart"/>
      <w:r>
        <w:rPr>
          <w:rFonts w:ascii="Palatino Linotype" w:eastAsia="Palatino Linotype" w:hAnsi="Palatino Linotype" w:cs="Palatino Linotype"/>
          <w:b/>
          <w:sz w:val="24"/>
          <w:szCs w:val="24"/>
        </w:rPr>
        <w:t>rr</w:t>
      </w:r>
      <w:proofErr w:type="spellEnd"/>
      <w:r>
        <w:rPr>
          <w:rFonts w:ascii="Palatino Linotype" w:eastAsia="Palatino Linotype" w:hAnsi="Palatino Linotype" w:cs="Palatino Linotype"/>
          <w:b/>
          <w:sz w:val="24"/>
          <w:szCs w:val="24"/>
        </w:rPr>
        <w:t xml:space="preserve"> 00730.pdf”</w:t>
      </w:r>
      <w:r>
        <w:rPr>
          <w:rFonts w:ascii="Palatino Linotype" w:eastAsia="Palatino Linotype" w:hAnsi="Palatino Linotype" w:cs="Palatino Linotype"/>
          <w:sz w:val="24"/>
          <w:szCs w:val="24"/>
        </w:rPr>
        <w:t xml:space="preserve">: Acta de la Segunda Sesión Extraordinaria del Comité de Transparencia del Sujeto Obligado, que contiene el Acuerdo 001/24 por el que se confirma la clasificación como reservada la información referente a la caja de ahorro y cuotas sindicales con fundamento en los </w:t>
      </w:r>
      <w:r>
        <w:rPr>
          <w:rFonts w:ascii="Palatino Linotype" w:eastAsia="Palatino Linotype" w:hAnsi="Palatino Linotype" w:cs="Palatino Linotype"/>
          <w:sz w:val="24"/>
          <w:szCs w:val="24"/>
        </w:rPr>
        <w:lastRenderedPageBreak/>
        <w:t xml:space="preserve">artículos 113 fracción XII de la Ley General, 140 fracción IX de la Ley Estatal y numeral Trigésimo Tercero de los Lineamientos Generales en Materia de Clasificación y Desclasificación de la Información, así como para la elaboración de versiones públicas. </w:t>
      </w:r>
    </w:p>
    <w:p w:rsidR="007A02BD" w:rsidRDefault="007A02BD">
      <w:p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p>
    <w:p w:rsidR="007A02BD" w:rsidRDefault="003A6B4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oficio e informe justificado.pdf</w:t>
      </w:r>
      <w:r>
        <w:rPr>
          <w:rFonts w:ascii="Palatino Linotype" w:eastAsia="Palatino Linotype" w:hAnsi="Palatino Linotype" w:cs="Palatino Linotype"/>
          <w:sz w:val="24"/>
          <w:szCs w:val="24"/>
        </w:rPr>
        <w:t xml:space="preserve">”: Oficio número 002/24, a través del cual, el Titular de la Unidad de Transparencia informa a este Instituto que, hace llegar el informe justificado correspondiente al Recurso de Revisión número </w:t>
      </w:r>
      <w:r>
        <w:rPr>
          <w:rFonts w:ascii="Palatino Linotype" w:eastAsia="Palatino Linotype" w:hAnsi="Palatino Linotype" w:cs="Palatino Linotype"/>
          <w:b/>
          <w:sz w:val="24"/>
          <w:szCs w:val="24"/>
        </w:rPr>
        <w:t xml:space="preserve">00730/INFOEM/IP/RR/2024, </w:t>
      </w:r>
      <w:r>
        <w:rPr>
          <w:rFonts w:ascii="Palatino Linotype" w:eastAsia="Palatino Linotype" w:hAnsi="Palatino Linotype" w:cs="Palatino Linotype"/>
          <w:sz w:val="24"/>
          <w:szCs w:val="24"/>
        </w:rPr>
        <w:t xml:space="preserve">en el que medularmente ratifica la respuesta proporcionada, solicitando se confirme la respuesta proporcionada. </w:t>
      </w:r>
    </w:p>
    <w:p w:rsidR="007A02BD" w:rsidRDefault="007A02BD">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7A02BD" w:rsidRDefault="003A6B4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recurso de revisión.pdf</w:t>
      </w:r>
      <w:r>
        <w:rPr>
          <w:rFonts w:ascii="Palatino Linotype" w:eastAsia="Palatino Linotype" w:hAnsi="Palatino Linotype" w:cs="Palatino Linotype"/>
          <w:sz w:val="24"/>
          <w:szCs w:val="24"/>
        </w:rPr>
        <w:t>”: Acuse del Recurso de Revisión de mérito.</w:t>
      </w:r>
    </w:p>
    <w:p w:rsidR="007A02BD" w:rsidRDefault="007A02BD">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7A02BD" w:rsidRDefault="003A6B4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solicitud y respuesta 00012-2023.pdf</w:t>
      </w:r>
      <w:r>
        <w:rPr>
          <w:rFonts w:ascii="Palatino Linotype" w:eastAsia="Palatino Linotype" w:hAnsi="Palatino Linotype" w:cs="Palatino Linotype"/>
          <w:sz w:val="24"/>
          <w:szCs w:val="24"/>
        </w:rPr>
        <w:t xml:space="preserve">”: Acuse de la solicitud de información pública que se estudia, así como el archivo electrónico entregado mediante respuesta.  </w:t>
      </w:r>
    </w:p>
    <w:p w:rsidR="007A02BD" w:rsidRDefault="007A02BD">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7A02BD" w:rsidRDefault="003A6B4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padron-afiliados.pdf</w:t>
      </w:r>
      <w:r>
        <w:rPr>
          <w:rFonts w:ascii="Palatino Linotype" w:eastAsia="Palatino Linotype" w:hAnsi="Palatino Linotype" w:cs="Palatino Linotype"/>
          <w:sz w:val="24"/>
          <w:szCs w:val="24"/>
        </w:rPr>
        <w:t xml:space="preserve">”: Contiene un listado que corresponde al padrón de afiliados de la Federación de Asociaciones Autónomas de Personal Académico de la Universidad Autónoma del Estado de México (FAAPAUAEM), con los rubros correspondientes a nombre, paterno y materno, como se advierte enseguida: </w:t>
      </w:r>
    </w:p>
    <w:p w:rsidR="007A02BD" w:rsidRDefault="003A6B43">
      <w:pPr>
        <w:pBdr>
          <w:top w:val="nil"/>
          <w:left w:val="nil"/>
          <w:bottom w:val="nil"/>
          <w:right w:val="nil"/>
          <w:between w:val="nil"/>
        </w:pBdr>
        <w:spacing w:line="360" w:lineRule="auto"/>
        <w:ind w:left="720"/>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lastRenderedPageBreak/>
        <w:drawing>
          <wp:inline distT="0" distB="0" distL="0" distR="0">
            <wp:extent cx="5174692" cy="1884920"/>
            <wp:effectExtent l="0" t="0" r="0" b="0"/>
            <wp:docPr id="16127549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12089"/>
                    <a:stretch>
                      <a:fillRect/>
                    </a:stretch>
                  </pic:blipFill>
                  <pic:spPr>
                    <a:xfrm>
                      <a:off x="0" y="0"/>
                      <a:ext cx="5174692" cy="1884920"/>
                    </a:xfrm>
                    <a:prstGeom prst="rect">
                      <a:avLst/>
                    </a:prstGeom>
                    <a:ln/>
                  </pic:spPr>
                </pic:pic>
              </a:graphicData>
            </a:graphic>
          </wp:inline>
        </w:drawing>
      </w:r>
    </w:p>
    <w:p w:rsidR="007A02BD" w:rsidRDefault="003A6B43">
      <w:pPr>
        <w:numPr>
          <w:ilvl w:val="0"/>
          <w:numId w:val="3"/>
        </w:numPr>
        <w:pBdr>
          <w:top w:val="nil"/>
          <w:left w:val="nil"/>
          <w:bottom w:val="nil"/>
          <w:right w:val="nil"/>
          <w:between w:val="nil"/>
        </w:pBdr>
        <w:tabs>
          <w:tab w:val="left" w:pos="709"/>
        </w:tabs>
        <w:spacing w:after="0" w:line="360" w:lineRule="auto"/>
        <w:ind w:right="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cuadros de clasificacion.pdf</w:t>
      </w:r>
      <w:r>
        <w:rPr>
          <w:rFonts w:ascii="Palatino Linotype" w:eastAsia="Palatino Linotype" w:hAnsi="Palatino Linotype" w:cs="Palatino Linotype"/>
          <w:color w:val="000000"/>
          <w:sz w:val="24"/>
          <w:szCs w:val="24"/>
        </w:rPr>
        <w:t xml:space="preserve">” Contiene dos cuadros de clasificación con los que se aprobó la reserva de información correspondiente a las Cuotas Sindicales y los expedientes de la caja ahorradores a la FAAPAUAEM por un periodo indeterminado, como se puede apreciar de la imagen siguiente: </w:t>
      </w:r>
    </w:p>
    <w:p w:rsidR="007A02BD" w:rsidRDefault="007A02BD">
      <w:pPr>
        <w:pBdr>
          <w:top w:val="nil"/>
          <w:left w:val="nil"/>
          <w:bottom w:val="nil"/>
          <w:right w:val="nil"/>
          <w:between w:val="nil"/>
        </w:pBdr>
        <w:tabs>
          <w:tab w:val="left" w:pos="709"/>
        </w:tabs>
        <w:spacing w:after="0" w:line="360" w:lineRule="auto"/>
        <w:ind w:left="720" w:right="51"/>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tabs>
          <w:tab w:val="left" w:pos="709"/>
        </w:tabs>
        <w:spacing w:line="360" w:lineRule="auto"/>
        <w:ind w:left="720" w:right="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rPr>
        <w:drawing>
          <wp:inline distT="0" distB="0" distL="0" distR="0">
            <wp:extent cx="4707750" cy="3004878"/>
            <wp:effectExtent l="0" t="0" r="0" b="0"/>
            <wp:docPr id="16127549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5369"/>
                    <a:stretch>
                      <a:fillRect/>
                    </a:stretch>
                  </pic:blipFill>
                  <pic:spPr>
                    <a:xfrm>
                      <a:off x="0" y="0"/>
                      <a:ext cx="4707750" cy="3004878"/>
                    </a:xfrm>
                    <a:prstGeom prst="rect">
                      <a:avLst/>
                    </a:prstGeom>
                    <a:ln/>
                  </pic:spPr>
                </pic:pic>
              </a:graphicData>
            </a:graphic>
          </wp:inline>
        </w:drawing>
      </w:r>
    </w:p>
    <w:p w:rsidR="007A02BD" w:rsidRDefault="003A6B43">
      <w:pPr>
        <w:pBdr>
          <w:top w:val="nil"/>
          <w:left w:val="nil"/>
          <w:bottom w:val="nil"/>
          <w:right w:val="nil"/>
          <w:between w:val="nil"/>
        </w:pBdr>
        <w:spacing w:before="240"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esta tesitura, derivado del análisis efectuado, este Instituto consideró que los motivos de inconformidad aducidos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resultaban fundados y suficientes para modificar la respuesta emitida, procediendo a ordenar la entrega de lo siguiente:</w:t>
      </w:r>
    </w:p>
    <w:p w:rsidR="007A02BD" w:rsidRDefault="007A02BD">
      <w:pPr>
        <w:spacing w:after="0" w:line="360" w:lineRule="auto"/>
        <w:ind w:right="-6"/>
        <w:jc w:val="both"/>
        <w:rPr>
          <w:rFonts w:ascii="Palatino Linotype" w:eastAsia="Palatino Linotype" w:hAnsi="Palatino Linotype" w:cs="Palatino Linotype"/>
          <w:sz w:val="24"/>
          <w:szCs w:val="24"/>
        </w:rPr>
      </w:pPr>
    </w:p>
    <w:p w:rsidR="007A02BD" w:rsidRDefault="003A6B43">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bookmarkStart w:id="2" w:name="_heading=h.tyjcwt" w:colFirst="0" w:colLast="0"/>
      <w:bookmarkEnd w:id="2"/>
      <w:r>
        <w:rPr>
          <w:rFonts w:ascii="Palatino Linotype" w:eastAsia="Palatino Linotype" w:hAnsi="Palatino Linotype" w:cs="Palatino Linotype"/>
          <w:b/>
          <w:i/>
        </w:rPr>
        <w:t>“</w:t>
      </w:r>
      <w:r>
        <w:rPr>
          <w:rFonts w:ascii="Palatino Linotype" w:eastAsia="Palatino Linotype" w:hAnsi="Palatino Linotype" w:cs="Palatino Linotype"/>
          <w:i/>
        </w:rPr>
        <w:t xml:space="preserve">SEGUNDO. Se ORDENA al Sujeto Obligado haga entrega al Recurrente, a través del Sistema de Acceso a la Información Mexiquense (SAIMEX), en términos del Considerando QUINTO de la presente resolución, de lo siguiente: </w:t>
      </w:r>
    </w:p>
    <w:p w:rsidR="007A02BD" w:rsidRDefault="007A02BD">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p>
    <w:p w:rsidR="007A02BD" w:rsidRDefault="003A6B43">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r>
        <w:rPr>
          <w:rFonts w:ascii="Palatino Linotype" w:eastAsia="Palatino Linotype" w:hAnsi="Palatino Linotype" w:cs="Palatino Linotype"/>
          <w:i/>
        </w:rPr>
        <w:t>1.</w:t>
      </w:r>
      <w:r>
        <w:rPr>
          <w:rFonts w:ascii="Palatino Linotype" w:eastAsia="Palatino Linotype" w:hAnsi="Palatino Linotype" w:cs="Palatino Linotype"/>
          <w:i/>
        </w:rPr>
        <w:tab/>
        <w:t>La versión pública del expediente formado con motivo del préstamo realizado por la Federación de Asociaciones Autónomas de Personal Académico de la Universidad Autónoma del Estado de México (FAAPAUAEM), al Titular del Órgano Interno de Control referido en la solicitud de información número 00012/FAAPAUAEM/IP/2023.</w:t>
      </w:r>
    </w:p>
    <w:p w:rsidR="007A02BD" w:rsidRDefault="007A02BD">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p>
    <w:p w:rsidR="007A02BD" w:rsidRDefault="003A6B43">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r>
        <w:rPr>
          <w:rFonts w:ascii="Palatino Linotype" w:eastAsia="Palatino Linotype" w:hAnsi="Palatino Linotype" w:cs="Palatino Linotype"/>
          <w:i/>
        </w:rPr>
        <w:t>2.</w:t>
      </w:r>
      <w:r>
        <w:rPr>
          <w:rFonts w:ascii="Palatino Linotype" w:eastAsia="Palatino Linotype" w:hAnsi="Palatino Linotype" w:cs="Palatino Linotype"/>
          <w:i/>
        </w:rPr>
        <w:tab/>
        <w:t>El Acuerdo del Comité de Transparencia por medio del cual clasifique en su totalidad como CONFIDENCIAL en términos de los artículos 122 y 143, fracción I, de la Ley de Transparencia y Acceso a la Información Pública del Estado de México y Municipios, del documento en donde conste del padrón de ahorradores de la caja de ahorro del Sujeto Obligado, así como de las cuotas sindicales de los trabajadores afiliados al mismo.</w:t>
      </w:r>
    </w:p>
    <w:p w:rsidR="007A02BD" w:rsidRDefault="007A02BD">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p>
    <w:p w:rsidR="007A02BD" w:rsidRDefault="003A6B43">
      <w:pPr>
        <w:pBdr>
          <w:top w:val="nil"/>
          <w:left w:val="nil"/>
          <w:bottom w:val="nil"/>
          <w:right w:val="nil"/>
          <w:between w:val="nil"/>
        </w:pBdr>
        <w:spacing w:after="0" w:line="276" w:lineRule="auto"/>
        <w:ind w:left="1077"/>
        <w:jc w:val="both"/>
        <w:rPr>
          <w:rFonts w:ascii="Palatino Linotype" w:eastAsia="Palatino Linotype" w:hAnsi="Palatino Linotype" w:cs="Palatino Linotype"/>
          <w:i/>
        </w:rPr>
      </w:pPr>
      <w:r>
        <w:rPr>
          <w:rFonts w:ascii="Palatino Linotype" w:eastAsia="Palatino Linotype" w:hAnsi="Palatino Linotype" w:cs="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Recurrente.”</w:t>
      </w:r>
    </w:p>
    <w:p w:rsidR="007A02BD" w:rsidRDefault="007A02BD">
      <w:pPr>
        <w:pBdr>
          <w:top w:val="nil"/>
          <w:left w:val="nil"/>
          <w:bottom w:val="nil"/>
          <w:right w:val="nil"/>
          <w:between w:val="nil"/>
        </w:pBdr>
        <w:spacing w:after="0" w:line="360" w:lineRule="auto"/>
        <w:ind w:left="1077"/>
        <w:jc w:val="both"/>
        <w:rPr>
          <w:rFonts w:ascii="Palatino Linotype" w:eastAsia="Palatino Linotype" w:hAnsi="Palatino Linotype" w:cs="Palatino Linotype"/>
          <w:i/>
        </w:rPr>
      </w:pPr>
    </w:p>
    <w:p w:rsidR="007A02BD" w:rsidRDefault="007A02BD">
      <w:pPr>
        <w:pBdr>
          <w:top w:val="nil"/>
          <w:left w:val="nil"/>
          <w:bottom w:val="nil"/>
          <w:right w:val="nil"/>
          <w:between w:val="nil"/>
        </w:pBdr>
        <w:spacing w:after="0" w:line="360" w:lineRule="auto"/>
        <w:ind w:left="1077"/>
        <w:jc w:val="both"/>
        <w:rPr>
          <w:rFonts w:ascii="Palatino Linotype" w:eastAsia="Palatino Linotype" w:hAnsi="Palatino Linotype" w:cs="Palatino Linotype"/>
          <w:i/>
        </w:rPr>
      </w:pPr>
    </w:p>
    <w:p w:rsidR="007A02BD" w:rsidRDefault="003A6B43">
      <w:pPr>
        <w:spacing w:after="0" w:line="360" w:lineRule="auto"/>
        <w:ind w:right="142"/>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II. Razones del Voto Disidente.</w:t>
      </w:r>
    </w:p>
    <w:p w:rsidR="007A02BD" w:rsidRDefault="007A02BD">
      <w:pPr>
        <w:spacing w:after="0" w:line="360" w:lineRule="auto"/>
        <w:ind w:right="142"/>
        <w:jc w:val="both"/>
        <w:rPr>
          <w:rFonts w:ascii="Palatino Linotype" w:eastAsia="Palatino Linotype" w:hAnsi="Palatino Linotype" w:cs="Palatino Linotype"/>
          <w:b/>
          <w:sz w:val="24"/>
          <w:szCs w:val="24"/>
        </w:rPr>
      </w:pPr>
    </w:p>
    <w:p w:rsidR="007A02BD" w:rsidRDefault="003A6B43">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Para iniciar la emisión del presente voto, conviene mencionar, que, de manera respetuosa, la suscrita </w:t>
      </w:r>
      <w:r>
        <w:rPr>
          <w:rFonts w:ascii="Palatino Linotype" w:eastAsia="Palatino Linotype" w:hAnsi="Palatino Linotype" w:cs="Palatino Linotype"/>
          <w:b/>
          <w:sz w:val="24"/>
          <w:szCs w:val="24"/>
        </w:rPr>
        <w:t xml:space="preserve">no </w:t>
      </w:r>
      <w:proofErr w:type="gramStart"/>
      <w:r>
        <w:rPr>
          <w:rFonts w:ascii="Palatino Linotype" w:eastAsia="Palatino Linotype" w:hAnsi="Palatino Linotype" w:cs="Palatino Linotype"/>
          <w:b/>
          <w:sz w:val="24"/>
          <w:szCs w:val="24"/>
        </w:rPr>
        <w:t>comparten</w:t>
      </w:r>
      <w:proofErr w:type="gramEnd"/>
      <w:r>
        <w:rPr>
          <w:rFonts w:ascii="Palatino Linotype" w:eastAsia="Palatino Linotype" w:hAnsi="Palatino Linotype" w:cs="Palatino Linotype"/>
          <w:b/>
          <w:sz w:val="24"/>
          <w:szCs w:val="24"/>
        </w:rPr>
        <w:t xml:space="preserve"> las consideraciones que fueron vertidas en la presente resolución, particularmente por las siguientes consideraciones:</w:t>
      </w:r>
    </w:p>
    <w:p w:rsidR="007A02BD" w:rsidRDefault="007A02BD">
      <w:pPr>
        <w:spacing w:after="0" w:line="360" w:lineRule="auto"/>
        <w:jc w:val="both"/>
        <w:rPr>
          <w:rFonts w:ascii="Palatino Linotype" w:eastAsia="Palatino Linotype" w:hAnsi="Palatino Linotype" w:cs="Palatino Linotype"/>
          <w:b/>
          <w:sz w:val="24"/>
          <w:szCs w:val="24"/>
        </w:rPr>
      </w:pPr>
    </w:p>
    <w:p w:rsidR="007A02BD" w:rsidRDefault="003A6B43">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CONSTITUYE UN DERECHO DE PETICIÓN.</w:t>
      </w:r>
    </w:p>
    <w:p w:rsidR="007A02BD" w:rsidRDefault="007A02BD">
      <w:pPr>
        <w:spacing w:before="240" w:after="0" w:line="360" w:lineRule="auto"/>
        <w:ind w:right="139"/>
        <w:jc w:val="both"/>
        <w:rPr>
          <w:rFonts w:ascii="Palatino Linotype" w:eastAsia="Palatino Linotype" w:hAnsi="Palatino Linotype" w:cs="Palatino Linotype"/>
          <w:b/>
          <w:sz w:val="24"/>
          <w:szCs w:val="24"/>
        </w:rPr>
      </w:pPr>
    </w:p>
    <w:p w:rsidR="003A6B43" w:rsidRDefault="003A6B43" w:rsidP="003A6B43">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se comparte el sentido de la resolución ya que de los puntos en los que se solicita:</w:t>
      </w:r>
    </w:p>
    <w:p w:rsidR="003A6B43" w:rsidRDefault="003A6B43" w:rsidP="003A6B43">
      <w:pPr>
        <w:spacing w:after="0" w:line="360" w:lineRule="auto"/>
        <w:ind w:right="139"/>
        <w:jc w:val="both"/>
        <w:rPr>
          <w:rFonts w:ascii="Palatino Linotype" w:eastAsia="Palatino Linotype" w:hAnsi="Palatino Linotype" w:cs="Palatino Linotype"/>
          <w:sz w:val="24"/>
          <w:szCs w:val="24"/>
        </w:rPr>
      </w:pP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r w:rsidRPr="003A6B43">
        <w:rPr>
          <w:rFonts w:ascii="Palatino Linotype" w:eastAsia="Palatino Linotype" w:hAnsi="Palatino Linotype" w:cs="Palatino Linotype"/>
          <w:sz w:val="24"/>
          <w:szCs w:val="24"/>
        </w:rPr>
        <w:t>4. Cómo es posible que se le haya realizado un préstamo tan exuberante de 2´000,000.00 al Titular del Órgano Interno de Control de la Universidad Autónoma del Estado de México, sin ser maestro de la Universidad.</w:t>
      </w: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r w:rsidRPr="003A6B43">
        <w:rPr>
          <w:rFonts w:ascii="Palatino Linotype" w:eastAsia="Palatino Linotype" w:hAnsi="Palatino Linotype" w:cs="Palatino Linotype"/>
          <w:sz w:val="24"/>
          <w:szCs w:val="24"/>
        </w:rPr>
        <w:t>5. Como es que el Titular del Órgano Interno de Control, garantizó el pago de las mensualidades de dicho prestamos, ya que es una cantidad exuberante y no creo que dicha cantidad se la presten a cualquiera, que dejo en garantía.</w:t>
      </w: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r w:rsidRPr="003A6B43">
        <w:rPr>
          <w:rFonts w:ascii="Palatino Linotype" w:eastAsia="Palatino Linotype" w:hAnsi="Palatino Linotype" w:cs="Palatino Linotype"/>
          <w:sz w:val="24"/>
          <w:szCs w:val="24"/>
        </w:rPr>
        <w:lastRenderedPageBreak/>
        <w:t>6. Que se explique si acaso no se configura un conflicto de interés ya que es el Titular del Órgano Interno de Control y pide préstamos a la misma entidad a la que él puede fiscalizar.</w:t>
      </w:r>
    </w:p>
    <w:p w:rsidR="003A6B43" w:rsidRPr="003A6B43" w:rsidRDefault="003A6B43" w:rsidP="003A6B43">
      <w:pPr>
        <w:spacing w:after="0" w:line="360" w:lineRule="auto"/>
        <w:ind w:right="139"/>
        <w:jc w:val="both"/>
        <w:rPr>
          <w:rFonts w:ascii="Palatino Linotype" w:eastAsia="Palatino Linotype" w:hAnsi="Palatino Linotype" w:cs="Palatino Linotype"/>
          <w:sz w:val="24"/>
          <w:szCs w:val="24"/>
        </w:rPr>
      </w:pPr>
    </w:p>
    <w:p w:rsidR="003A6B43" w:rsidRDefault="003A6B43" w:rsidP="003A6B43">
      <w:pPr>
        <w:spacing w:after="0" w:line="360" w:lineRule="auto"/>
        <w:ind w:right="139"/>
        <w:jc w:val="both"/>
        <w:rPr>
          <w:rFonts w:ascii="Palatino Linotype" w:eastAsia="Palatino Linotype" w:hAnsi="Palatino Linotype" w:cs="Palatino Linotype"/>
          <w:sz w:val="24"/>
          <w:szCs w:val="24"/>
        </w:rPr>
      </w:pPr>
      <w:r w:rsidRPr="003A6B43">
        <w:rPr>
          <w:rFonts w:ascii="Palatino Linotype" w:eastAsia="Palatino Linotype" w:hAnsi="Palatino Linotype" w:cs="Palatino Linotype"/>
          <w:sz w:val="24"/>
          <w:szCs w:val="24"/>
        </w:rPr>
        <w:t>7. Ojalá que el titular del órgano interno de control y la federación de asociaciones autónomas ambas de la universidad, pueda justificar, el préstamo tan grande de 2´000,000.00</w:t>
      </w:r>
      <w:proofErr w:type="gramStart"/>
      <w:r w:rsidRPr="003A6B43">
        <w:rPr>
          <w:rFonts w:ascii="Palatino Linotype" w:eastAsia="Palatino Linotype" w:hAnsi="Palatino Linotype" w:cs="Palatino Linotype"/>
          <w:sz w:val="24"/>
          <w:szCs w:val="24"/>
        </w:rPr>
        <w:t>,,</w:t>
      </w:r>
      <w:proofErr w:type="gramEnd"/>
      <w:r w:rsidRPr="003A6B43">
        <w:rPr>
          <w:rFonts w:ascii="Palatino Linotype" w:eastAsia="Palatino Linotype" w:hAnsi="Palatino Linotype" w:cs="Palatino Linotype"/>
          <w:sz w:val="24"/>
          <w:szCs w:val="24"/>
        </w:rPr>
        <w:t xml:space="preserve"> dónde queda la ética y buen comportamiento que según él predica.</w:t>
      </w:r>
    </w:p>
    <w:p w:rsidR="003A6B43" w:rsidRDefault="003A6B43">
      <w:pPr>
        <w:spacing w:after="0" w:line="360" w:lineRule="auto"/>
        <w:ind w:right="139"/>
        <w:jc w:val="both"/>
        <w:rPr>
          <w:rFonts w:ascii="Palatino Linotype" w:eastAsia="Palatino Linotype" w:hAnsi="Palatino Linotype" w:cs="Palatino Linotype"/>
          <w:sz w:val="24"/>
          <w:szCs w:val="24"/>
        </w:rPr>
      </w:pPr>
    </w:p>
    <w:p w:rsidR="007A02BD" w:rsidRDefault="003A6B43">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mi consideración constituyen un derecho de petición, pues fueron formulados por el particular con la intención de que se diera respuesta a cuestionamientos específicos, lo cual no es factible atenderse vía acceso a la información pública, toda vez, que la atención a dichos requerimientos no se </w:t>
      </w:r>
      <w:proofErr w:type="gramStart"/>
      <w:r>
        <w:rPr>
          <w:rFonts w:ascii="Palatino Linotype" w:eastAsia="Palatino Linotype" w:hAnsi="Palatino Linotype" w:cs="Palatino Linotype"/>
          <w:sz w:val="24"/>
          <w:szCs w:val="24"/>
        </w:rPr>
        <w:t>pueden</w:t>
      </w:r>
      <w:proofErr w:type="gramEnd"/>
      <w:r>
        <w:rPr>
          <w:rFonts w:ascii="Palatino Linotype" w:eastAsia="Palatino Linotype" w:hAnsi="Palatino Linotype" w:cs="Palatino Linotype"/>
          <w:sz w:val="24"/>
          <w:szCs w:val="24"/>
        </w:rPr>
        <w:t xml:space="preserve"> colmar con documentos que obren en los archivos del Sujeto Obligado.</w:t>
      </w:r>
    </w:p>
    <w:p w:rsidR="007A02BD" w:rsidRDefault="007A02BD">
      <w:pPr>
        <w:spacing w:after="0" w:line="360" w:lineRule="auto"/>
        <w:ind w:right="139"/>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rsidR="007A02BD" w:rsidRDefault="003A6B43">
      <w:pPr>
        <w:spacing w:after="0" w:line="360" w:lineRule="auto"/>
        <w:ind w:right="-9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Derecho de Petición:</w:t>
      </w:r>
    </w:p>
    <w:p w:rsidR="007A02BD" w:rsidRDefault="007A02BD">
      <w:pPr>
        <w:spacing w:after="0" w:line="360" w:lineRule="auto"/>
        <w:ind w:right="-91"/>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Doctor Ignacio Burgoa Orihuela refiere que derecho de petición: "...</w:t>
      </w:r>
      <w:r>
        <w:rPr>
          <w:rFonts w:ascii="Palatino Linotype" w:eastAsia="Palatino Linotype" w:hAnsi="Palatino Linotype" w:cs="Palatino Linotype"/>
          <w:i/>
          <w:sz w:val="24"/>
          <w:szCs w:val="24"/>
        </w:rPr>
        <w:t xml:space="preserve">es un Derecho Público subjetivo individual de la Garantía Respectiva Consagrada en al Artículo 8 de la Ley Fundamental. En tal virtud, la persona tiene la facultad de acudir a cualquier autoridad, </w:t>
      </w:r>
      <w:r>
        <w:rPr>
          <w:rFonts w:ascii="Palatino Linotype" w:eastAsia="Palatino Linotype" w:hAnsi="Palatino Linotype" w:cs="Palatino Linotype"/>
          <w:i/>
          <w:sz w:val="24"/>
          <w:szCs w:val="24"/>
        </w:rPr>
        <w:lastRenderedPageBreak/>
        <w:t>formulando una solicitud o instancia escrito de cualquier índole, la cual adopta, especialmente, el carácter de simple petición administrativa, acción o recurso, etc.</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(Sic)</w:t>
      </w:r>
    </w:p>
    <w:p w:rsidR="007A02BD" w:rsidRDefault="003A6B43">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Por su parte, David Cienfuegos Salgado, concibe al derecho de petición como </w:t>
      </w:r>
      <w:r>
        <w:rPr>
          <w:rFonts w:ascii="Palatino Linotype" w:eastAsia="Palatino Linotype" w:hAnsi="Palatino Linotype" w:cs="Palatino Linotype"/>
          <w:i/>
          <w:color w:val="000000"/>
          <w:sz w:val="24"/>
          <w:szCs w:val="24"/>
        </w:rPr>
        <w:t>“el derecho de toda persona a ser escuchado por quienes ejercen el poder público</w:t>
      </w:r>
      <w:proofErr w:type="gramStart"/>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sz w:val="24"/>
          <w:szCs w:val="24"/>
          <w:vertAlign w:val="superscript"/>
        </w:rPr>
        <w:t xml:space="preserve"> </w:t>
      </w:r>
      <w:proofErr w:type="gramEnd"/>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i/>
          <w:color w:val="000000"/>
          <w:sz w:val="24"/>
          <w:szCs w:val="24"/>
        </w:rPr>
        <w:t xml:space="preserve">” (Sic) </w:t>
      </w:r>
    </w:p>
    <w:p w:rsidR="007A02BD" w:rsidRDefault="007A02BD">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Pr>
          <w:rFonts w:ascii="Palatino Linotype" w:eastAsia="Palatino Linotype" w:hAnsi="Palatino Linotype" w:cs="Palatino Linotype"/>
          <w:sz w:val="24"/>
          <w:szCs w:val="24"/>
          <w:vertAlign w:val="superscript"/>
        </w:rPr>
        <w:footnoteReference w:id="3"/>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ind w:right="-9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Derecho de Acceso a la Información Pública:</w:t>
      </w:r>
    </w:p>
    <w:p w:rsidR="007A02BD" w:rsidRDefault="007A02BD">
      <w:pPr>
        <w:spacing w:after="0" w:line="360" w:lineRule="auto"/>
        <w:ind w:right="-91"/>
        <w:jc w:val="both"/>
        <w:rPr>
          <w:rFonts w:ascii="Palatino Linotype" w:eastAsia="Palatino Linotype" w:hAnsi="Palatino Linotype" w:cs="Palatino Linotype"/>
          <w:sz w:val="24"/>
          <w:szCs w:val="24"/>
        </w:rPr>
      </w:pPr>
    </w:p>
    <w:p w:rsidR="007A02BD" w:rsidRDefault="003A6B43">
      <w:pPr>
        <w:pBdr>
          <w:top w:val="nil"/>
          <w:left w:val="nil"/>
          <w:bottom w:val="nil"/>
          <w:right w:val="nil"/>
          <w:between w:val="nil"/>
        </w:pBdr>
        <w:spacing w:after="0" w:line="360" w:lineRule="auto"/>
        <w:ind w:right="9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rsidR="007A02BD" w:rsidRDefault="007A02BD">
      <w:pPr>
        <w:pBdr>
          <w:top w:val="nil"/>
          <w:left w:val="nil"/>
          <w:bottom w:val="nil"/>
          <w:right w:val="nil"/>
          <w:between w:val="nil"/>
        </w:pBdr>
        <w:spacing w:after="0" w:line="360" w:lineRule="auto"/>
        <w:ind w:left="93" w:right="116"/>
        <w:rPr>
          <w:color w:val="000000"/>
          <w:sz w:val="24"/>
          <w:szCs w:val="24"/>
        </w:rPr>
      </w:pPr>
    </w:p>
    <w:p w:rsidR="007A02BD" w:rsidRDefault="003A6B43">
      <w:pPr>
        <w:pBdr>
          <w:top w:val="nil"/>
          <w:left w:val="nil"/>
          <w:bottom w:val="nil"/>
          <w:right w:val="nil"/>
          <w:between w:val="nil"/>
        </w:pBdr>
        <w:spacing w:after="0" w:line="360" w:lineRule="auto"/>
        <w:ind w:right="9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color w:val="000000"/>
          <w:sz w:val="24"/>
          <w:szCs w:val="24"/>
          <w:vertAlign w:val="superscript"/>
        </w:rPr>
        <w:footnoteReference w:id="4"/>
      </w:r>
    </w:p>
    <w:p w:rsidR="007A02BD" w:rsidRDefault="007A02BD">
      <w:pPr>
        <w:pBdr>
          <w:top w:val="nil"/>
          <w:left w:val="nil"/>
          <w:bottom w:val="nil"/>
          <w:right w:val="nil"/>
          <w:between w:val="nil"/>
        </w:pBdr>
        <w:spacing w:after="0" w:line="360" w:lineRule="auto"/>
        <w:ind w:right="99"/>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spacing w:after="0" w:line="360" w:lineRule="auto"/>
        <w:ind w:right="9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w:t>
      </w:r>
      <w:r>
        <w:rPr>
          <w:rFonts w:ascii="Palatino Linotype" w:eastAsia="Palatino Linotype" w:hAnsi="Palatino Linotype" w:cs="Palatino Linotype"/>
          <w:color w:val="000000"/>
          <w:sz w:val="24"/>
          <w:szCs w:val="24"/>
        </w:rPr>
        <w:lastRenderedPageBreak/>
        <w:t>personas y a la formación de opinión pública de calidad para poder participar y luego influir en la vida pública.”</w:t>
      </w:r>
      <w:r>
        <w:rPr>
          <w:rFonts w:ascii="Palatino Linotype" w:eastAsia="Palatino Linotype" w:hAnsi="Palatino Linotype" w:cs="Palatino Linotype"/>
          <w:color w:val="000000"/>
          <w:sz w:val="24"/>
          <w:szCs w:val="24"/>
          <w:vertAlign w:val="superscript"/>
        </w:rPr>
        <w:footnoteReference w:id="5"/>
      </w:r>
    </w:p>
    <w:p w:rsidR="007A02BD" w:rsidRDefault="007A02BD">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7A02BD" w:rsidRDefault="007A02B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A02BD" w:rsidRDefault="003A6B43">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“CRITERIO 0002-11</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TEMÁTICA DE LOS ARTÍCULOS 2, FRACCIÓN V, XV, Y XVI, 32, 4,11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Que se trate de información registrada en cualquier soporte documental, que en ejercicio de las atribuciones conferidas, sea administrada por los Sujetos Obligados, y</w:t>
      </w:r>
    </w:p>
    <w:p w:rsidR="007A02BD" w:rsidRDefault="003A6B43">
      <w:pPr>
        <w:spacing w:after="0" w:line="276"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rsidR="007A02BD" w:rsidRDefault="007A02BD">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7A02BD" w:rsidRDefault="007A02BD">
      <w:pPr>
        <w:spacing w:after="0" w:line="360" w:lineRule="auto"/>
        <w:jc w:val="both"/>
        <w:rPr>
          <w:rFonts w:ascii="Palatino Linotype" w:eastAsia="Palatino Linotype" w:hAnsi="Palatino Linotype" w:cs="Palatino Linotype"/>
          <w:b/>
          <w:sz w:val="24"/>
          <w:szCs w:val="24"/>
        </w:rPr>
      </w:pPr>
    </w:p>
    <w:p w:rsidR="007A02BD" w:rsidRDefault="003A6B43">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base a lo anterior, tenemos que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su solicitud de información requiere de una explicación o bien una razón a una consulta sobre un caso específico por parte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rsidR="007A02BD" w:rsidRDefault="007A02BD">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p>
    <w:p w:rsidR="007A02BD" w:rsidRDefault="003A6B43">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aclare una inquietud.</w:t>
      </w:r>
    </w:p>
    <w:p w:rsidR="007A02BD" w:rsidRDefault="003A6B43">
      <w:pPr>
        <w:numPr>
          <w:ilvl w:val="0"/>
          <w:numId w:val="1"/>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 xml:space="preserve">CONSTITUYE INFORMACIÓN DE LA VIDA INTERNA DEL SUJETO OBLIGADO. </w:t>
      </w:r>
    </w:p>
    <w:p w:rsidR="007A02BD" w:rsidRDefault="003A6B43">
      <w:pPr>
        <w:spacing w:before="240"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Referente al</w:t>
      </w:r>
      <w:r w:rsidRPr="003A6B43">
        <w:rPr>
          <w:rFonts w:ascii="Palatino Linotype" w:eastAsia="Palatino Linotype" w:hAnsi="Palatino Linotype" w:cs="Palatino Linotype"/>
          <w:color w:val="000000"/>
          <w:sz w:val="24"/>
          <w:szCs w:val="24"/>
        </w:rPr>
        <w:t xml:space="preserve"> padrón de ahorradores de la caja de ahorro del Sujeto Obligado, así como de las cuotas sindicales de los trabajadores afiliados al mismo</w:t>
      </w:r>
      <w:r>
        <w:rPr>
          <w:rFonts w:ascii="Palatino Linotype" w:eastAsia="Palatino Linotype" w:hAnsi="Palatino Linotype" w:cs="Palatino Linotype"/>
          <w:color w:val="000000"/>
          <w:sz w:val="24"/>
          <w:szCs w:val="24"/>
        </w:rPr>
        <w:t xml:space="preserve">, constituye información de la vida interna del sujeto obligado, la cual no es materia del ejercicio del derecho de acceso a la información; por lo que, no resulta procedente ordenar el acuerdo de clasificación, ya que  </w:t>
      </w:r>
      <w:r>
        <w:rPr>
          <w:rFonts w:ascii="Palatino Linotype" w:eastAsia="Palatino Linotype" w:hAnsi="Palatino Linotype" w:cs="Palatino Linotype"/>
          <w:sz w:val="24"/>
          <w:szCs w:val="24"/>
        </w:rPr>
        <w:t xml:space="preserve">los Sindicatos, </w:t>
      </w:r>
      <w:r>
        <w:rPr>
          <w:rFonts w:ascii="Palatino Linotype" w:eastAsia="Palatino Linotype" w:hAnsi="Palatino Linotype" w:cs="Palatino Linotype"/>
          <w:i/>
          <w:sz w:val="24"/>
          <w:szCs w:val="24"/>
        </w:rPr>
        <w:t>per se</w:t>
      </w:r>
      <w:r>
        <w:rPr>
          <w:rFonts w:ascii="Palatino Linotype" w:eastAsia="Palatino Linotype" w:hAnsi="Palatino Linotype" w:cs="Palatino Linotype"/>
          <w:sz w:val="24"/>
          <w:szCs w:val="24"/>
        </w:rPr>
        <w:t xml:space="preserve">, no desempeñan actividades en alguno de los tres órdenes de gobierno, por lo que, </w:t>
      </w:r>
      <w:r>
        <w:rPr>
          <w:rFonts w:ascii="Palatino Linotype" w:eastAsia="Palatino Linotype" w:hAnsi="Palatino Linotype" w:cs="Palatino Linotype"/>
          <w:b/>
          <w:sz w:val="24"/>
          <w:szCs w:val="24"/>
        </w:rPr>
        <w:t>no pueden, por definición realizar actos que puedan reputarse como públicos y oficiales</w:t>
      </w:r>
      <w:r>
        <w:rPr>
          <w:rFonts w:ascii="Palatino Linotype" w:eastAsia="Palatino Linotype" w:hAnsi="Palatino Linotype" w:cs="Palatino Linotype"/>
          <w:sz w:val="24"/>
          <w:szCs w:val="24"/>
        </w:rPr>
        <w:t xml:space="preserve">, al guardar la característica de ser privados; toda vez que, únicamente, en el caso de que hayan sido realizados o bien, la actividad haya sido cubierta </w:t>
      </w:r>
      <w:r>
        <w:rPr>
          <w:rFonts w:ascii="Palatino Linotype" w:eastAsia="Palatino Linotype" w:hAnsi="Palatino Linotype" w:cs="Palatino Linotype"/>
          <w:b/>
          <w:sz w:val="24"/>
          <w:szCs w:val="24"/>
        </w:rPr>
        <w:t xml:space="preserve">con recursos públicos, generan una responsabilidad </w:t>
      </w:r>
      <w:r>
        <w:rPr>
          <w:rFonts w:ascii="Palatino Linotype" w:eastAsia="Palatino Linotype" w:hAnsi="Palatino Linotype" w:cs="Palatino Linotype"/>
          <w:sz w:val="24"/>
          <w:szCs w:val="24"/>
        </w:rPr>
        <w:t>de rendición de cuentas y por lo tanto, el acto debe ser considerado de escrutinio público, al involucrar ejercicio de recursos públicos, situación que sí es de interés público y general.</w:t>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según Otero, Filiberto (2017), en la “Teoría General del Derecho de la Información y el nuevo modelo en México” (p. 37 y 38), precisó que el </w:t>
      </w:r>
      <w:r>
        <w:rPr>
          <w:rFonts w:ascii="Palatino Linotype" w:eastAsia="Palatino Linotype" w:hAnsi="Palatino Linotype" w:cs="Palatino Linotype"/>
          <w:b/>
          <w:sz w:val="24"/>
          <w:szCs w:val="24"/>
        </w:rPr>
        <w:t xml:space="preserve">acto de autoridad, es la acción u omisión unilateral, imperativa y coercible, </w:t>
      </w:r>
      <w:r>
        <w:rPr>
          <w:rFonts w:ascii="Palatino Linotype" w:eastAsia="Palatino Linotype" w:hAnsi="Palatino Linotype" w:cs="Palatino Linotype"/>
          <w:sz w:val="24"/>
          <w:szCs w:val="24"/>
        </w:rPr>
        <w:t xml:space="preserve">como consecuencia de una relación de supra-subordinación, susceptible de afectar la esfera jurídica de los administrados. </w:t>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el acto de autoridad, se entiende cualquier hecho negativo o positivo realizado por una institución pública, consistente en una decisión, ejecución o ambas, que produzcan una afectación en situaciones jurídicas o fácticas dadas y que se impongan de manera imperativa; por lo que, los sindicatos, si bien, </w:t>
      </w:r>
      <w:r>
        <w:rPr>
          <w:rFonts w:ascii="Palatino Linotype" w:eastAsia="Palatino Linotype" w:hAnsi="Palatino Linotype" w:cs="Palatino Linotype"/>
          <w:sz w:val="24"/>
          <w:szCs w:val="24"/>
          <w:u w:val="single"/>
        </w:rPr>
        <w:t>en principio no pueden realizar ese tipo de actos</w:t>
      </w:r>
      <w:r>
        <w:rPr>
          <w:rFonts w:ascii="Palatino Linotype" w:eastAsia="Palatino Linotype" w:hAnsi="Palatino Linotype" w:cs="Palatino Linotype"/>
          <w:sz w:val="24"/>
          <w:szCs w:val="24"/>
        </w:rPr>
        <w:t xml:space="preserve">, también lo es, que alguno de sus agremiados puede participar en una Comisión Mixta y que </w:t>
      </w:r>
      <w:r>
        <w:rPr>
          <w:rFonts w:ascii="Palatino Linotype" w:eastAsia="Palatino Linotype" w:hAnsi="Palatino Linotype" w:cs="Palatino Linotype"/>
          <w:b/>
          <w:sz w:val="24"/>
          <w:szCs w:val="24"/>
        </w:rPr>
        <w:t>las decisiones tomadas en dicho órgano sean actos de autoridad,</w:t>
      </w:r>
      <w:r>
        <w:rPr>
          <w:rFonts w:ascii="Palatino Linotype" w:eastAsia="Palatino Linotype" w:hAnsi="Palatino Linotype" w:cs="Palatino Linotype"/>
          <w:sz w:val="24"/>
          <w:szCs w:val="24"/>
        </w:rPr>
        <w:t xml:space="preserve"> por lo que se volverá información susceptible a transparentarse, dado que su participación trasciende en la determinación tomada en dicha comisión.</w:t>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rsidP="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se puede concluir que los documentos que den cuenta de </w:t>
      </w:r>
      <w:r>
        <w:rPr>
          <w:rFonts w:ascii="Palatino Linotype" w:eastAsia="Palatino Linotype" w:hAnsi="Palatino Linotype" w:cs="Palatino Linotype"/>
          <w:b/>
          <w:sz w:val="24"/>
          <w:szCs w:val="24"/>
        </w:rPr>
        <w:t xml:space="preserve">la recepción y ejercicio de recursos públicos o bien de la realización de actos de autoridad, </w:t>
      </w:r>
      <w:r>
        <w:rPr>
          <w:rFonts w:ascii="Palatino Linotype" w:eastAsia="Palatino Linotype" w:hAnsi="Palatino Linotype" w:cs="Palatino Linotype"/>
          <w:sz w:val="24"/>
          <w:szCs w:val="24"/>
        </w:rPr>
        <w:t xml:space="preserve">en posesión de los sindicatos, </w:t>
      </w:r>
      <w:r>
        <w:rPr>
          <w:rFonts w:ascii="Palatino Linotype" w:eastAsia="Palatino Linotype" w:hAnsi="Palatino Linotype" w:cs="Palatino Linotype"/>
          <w:b/>
          <w:sz w:val="24"/>
          <w:szCs w:val="24"/>
        </w:rPr>
        <w:t>es pública</w:t>
      </w:r>
      <w:r>
        <w:rPr>
          <w:rFonts w:ascii="Palatino Linotype" w:eastAsia="Palatino Linotype" w:hAnsi="Palatino Linotype" w:cs="Palatino Linotype"/>
          <w:sz w:val="24"/>
          <w:szCs w:val="24"/>
        </w:rPr>
        <w:t xml:space="preserve">; en razón de ello, la información que tenga la Federación de Asociaciones </w:t>
      </w:r>
      <w:r w:rsidRPr="003A6B43">
        <w:rPr>
          <w:rFonts w:ascii="Palatino Linotype" w:eastAsia="Palatino Linotype" w:hAnsi="Palatino Linotype" w:cs="Palatino Linotype"/>
          <w:sz w:val="24"/>
          <w:szCs w:val="24"/>
        </w:rPr>
        <w:t>Autónomas de Personal Académico de la Universidad Autónoma del Estado de</w:t>
      </w:r>
      <w:r>
        <w:rPr>
          <w:rFonts w:ascii="Palatino Linotype" w:eastAsia="Palatino Linotype" w:hAnsi="Palatino Linotype" w:cs="Palatino Linotype"/>
          <w:sz w:val="24"/>
          <w:szCs w:val="24"/>
        </w:rPr>
        <w:t xml:space="preserve"> </w:t>
      </w:r>
      <w:r w:rsidRPr="003A6B43">
        <w:rPr>
          <w:rFonts w:ascii="Palatino Linotype" w:eastAsia="Palatino Linotype" w:hAnsi="Palatino Linotype" w:cs="Palatino Linotype"/>
          <w:sz w:val="24"/>
          <w:szCs w:val="24"/>
        </w:rPr>
        <w:t>México</w:t>
      </w:r>
      <w:r>
        <w:rPr>
          <w:rFonts w:ascii="Palatino Linotype" w:eastAsia="Palatino Linotype" w:hAnsi="Palatino Linotype" w:cs="Palatino Linotype"/>
          <w:sz w:val="24"/>
          <w:szCs w:val="24"/>
        </w:rPr>
        <w:t>, que contengan esta característica es materia de las Leyes de transparencia.</w:t>
      </w:r>
    </w:p>
    <w:p w:rsidR="00584FBD" w:rsidRDefault="00584FBD" w:rsidP="003A6B43">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aquella información que </w:t>
      </w:r>
      <w:r>
        <w:rPr>
          <w:rFonts w:ascii="Palatino Linotype" w:eastAsia="Palatino Linotype" w:hAnsi="Palatino Linotype" w:cs="Palatino Linotype"/>
          <w:b/>
          <w:sz w:val="24"/>
          <w:szCs w:val="24"/>
        </w:rPr>
        <w:t xml:space="preserve">obre en poder de dicha organización, la cual provenga de recursos privados y se destine a la vida interna de la misma, </w:t>
      </w:r>
      <w:r>
        <w:rPr>
          <w:rFonts w:ascii="Palatino Linotype" w:eastAsia="Palatino Linotype" w:hAnsi="Palatino Linotype" w:cs="Palatino Linotype"/>
          <w:sz w:val="24"/>
          <w:szCs w:val="24"/>
        </w:rPr>
        <w:t>no está sujeta al escrutinio público en términos de la Ley de Transparencia, al no existir interés público de acceder a la misma, ya que no tiene una afectación fuera de sus agremiados.</w:t>
      </w:r>
    </w:p>
    <w:p w:rsidR="007A02BD" w:rsidRDefault="003A6B43">
      <w:pPr>
        <w:spacing w:after="0" w:line="360" w:lineRule="auto"/>
        <w:jc w:val="both"/>
        <w:rPr>
          <w:rFonts w:ascii="Palatino Linotype" w:eastAsia="Palatino Linotype" w:hAnsi="Palatino Linotype" w:cs="Palatino Linotype"/>
          <w:sz w:val="24"/>
          <w:szCs w:val="24"/>
        </w:rPr>
      </w:pPr>
      <w:bookmarkStart w:id="3" w:name="_GoBack"/>
      <w:bookmarkEnd w:id="3"/>
      <w:r>
        <w:rPr>
          <w:rFonts w:ascii="Palatino Linotype" w:eastAsia="Palatino Linotype" w:hAnsi="Palatino Linotype" w:cs="Palatino Linotype"/>
          <w:sz w:val="24"/>
          <w:szCs w:val="24"/>
        </w:rPr>
        <w:lastRenderedPageBreak/>
        <w:t>Lo anterior, toma sustento con el Convenio Internacional del Trabajo Número 87, relativo a la libertad sindical y a la protección del derecho de sindicación, que en sus artículos 3° y 8°, establece lo siguiente:</w:t>
      </w:r>
    </w:p>
    <w:p w:rsidR="007A02BD" w:rsidRDefault="007A02BD">
      <w:pPr>
        <w:spacing w:after="0" w:line="276" w:lineRule="auto"/>
        <w:jc w:val="both"/>
        <w:rPr>
          <w:rFonts w:ascii="Palatino Linotype" w:eastAsia="Palatino Linotype" w:hAnsi="Palatino Linotype" w:cs="Palatino Linotype"/>
          <w:sz w:val="24"/>
          <w:szCs w:val="24"/>
        </w:rPr>
      </w:pPr>
    </w:p>
    <w:p w:rsidR="007A02BD" w:rsidRDefault="003A6B43">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“Artículo 3</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rsidR="007A02BD" w:rsidRDefault="007A02BD">
      <w:pPr>
        <w:spacing w:after="0" w:line="276" w:lineRule="auto"/>
        <w:ind w:left="567" w:right="567"/>
        <w:jc w:val="both"/>
        <w:rPr>
          <w:rFonts w:ascii="Palatino Linotype" w:eastAsia="Palatino Linotype" w:hAnsi="Palatino Linotype" w:cs="Palatino Linotype"/>
          <w:i/>
        </w:rPr>
      </w:pP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2. Las autoridades públicas deberán abstenerse de toda intervención que tienda a limitar este derecho o a entorpecer su ejercicio legal.</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7A02BD" w:rsidRDefault="007A02BD">
      <w:pPr>
        <w:spacing w:after="0" w:line="276" w:lineRule="auto"/>
        <w:ind w:left="567" w:right="567"/>
        <w:jc w:val="both"/>
        <w:rPr>
          <w:rFonts w:ascii="Palatino Linotype" w:eastAsia="Palatino Linotype" w:hAnsi="Palatino Linotype" w:cs="Palatino Linotype"/>
          <w:b/>
          <w:i/>
        </w:rPr>
      </w:pPr>
    </w:p>
    <w:p w:rsidR="007A02BD" w:rsidRDefault="003A6B43">
      <w:pPr>
        <w:spacing w:after="0" w:line="276"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Artículo 8</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1. Al ejercer los derechos que se le reconocer en el presente Convenio, los trabajadores, los empleadores y sus organizaciones respectivas están obligados, lo mismo que las demás personas o las colectividades organizadas, a respetar la legalidad.</w:t>
      </w:r>
    </w:p>
    <w:p w:rsidR="007A02BD" w:rsidRDefault="007A02BD">
      <w:pPr>
        <w:spacing w:after="0" w:line="276" w:lineRule="auto"/>
        <w:ind w:left="567" w:right="567"/>
        <w:jc w:val="both"/>
        <w:rPr>
          <w:rFonts w:ascii="Palatino Linotype" w:eastAsia="Palatino Linotype" w:hAnsi="Palatino Linotype" w:cs="Palatino Linotype"/>
          <w:i/>
        </w:rPr>
      </w:pP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2. La legislación nacional no menoscabará, ni será aplicada de suerte que menoscabe las garantías previstas por el presente Convenio.</w:t>
      </w: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Además, resulta necesario, traer a colación la Jurisprudencia número PC.I.A. J/2 A (10a.), publicada en el Semanario Judicial de la Federación y su Gaceta, en el Libro 21, Tomo II, en agosto de dos mil quince, que establece lo siguiente:</w:t>
      </w:r>
    </w:p>
    <w:p w:rsidR="007A02BD" w:rsidRDefault="007A02BD">
      <w:pPr>
        <w:spacing w:after="0" w:line="360" w:lineRule="auto"/>
        <w:jc w:val="both"/>
        <w:rPr>
          <w:rFonts w:ascii="Palatino Linotype" w:eastAsia="Palatino Linotype" w:hAnsi="Palatino Linotype" w:cs="Palatino Linotype"/>
          <w:sz w:val="24"/>
          <w:szCs w:val="24"/>
        </w:rPr>
      </w:pPr>
    </w:p>
    <w:p w:rsidR="007A02BD" w:rsidRDefault="003A6B43">
      <w:pPr>
        <w:spacing w:after="0" w:line="276"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Pr>
          <w:rFonts w:ascii="Palatino Linotype" w:eastAsia="Palatino Linotype" w:hAnsi="Palatino Linotype" w:cs="Palatino Linotype"/>
          <w:i/>
        </w:rPr>
        <w:t xml:space="preserve">Petróleos Mexicanos y sus organismos subsidiarios (Pemex-Exploración y Producción; Pemex-Refinación; Pemex-Gas y Petroquímica Básica; y Pemex-Petroquímica), constituyen entidades que, conforme a la Ley Federal de Transparencia y 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Pr>
          <w:rFonts w:ascii="Palatino Linotype" w:eastAsia="Palatino Linotype" w:hAnsi="Palatino Linotype" w:cs="Palatino Linotype"/>
          <w:b/>
          <w:i/>
        </w:rPr>
        <w:t xml:space="preserve">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w:t>
      </w:r>
      <w:r>
        <w:rPr>
          <w:rFonts w:ascii="Palatino Linotype" w:eastAsia="Palatino Linotype" w:hAnsi="Palatino Linotype" w:cs="Palatino Linotype"/>
          <w:b/>
          <w:i/>
        </w:rPr>
        <w:lastRenderedPageBreak/>
        <w:t>actividades, o a las cuotas que sus trabajadores afiliados le aportan para el logro de los intereses gremiales.”</w:t>
      </w:r>
    </w:p>
    <w:p w:rsidR="007A02BD" w:rsidRDefault="007A02BD">
      <w:pPr>
        <w:spacing w:line="360" w:lineRule="auto"/>
        <w:jc w:val="both"/>
        <w:rPr>
          <w:rFonts w:ascii="Palatino Linotype" w:eastAsia="Palatino Linotype" w:hAnsi="Palatino Linotype" w:cs="Palatino Linotype"/>
          <w:sz w:val="24"/>
          <w:szCs w:val="24"/>
        </w:rPr>
      </w:pPr>
    </w:p>
    <w:p w:rsidR="007A02BD" w:rsidRDefault="003A6B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Pr>
          <w:rFonts w:ascii="Palatino Linotype" w:eastAsia="Palatino Linotype" w:hAnsi="Palatino Linotype" w:cs="Palatino Linotype"/>
          <w:b/>
          <w:sz w:val="24"/>
          <w:szCs w:val="24"/>
        </w:rPr>
        <w:t>no será de escrutinio</w:t>
      </w:r>
      <w:r>
        <w:rPr>
          <w:rFonts w:ascii="Palatino Linotype" w:eastAsia="Palatino Linotype" w:hAnsi="Palatino Linotype" w:cs="Palatino Linotype"/>
          <w:sz w:val="24"/>
          <w:szCs w:val="24"/>
        </w:rPr>
        <w:t>, aquella que refiera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datos propios del sindicato o de sus agremiados</w:t>
      </w:r>
      <w:r>
        <w:rPr>
          <w:rFonts w:ascii="Palatino Linotype" w:eastAsia="Palatino Linotype" w:hAnsi="Palatino Linotype" w:cs="Palatino Linotype"/>
          <w:b/>
          <w:sz w:val="24"/>
          <w:szCs w:val="24"/>
        </w:rPr>
        <w:t xml:space="preserve">, cuya difusión pudiera afectar su libertad sindical y privacidad, como persona jurídica de derecho social, así como de aquella que refiera a su administración y actividades o bien las cuotas sindicales. </w:t>
      </w:r>
    </w:p>
    <w:p w:rsidR="007A02BD" w:rsidRDefault="007A02BD">
      <w:pPr>
        <w:spacing w:after="0" w:line="360" w:lineRule="auto"/>
        <w:jc w:val="both"/>
        <w:rPr>
          <w:rFonts w:ascii="Palatino Linotype" w:eastAsia="Palatino Linotype" w:hAnsi="Palatino Linotype" w:cs="Palatino Linotype"/>
        </w:rPr>
      </w:pPr>
    </w:p>
    <w:p w:rsidR="007A02BD" w:rsidRDefault="003A6B43">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Así, se puede concluir que la única información de los sindicatos, que es materia de acceso a información pública, es aquella que documente </w:t>
      </w:r>
      <w:r>
        <w:rPr>
          <w:rFonts w:ascii="Palatino Linotype" w:eastAsia="Palatino Linotype" w:hAnsi="Palatino Linotype" w:cs="Palatino Linotype"/>
          <w:b/>
          <w:sz w:val="24"/>
          <w:szCs w:val="24"/>
        </w:rPr>
        <w:t>la recepción, uso y ejercicio de recursos públicos o bien, la realización de actos en su calidad de autoridades y no la que provenga de capital privado y se destine a su vida interna.</w:t>
      </w:r>
    </w:p>
    <w:p w:rsidR="003A6B43" w:rsidRDefault="003A6B43">
      <w:pPr>
        <w:spacing w:after="0" w:line="360" w:lineRule="auto"/>
        <w:jc w:val="both"/>
        <w:rPr>
          <w:rFonts w:ascii="Palatino Linotype" w:eastAsia="Palatino Linotype" w:hAnsi="Palatino Linotype" w:cs="Palatino Linotype"/>
          <w:sz w:val="24"/>
          <w:szCs w:val="24"/>
        </w:rPr>
      </w:pPr>
    </w:p>
    <w:p w:rsidR="007A02BD" w:rsidRDefault="003A6B43">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e</w:t>
      </w:r>
      <w:r w:rsidRPr="003A6B43">
        <w:rPr>
          <w:rFonts w:ascii="Palatino Linotype" w:eastAsia="Palatino Linotype" w:hAnsi="Palatino Linotype" w:cs="Palatino Linotype"/>
          <w:sz w:val="24"/>
          <w:szCs w:val="24"/>
        </w:rPr>
        <w:t>l padrón de ahorradores de la caja de ahorro del Sujeto Obligado, así como de las cuotas sindicales de los trabajadores afiliados al mismo</w:t>
      </w:r>
      <w:r>
        <w:rPr>
          <w:rFonts w:ascii="Palatino Linotype" w:eastAsia="Palatino Linotype" w:hAnsi="Palatino Linotype" w:cs="Palatino Linotype"/>
          <w:sz w:val="24"/>
          <w:szCs w:val="24"/>
        </w:rPr>
        <w:t xml:space="preserve">, no están constituidos por recursos públicos. </w:t>
      </w:r>
    </w:p>
    <w:p w:rsidR="003A6B43" w:rsidRDefault="003A6B43">
      <w:pPr>
        <w:spacing w:after="0" w:line="360" w:lineRule="auto"/>
        <w:ind w:right="139"/>
        <w:jc w:val="both"/>
        <w:rPr>
          <w:rFonts w:ascii="Palatino Linotype" w:eastAsia="Palatino Linotype" w:hAnsi="Palatino Linotype" w:cs="Palatino Linotype"/>
          <w:sz w:val="24"/>
          <w:szCs w:val="24"/>
        </w:rPr>
      </w:pPr>
    </w:p>
    <w:p w:rsidR="007A02BD" w:rsidRDefault="003A6B43">
      <w:pPr>
        <w:spacing w:after="0" w:line="360" w:lineRule="auto"/>
        <w:ind w:right="139"/>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Es por todo lo vertido en líneas anteriores que la suscrita emite el presente </w:t>
      </w:r>
      <w:r>
        <w:rPr>
          <w:rFonts w:ascii="Palatino Linotype" w:eastAsia="Palatino Linotype" w:hAnsi="Palatino Linotype" w:cs="Palatino Linotype"/>
          <w:b/>
          <w:sz w:val="24"/>
          <w:szCs w:val="24"/>
        </w:rPr>
        <w:t xml:space="preserve">voto disidente. </w:t>
      </w:r>
    </w:p>
    <w:p w:rsidR="007A02BD" w:rsidRDefault="007A02BD">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rsidR="007A02BD" w:rsidRDefault="007A02BD">
      <w:pPr>
        <w:pBdr>
          <w:top w:val="nil"/>
          <w:left w:val="nil"/>
          <w:bottom w:val="nil"/>
          <w:right w:val="nil"/>
          <w:between w:val="nil"/>
        </w:pBdr>
        <w:spacing w:after="0" w:line="360" w:lineRule="auto"/>
        <w:ind w:right="139"/>
        <w:jc w:val="both"/>
        <w:rPr>
          <w:rFonts w:ascii="Palatino Linotype" w:eastAsia="Palatino Linotype" w:hAnsi="Palatino Linotype" w:cs="Palatino Linotype"/>
          <w:sz w:val="23"/>
          <w:szCs w:val="23"/>
        </w:rPr>
      </w:pPr>
    </w:p>
    <w:p w:rsidR="007A02BD" w:rsidRDefault="007A02BD">
      <w:pPr>
        <w:pBdr>
          <w:top w:val="nil"/>
          <w:left w:val="nil"/>
          <w:bottom w:val="nil"/>
          <w:right w:val="nil"/>
          <w:between w:val="nil"/>
        </w:pBdr>
        <w:spacing w:after="0" w:line="360" w:lineRule="auto"/>
        <w:ind w:right="139"/>
        <w:jc w:val="both"/>
        <w:rPr>
          <w:rFonts w:ascii="Palatino Linotype" w:eastAsia="Palatino Linotype" w:hAnsi="Palatino Linotype" w:cs="Palatino Linotype"/>
          <w:sz w:val="23"/>
          <w:szCs w:val="23"/>
        </w:rPr>
      </w:pPr>
    </w:p>
    <w:p w:rsidR="007A02BD" w:rsidRDefault="007A02BD">
      <w:pPr>
        <w:spacing w:after="0" w:line="360" w:lineRule="auto"/>
        <w:ind w:right="139"/>
        <w:jc w:val="both"/>
        <w:rPr>
          <w:rFonts w:ascii="Palatino Linotype" w:eastAsia="Palatino Linotype" w:hAnsi="Palatino Linotype" w:cs="Palatino Linotype"/>
          <w:sz w:val="24"/>
          <w:szCs w:val="24"/>
        </w:rPr>
      </w:pPr>
    </w:p>
    <w:p w:rsidR="007A02BD" w:rsidRDefault="007A02BD">
      <w:pPr>
        <w:spacing w:after="0" w:line="360" w:lineRule="auto"/>
        <w:ind w:right="139"/>
        <w:jc w:val="both"/>
        <w:rPr>
          <w:rFonts w:ascii="Palatino Linotype" w:eastAsia="Palatino Linotype" w:hAnsi="Palatino Linotype" w:cs="Palatino Linotype"/>
          <w:sz w:val="24"/>
          <w:szCs w:val="24"/>
        </w:rPr>
      </w:pPr>
    </w:p>
    <w:p w:rsidR="007A02BD" w:rsidRDefault="007A02BD">
      <w:pPr>
        <w:spacing w:after="0" w:line="360" w:lineRule="auto"/>
        <w:ind w:right="139"/>
        <w:jc w:val="both"/>
        <w:rPr>
          <w:rFonts w:ascii="Palatino Linotype" w:eastAsia="Palatino Linotype" w:hAnsi="Palatino Linotype" w:cs="Palatino Linotype"/>
          <w:sz w:val="24"/>
          <w:szCs w:val="24"/>
        </w:rPr>
      </w:pPr>
    </w:p>
    <w:p w:rsidR="007A02BD" w:rsidRDefault="007A02BD">
      <w:pPr>
        <w:spacing w:after="240" w:line="360" w:lineRule="auto"/>
        <w:ind w:right="139"/>
        <w:jc w:val="both"/>
        <w:rPr>
          <w:rFonts w:ascii="Palatino Linotype" w:eastAsia="Palatino Linotype" w:hAnsi="Palatino Linotype" w:cs="Palatino Linotype"/>
          <w:sz w:val="24"/>
          <w:szCs w:val="24"/>
        </w:rPr>
      </w:pPr>
    </w:p>
    <w:p w:rsidR="007A02BD" w:rsidRDefault="007A02BD">
      <w:pPr>
        <w:spacing w:before="240" w:after="240" w:line="360" w:lineRule="auto"/>
        <w:ind w:right="139"/>
        <w:jc w:val="both"/>
        <w:rPr>
          <w:rFonts w:ascii="Palatino Linotype" w:eastAsia="Palatino Linotype" w:hAnsi="Palatino Linotype" w:cs="Palatino Linotype"/>
          <w:sz w:val="24"/>
          <w:szCs w:val="24"/>
        </w:rPr>
      </w:pPr>
    </w:p>
    <w:p w:rsidR="007A02BD" w:rsidRDefault="007A02BD">
      <w:pPr>
        <w:spacing w:before="240" w:after="240" w:line="360" w:lineRule="auto"/>
        <w:ind w:right="139"/>
        <w:jc w:val="both"/>
        <w:rPr>
          <w:rFonts w:ascii="Palatino Linotype" w:eastAsia="Palatino Linotype" w:hAnsi="Palatino Linotype" w:cs="Palatino Linotype"/>
          <w:sz w:val="24"/>
          <w:szCs w:val="24"/>
        </w:rPr>
      </w:pPr>
    </w:p>
    <w:p w:rsidR="007A02BD" w:rsidRDefault="007A02BD">
      <w:pPr>
        <w:spacing w:before="240" w:after="240" w:line="360" w:lineRule="auto"/>
        <w:ind w:right="139"/>
        <w:jc w:val="both"/>
        <w:rPr>
          <w:rFonts w:ascii="Palatino Linotype" w:eastAsia="Palatino Linotype" w:hAnsi="Palatino Linotype" w:cs="Palatino Linotype"/>
          <w:sz w:val="24"/>
          <w:szCs w:val="24"/>
        </w:rPr>
      </w:pPr>
    </w:p>
    <w:p w:rsidR="007A02BD" w:rsidRDefault="007A02BD">
      <w:pPr>
        <w:spacing w:before="240" w:after="240" w:line="360" w:lineRule="auto"/>
        <w:ind w:right="139"/>
        <w:jc w:val="both"/>
        <w:rPr>
          <w:rFonts w:ascii="Palatino Linotype" w:eastAsia="Palatino Linotype" w:hAnsi="Palatino Linotype" w:cs="Palatino Linotype"/>
          <w:sz w:val="24"/>
          <w:szCs w:val="24"/>
        </w:rPr>
      </w:pPr>
    </w:p>
    <w:p w:rsidR="007A02BD" w:rsidRDefault="007A02BD">
      <w:pPr>
        <w:spacing w:before="240" w:after="240" w:line="360" w:lineRule="auto"/>
        <w:ind w:right="139"/>
        <w:jc w:val="both"/>
        <w:rPr>
          <w:rFonts w:ascii="Palatino Linotype" w:eastAsia="Palatino Linotype" w:hAnsi="Palatino Linotype" w:cs="Palatino Linotype"/>
          <w:sz w:val="24"/>
          <w:szCs w:val="24"/>
        </w:rPr>
      </w:pPr>
    </w:p>
    <w:p w:rsidR="007A02BD" w:rsidRDefault="007A02BD"/>
    <w:p w:rsidR="007A02BD" w:rsidRDefault="007A02BD"/>
    <w:sectPr w:rsidR="007A02BD">
      <w:headerReference w:type="default" r:id="rId10"/>
      <w:footerReference w:type="default" r:id="rId11"/>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030" w:rsidRDefault="003A6B43">
      <w:pPr>
        <w:spacing w:after="0" w:line="240" w:lineRule="auto"/>
      </w:pPr>
      <w:r>
        <w:separator/>
      </w:r>
    </w:p>
  </w:endnote>
  <w:endnote w:type="continuationSeparator" w:id="0">
    <w:p w:rsidR="004D7030" w:rsidRDefault="003A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BD" w:rsidRDefault="003A6B4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4FBD">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4FBD">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7A02BD" w:rsidRDefault="007A02B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030" w:rsidRDefault="003A6B43">
      <w:pPr>
        <w:spacing w:after="0" w:line="240" w:lineRule="auto"/>
      </w:pPr>
      <w:r>
        <w:separator/>
      </w:r>
    </w:p>
  </w:footnote>
  <w:footnote w:type="continuationSeparator" w:id="0">
    <w:p w:rsidR="004D7030" w:rsidRDefault="003A6B43">
      <w:pPr>
        <w:spacing w:after="0" w:line="240" w:lineRule="auto"/>
      </w:pPr>
      <w:r>
        <w:continuationSeparator/>
      </w:r>
    </w:p>
  </w:footnote>
  <w:footnote w:id="1">
    <w:p w:rsidR="007A02BD" w:rsidRDefault="003A6B4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rsidR="007A02BD" w:rsidRDefault="003A6B43">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rsidR="007A02BD" w:rsidRDefault="003A6B43">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rsidR="007A02BD" w:rsidRDefault="003A6B43">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 w:id="5">
    <w:p w:rsidR="007A02BD" w:rsidRDefault="003A6B43">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proofErr w:type="spellStart"/>
      <w:r>
        <w:rPr>
          <w:rFonts w:ascii="Palatino Linotype" w:eastAsia="Palatino Linotype" w:hAnsi="Palatino Linotype" w:cs="Palatino Linotype"/>
          <w:color w:val="000000"/>
          <w:sz w:val="16"/>
          <w:szCs w:val="16"/>
        </w:rPr>
        <w:t>Ed.Universidad</w:t>
      </w:r>
      <w:proofErr w:type="spellEnd"/>
      <w:r>
        <w:rPr>
          <w:rFonts w:ascii="Palatino Linotype" w:eastAsia="Palatino Linotype" w:hAnsi="Palatino Linotype" w:cs="Palatino Linotype"/>
          <w:color w:val="000000"/>
          <w:sz w:val="16"/>
          <w:szCs w:val="16"/>
        </w:rPr>
        <w:t xml:space="preserve">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BD" w:rsidRDefault="003A6B4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simplePos x="0" y="0"/>
          <wp:positionH relativeFrom="column">
            <wp:posOffset>-647061</wp:posOffset>
          </wp:positionH>
          <wp:positionV relativeFrom="paragraph">
            <wp:posOffset>-711196</wp:posOffset>
          </wp:positionV>
          <wp:extent cx="7510628" cy="9883775"/>
          <wp:effectExtent l="0" t="0" r="0" b="0"/>
          <wp:wrapNone/>
          <wp:docPr id="16127549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A02BD" w:rsidRDefault="003A6B4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00730/INFOEM/IP/RR/2024.</w:t>
    </w:r>
  </w:p>
  <w:p w:rsidR="007A02BD" w:rsidRDefault="007A02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7A02BD" w:rsidRDefault="003A6B4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noProof/>
      </w:rPr>
      <mc:AlternateContent>
        <mc:Choice Requires="wpg">
          <w:drawing>
            <wp:anchor distT="0" distB="0" distL="0" distR="0" simplePos="0" relativeHeight="251659264" behindDoc="1" locked="0" layoutInCell="1" hidden="0" allowOverlap="1">
              <wp:simplePos x="0" y="0"/>
              <wp:positionH relativeFrom="column">
                <wp:posOffset>-12598399</wp:posOffset>
              </wp:positionH>
              <wp:positionV relativeFrom="paragraph">
                <wp:posOffset>-11937999</wp:posOffset>
              </wp:positionV>
              <wp:extent cx="30810689" cy="30810689"/>
              <wp:effectExtent l="0" t="0" r="0" b="0"/>
              <wp:wrapNone/>
              <wp:docPr id="1612754945" name=""/>
              <wp:cNvGraphicFramePr/>
              <a:graphic xmlns:a="http://schemas.openxmlformats.org/drawingml/2006/main">
                <a:graphicData uri="http://schemas.microsoft.com/office/word/2010/wordprocessingShape">
                  <wps:wsp>
                    <wps:cNvSpPr/>
                    <wps:spPr>
                      <a:xfrm rot="-2761922">
                        <a:off x="1971017" y="3326833"/>
                        <a:ext cx="6749966" cy="906334"/>
                      </a:xfrm>
                      <a:prstGeom prst="rect">
                        <a:avLst/>
                      </a:prstGeom>
                      <a:noFill/>
                      <a:ln>
                        <a:noFill/>
                      </a:ln>
                    </wps:spPr>
                    <wps:txbx>
                      <w:txbxContent>
                        <w:p w:rsidR="007A02BD" w:rsidRDefault="007A02BD">
                          <w:pPr>
                            <w:spacing w:before="240" w:after="240" w:line="360"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-12598399</wp:posOffset>
              </wp:positionH>
              <wp:positionV relativeFrom="paragraph">
                <wp:posOffset>-11937999</wp:posOffset>
              </wp:positionV>
              <wp:extent cx="30810689" cy="30810689"/>
              <wp:effectExtent b="0" l="0" r="0" t="0"/>
              <wp:wrapNone/>
              <wp:docPr id="16127549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810689" cy="3081068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51FFB"/>
    <w:multiLevelType w:val="multilevel"/>
    <w:tmpl w:val="1A56BFD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7D5ED5"/>
    <w:multiLevelType w:val="multilevel"/>
    <w:tmpl w:val="B074E26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E6287E"/>
    <w:multiLevelType w:val="multilevel"/>
    <w:tmpl w:val="59325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BD"/>
    <w:rsid w:val="003A6B43"/>
    <w:rsid w:val="004D7030"/>
    <w:rsid w:val="00584FBD"/>
    <w:rsid w:val="007A0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2A9CD-33A3-4D4B-A2B0-C2C989E3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4D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24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40D8"/>
    <w:rPr>
      <w:rFonts w:ascii="Calibri" w:eastAsia="Calibri" w:hAnsi="Calibri" w:cs="Calibri"/>
      <w:lang w:eastAsia="es-MX"/>
    </w:rPr>
  </w:style>
  <w:style w:type="paragraph" w:styleId="Piedepgina">
    <w:name w:val="footer"/>
    <w:basedOn w:val="Normal"/>
    <w:link w:val="PiedepginaCar"/>
    <w:uiPriority w:val="99"/>
    <w:unhideWhenUsed/>
    <w:rsid w:val="00624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0D8"/>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240D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240D8"/>
    <w:rPr>
      <w:rFonts w:ascii="Calibri" w:eastAsia="Calibri" w:hAnsi="Calibri" w:cs="Calibri"/>
      <w:lang w:eastAsia="es-MX"/>
    </w:rPr>
  </w:style>
  <w:style w:type="paragraph" w:styleId="Sinespaciado">
    <w:name w:val="No Spacing"/>
    <w:aliases w:val="Francesa,INAI"/>
    <w:link w:val="SinespaciadoCar"/>
    <w:uiPriority w:val="1"/>
    <w:qFormat/>
    <w:rsid w:val="006240D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240D8"/>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BGou6CHe2F6MmbMgtrlc4QlNw==">CgMxLjAyCWguMWZvYjl0ZTIIaC5namRneHMyCGgudHlqY3d0OAByITFhQ2tvbE41Yk85YzlBbXVIRFdmSV80cXpnLVI1c1pGcQ==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4326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dcterms:created xsi:type="dcterms:W3CDTF">2024-08-19T21:53:00Z</dcterms:created>
  <dcterms:modified xsi:type="dcterms:W3CDTF">2024-08-19T21:58:00Z</dcterms:modified>
</cp:coreProperties>
</file>