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94" w:rsidRDefault="00ED5CAF" w:rsidP="003C7894">
      <w:pPr>
        <w:spacing w:before="240" w:after="240" w:line="360" w:lineRule="auto"/>
        <w:ind w:right="139"/>
        <w:contextualSpacing/>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sz w:val="24"/>
          <w:szCs w:val="24"/>
        </w:rPr>
        <w:t xml:space="preserve">ERCERA SESIÓN ORDINARIA CELEBRADA EL TREINTA Y UNO DE ENERO DE DOS MIL VEINTICUATRO, EN EL RECURSO DE REVISIÓN </w:t>
      </w:r>
      <w:r w:rsidRPr="003C7894">
        <w:rPr>
          <w:rFonts w:ascii="Palatino Linotype" w:eastAsia="Palatino Linotype" w:hAnsi="Palatino Linotype" w:cs="Palatino Linotype"/>
          <w:b/>
          <w:sz w:val="24"/>
          <w:szCs w:val="24"/>
        </w:rPr>
        <w:t>08</w:t>
      </w:r>
      <w:r w:rsidR="003C7894" w:rsidRPr="003C7894">
        <w:rPr>
          <w:rFonts w:ascii="Palatino Linotype" w:eastAsia="Palatino Linotype" w:hAnsi="Palatino Linotype" w:cs="Palatino Linotype"/>
          <w:b/>
          <w:sz w:val="24"/>
          <w:szCs w:val="24"/>
        </w:rPr>
        <w:t>526</w:t>
      </w:r>
      <w:r w:rsidRPr="003C7894">
        <w:rPr>
          <w:rFonts w:ascii="Palatino Linotype" w:eastAsia="Palatino Linotype" w:hAnsi="Palatino Linotype" w:cs="Palatino Linotype"/>
          <w:b/>
          <w:sz w:val="24"/>
          <w:szCs w:val="24"/>
        </w:rPr>
        <w:t>/INFOEM/IP/RR/2023</w:t>
      </w:r>
      <w:r w:rsidR="003C7894" w:rsidRPr="003C7894">
        <w:rPr>
          <w:rFonts w:ascii="Palatino Linotype" w:eastAsia="Palatino Linotype" w:hAnsi="Palatino Linotype" w:cs="Palatino Linotype"/>
          <w:b/>
          <w:sz w:val="24"/>
          <w:szCs w:val="24"/>
        </w:rPr>
        <w:t xml:space="preserve">. </w:t>
      </w:r>
      <w:bookmarkStart w:id="1" w:name="_heading=h.1fob9te" w:colFirst="0" w:colLast="0"/>
      <w:bookmarkEnd w:id="1"/>
    </w:p>
    <w:p w:rsidR="003C7894" w:rsidRDefault="003C7894" w:rsidP="003C7894">
      <w:pPr>
        <w:spacing w:before="240" w:after="240" w:line="360" w:lineRule="auto"/>
        <w:ind w:right="139"/>
        <w:contextualSpacing/>
        <w:jc w:val="both"/>
        <w:rPr>
          <w:rFonts w:ascii="Palatino Linotype" w:eastAsia="Palatino Linotype" w:hAnsi="Palatino Linotype" w:cs="Palatino Linotype"/>
          <w:b/>
          <w:sz w:val="24"/>
          <w:szCs w:val="24"/>
        </w:rPr>
      </w:pPr>
      <w:bookmarkStart w:id="2" w:name="_GoBack"/>
      <w:bookmarkEnd w:id="2"/>
    </w:p>
    <w:p w:rsidR="00410B7C" w:rsidRDefault="00ED5CAF" w:rsidP="003C7894">
      <w:pPr>
        <w:spacing w:before="240" w:after="240" w:line="360" w:lineRule="auto"/>
        <w:ind w:right="13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que suscribe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res</w:t>
      </w:r>
      <w:r>
        <w:rPr>
          <w:rFonts w:ascii="Palatino Linotype" w:eastAsia="Palatino Linotype" w:hAnsi="Palatino Linotype" w:cs="Palatino Linotype"/>
          <w:sz w:val="24"/>
          <w:szCs w:val="24"/>
        </w:rPr>
        <w:t xml:space="preserve">pecto a la resolución dictada en el recurso de revisión número </w:t>
      </w:r>
      <w:r>
        <w:rPr>
          <w:rFonts w:ascii="Palatino Linotype" w:eastAsia="Palatino Linotype" w:hAnsi="Palatino Linotype" w:cs="Palatino Linotype"/>
          <w:b/>
          <w:sz w:val="24"/>
          <w:szCs w:val="24"/>
        </w:rPr>
        <w:t xml:space="preserve">08526/INFOEM/IP/RR/2023, </w:t>
      </w:r>
      <w:r>
        <w:rPr>
          <w:rFonts w:ascii="Palatino Linotype" w:eastAsia="Palatino Linotype" w:hAnsi="Palatino Linotype" w:cs="Palatino Linotype"/>
          <w:sz w:val="24"/>
          <w:szCs w:val="24"/>
        </w:rPr>
        <w:t>pronunciada por el Pleno de este Instituto ante el proyecto presentado por el Comisionado Luis Gustavo Parra Noriega, el cual se formuló, conforme al tenor siguiente:</w:t>
      </w:r>
    </w:p>
    <w:p w:rsidR="003C7894" w:rsidRDefault="003C7894" w:rsidP="003C7894">
      <w:pPr>
        <w:spacing w:before="240" w:after="240" w:line="360" w:lineRule="auto"/>
        <w:ind w:right="139"/>
        <w:contextualSpacing/>
        <w:jc w:val="both"/>
        <w:rPr>
          <w:rFonts w:ascii="Palatino Linotype" w:eastAsia="Palatino Linotype" w:hAnsi="Palatino Linotype" w:cs="Palatino Linotype"/>
          <w:b/>
          <w:sz w:val="24"/>
          <w:szCs w:val="24"/>
        </w:rPr>
      </w:pPr>
    </w:p>
    <w:p w:rsidR="00410B7C" w:rsidRDefault="00ED5CAF">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I</w:t>
      </w:r>
      <w:r>
        <w:rPr>
          <w:rFonts w:ascii="Palatino Linotype" w:eastAsia="Palatino Linotype" w:hAnsi="Palatino Linotype" w:cs="Palatino Linotype"/>
          <w:b/>
          <w:sz w:val="24"/>
          <w:szCs w:val="24"/>
        </w:rPr>
        <w:t>. Antecedentes.</w:t>
      </w:r>
    </w:p>
    <w:p w:rsidR="00410B7C" w:rsidRDefault="00ED5CAF">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quedó debidamente asentado en la resolución, materia del presente voto particular, la persona solicitante requirió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entrega de lo siguiente:</w:t>
      </w:r>
    </w:p>
    <w:p w:rsidR="00410B7C" w:rsidRDefault="00ED5CAF">
      <w:pPr>
        <w:pBdr>
          <w:top w:val="nil"/>
          <w:left w:val="nil"/>
          <w:bottom w:val="nil"/>
          <w:right w:val="nil"/>
          <w:between w:val="nil"/>
        </w:pBdr>
        <w:spacing w:after="0" w:line="276" w:lineRule="auto"/>
        <w:ind w:left="720" w:right="47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w:t>
      </w:r>
      <w:r>
        <w:rPr>
          <w:rFonts w:ascii="Palatino Linotype" w:eastAsia="Palatino Linotype" w:hAnsi="Palatino Linotype" w:cs="Palatino Linotype"/>
          <w:i/>
          <w:color w:val="000000"/>
        </w:rPr>
        <w:t xml:space="preserve">Los recibos de </w:t>
      </w:r>
      <w:proofErr w:type="spellStart"/>
      <w:r>
        <w:rPr>
          <w:rFonts w:ascii="Palatino Linotype" w:eastAsia="Palatino Linotype" w:hAnsi="Palatino Linotype" w:cs="Palatino Linotype"/>
          <w:i/>
          <w:color w:val="000000"/>
        </w:rPr>
        <w:t>nomina</w:t>
      </w:r>
      <w:proofErr w:type="spellEnd"/>
      <w:r>
        <w:rPr>
          <w:rFonts w:ascii="Palatino Linotype" w:eastAsia="Palatino Linotype" w:hAnsi="Palatino Linotype" w:cs="Palatino Linotype"/>
          <w:i/>
          <w:color w:val="000000"/>
        </w:rPr>
        <w:t xml:space="preserve"> en versión pública de los años 2020, 2021, 2022 y</w:t>
      </w:r>
      <w:r>
        <w:rPr>
          <w:rFonts w:ascii="Palatino Linotype" w:eastAsia="Palatino Linotype" w:hAnsi="Palatino Linotype" w:cs="Palatino Linotype"/>
          <w:i/>
          <w:color w:val="000000"/>
        </w:rPr>
        <w:t xml:space="preserve"> 2023 del C. Rodrigo Murillo </w:t>
      </w:r>
      <w:proofErr w:type="spellStart"/>
      <w:r>
        <w:rPr>
          <w:rFonts w:ascii="Palatino Linotype" w:eastAsia="Palatino Linotype" w:hAnsi="Palatino Linotype" w:cs="Palatino Linotype"/>
          <w:i/>
          <w:color w:val="000000"/>
        </w:rPr>
        <w:t>Berrum</w:t>
      </w:r>
      <w:proofErr w:type="spellEnd"/>
      <w:r>
        <w:rPr>
          <w:rFonts w:ascii="Palatino Linotype" w:eastAsia="Palatino Linotype" w:hAnsi="Palatino Linotype" w:cs="Palatino Linotype"/>
          <w:i/>
          <w:color w:val="000000"/>
        </w:rPr>
        <w:t>” (Sic)</w:t>
      </w:r>
    </w:p>
    <w:p w:rsidR="00410B7C" w:rsidRDefault="00410B7C">
      <w:pPr>
        <w:pBdr>
          <w:top w:val="nil"/>
          <w:left w:val="nil"/>
          <w:bottom w:val="nil"/>
          <w:right w:val="nil"/>
          <w:between w:val="nil"/>
        </w:pBdr>
        <w:spacing w:after="0" w:line="360" w:lineRule="auto"/>
        <w:ind w:left="720" w:right="474"/>
        <w:jc w:val="both"/>
        <w:rPr>
          <w:rFonts w:ascii="Palatino Linotype" w:eastAsia="Palatino Linotype" w:hAnsi="Palatino Linotype" w:cs="Palatino Linotype"/>
          <w:i/>
          <w:color w:val="000000"/>
          <w:sz w:val="24"/>
          <w:szCs w:val="24"/>
        </w:rPr>
      </w:pPr>
    </w:p>
    <w:p w:rsidR="00410B7C" w:rsidRDefault="00ED5CAF">
      <w:pPr>
        <w:tabs>
          <w:tab w:val="left" w:pos="567"/>
        </w:tabs>
        <w:spacing w:after="0" w:line="360" w:lineRule="auto"/>
        <w:ind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entregó de lo siguiente: </w:t>
      </w:r>
    </w:p>
    <w:p w:rsidR="00410B7C" w:rsidRDefault="00410B7C">
      <w:pPr>
        <w:tabs>
          <w:tab w:val="left" w:pos="567"/>
        </w:tabs>
        <w:spacing w:after="0" w:line="360" w:lineRule="auto"/>
        <w:ind w:right="567"/>
        <w:jc w:val="both"/>
        <w:rPr>
          <w:rFonts w:ascii="Palatino Linotype" w:eastAsia="Palatino Linotype" w:hAnsi="Palatino Linotype" w:cs="Palatino Linotype"/>
          <w:sz w:val="24"/>
          <w:szCs w:val="24"/>
        </w:rPr>
      </w:pPr>
    </w:p>
    <w:p w:rsidR="00410B7C" w:rsidRDefault="00ED5CAF">
      <w:pPr>
        <w:tabs>
          <w:tab w:val="left" w:pos="567"/>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i) Oficio número 22800007010000S/2921/UT/2023, de fecha cuatro de diciembre de dos mil veintitrés, suscrito por el Titular de la Unidad de Transparencia, y dirigido al Solicitante, por medio del cual se precisó lo siguiente:</w:t>
      </w:r>
    </w:p>
    <w:p w:rsidR="00410B7C" w:rsidRDefault="00410B7C">
      <w:pPr>
        <w:tabs>
          <w:tab w:val="left" w:pos="567"/>
        </w:tabs>
        <w:spacing w:after="0" w:line="360" w:lineRule="auto"/>
        <w:jc w:val="both"/>
        <w:rPr>
          <w:rFonts w:ascii="Palatino Linotype" w:eastAsia="Palatino Linotype" w:hAnsi="Palatino Linotype" w:cs="Palatino Linotype"/>
        </w:rPr>
      </w:pP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Al respecto, en el entendido que el recibo de nómina contiene las percepciones y deducciones erogadas por el ejercicio del empleo, cargo o comisión; de las personas servidoras públicas; le hago de conocimiento que la remuneración que perciben los servidore</w:t>
      </w:r>
      <w:r>
        <w:rPr>
          <w:rFonts w:ascii="Palatino Linotype" w:eastAsia="Palatino Linotype" w:hAnsi="Palatino Linotype" w:cs="Palatino Linotype"/>
          <w:i/>
        </w:rPr>
        <w:t>s públicos, se encuentra disponible para consulta pública a través del sistema de Información Pública de Oficio Mexiquense (IPOMEX), consultado en siguiente enlace:</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hyperlink r:id="rId7">
        <w:r>
          <w:rPr>
            <w:rFonts w:ascii="Palatino Linotype" w:eastAsia="Palatino Linotype" w:hAnsi="Palatino Linotype" w:cs="Palatino Linotype"/>
            <w:i/>
            <w:color w:val="0000FF"/>
            <w:u w:val="single"/>
          </w:rPr>
          <w:t>https://</w:t>
        </w:r>
        <w:r>
          <w:rPr>
            <w:rFonts w:ascii="Palatino Linotype" w:eastAsia="Palatino Linotype" w:hAnsi="Palatino Linotype" w:cs="Palatino Linotype"/>
            <w:i/>
            <w:color w:val="0000FF"/>
            <w:u w:val="single"/>
          </w:rPr>
          <w:t>ipomex.org.mx/ipo3/lgt/indice/EDUCACION/art_92_viii.web</w:t>
        </w:r>
      </w:hyperlink>
    </w:p>
    <w:p w:rsidR="00410B7C" w:rsidRDefault="00ED5CAF">
      <w:pPr>
        <w:tabs>
          <w:tab w:val="left" w:pos="567"/>
        </w:tabs>
        <w:spacing w:line="360" w:lineRule="auto"/>
        <w:ind w:left="567" w:right="567"/>
        <w:jc w:val="center"/>
        <w:rPr>
          <w:rFonts w:ascii="Palatino Linotype" w:eastAsia="Palatino Linotype" w:hAnsi="Palatino Linotype" w:cs="Palatino Linotype"/>
          <w:i/>
        </w:rPr>
      </w:pPr>
      <w:r>
        <w:rPr>
          <w:rFonts w:ascii="Palatino Linotype" w:eastAsia="Palatino Linotype" w:hAnsi="Palatino Linotype" w:cs="Palatino Linotype"/>
          <w:i/>
          <w:noProof/>
        </w:rPr>
        <w:lastRenderedPageBreak/>
        <w:drawing>
          <wp:inline distT="0" distB="0" distL="0" distR="0">
            <wp:extent cx="4867954" cy="3191320"/>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4867954" cy="3191320"/>
                    </a:xfrm>
                    <a:prstGeom prst="rect">
                      <a:avLst/>
                    </a:prstGeom>
                    <a:ln/>
                  </pic:spPr>
                </pic:pic>
              </a:graphicData>
            </a:graphic>
          </wp:inline>
        </w:drawing>
      </w:r>
    </w:p>
    <w:p w:rsidR="00410B7C" w:rsidRDefault="00410B7C">
      <w:pPr>
        <w:tabs>
          <w:tab w:val="left" w:pos="567"/>
        </w:tabs>
        <w:spacing w:line="360" w:lineRule="auto"/>
        <w:ind w:left="567" w:right="567"/>
        <w:jc w:val="both"/>
        <w:rPr>
          <w:rFonts w:ascii="Palatino Linotype" w:eastAsia="Palatino Linotype" w:hAnsi="Palatino Linotype" w:cs="Palatino Linotype"/>
          <w:i/>
        </w:rPr>
      </w:pP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Lo anterior, de conformidad a lo establecido por los artículos 12 y 161 de la Ley de Transparencia y Acceso a la Información Pública del Estado de México y Municipios, </w:t>
      </w:r>
      <w:proofErr w:type="gramStart"/>
      <w:r>
        <w:rPr>
          <w:rFonts w:ascii="Palatino Linotype" w:eastAsia="Palatino Linotype" w:hAnsi="Palatino Linotype" w:cs="Palatino Linotype"/>
          <w:i/>
        </w:rPr>
        <w:t>señalan</w:t>
      </w:r>
      <w:proofErr w:type="gramEnd"/>
      <w:r>
        <w:rPr>
          <w:rFonts w:ascii="Palatino Linotype" w:eastAsia="Palatino Linotype" w:hAnsi="Palatino Linotype" w:cs="Palatino Linotype"/>
          <w:i/>
        </w:rPr>
        <w:t>:</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“Artículo12. Quienes</w:t>
      </w:r>
      <w:r>
        <w:rPr>
          <w:rFonts w:ascii="Palatino Linotype" w:eastAsia="Palatino Linotype" w:hAnsi="Palatino Linotype" w:cs="Palatino Linotype"/>
          <w:i/>
        </w:rPr>
        <w:t xml:space="preserve"> generen, recopilen, administren, manejen, procesen, archiven o conserven información pública serán responsables de la misma en los términos de las disposiciones  jurídicas aplicables. Los sujetos obligados sólo proporcionarán la información pública que se</w:t>
      </w:r>
      <w:r>
        <w:rPr>
          <w:rFonts w:ascii="Palatino Linotype" w:eastAsia="Palatino Linotype" w:hAnsi="Palatino Linotype" w:cs="Palatino Linotype"/>
          <w:i/>
        </w:rPr>
        <w:t xml:space="preserve"> les requiera y que obre en sus archivos y en el estado en que ésta se encuentre.</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La obligación de proporcionar información no comprende  el procesamiento de la misma, ni el presentarla conforme al interés del solicitante; no estarán obligados a generarla,</w:t>
      </w:r>
      <w:r>
        <w:rPr>
          <w:rFonts w:ascii="Palatino Linotype" w:eastAsia="Palatino Linotype" w:hAnsi="Palatino Linotype" w:cs="Palatino Linotype"/>
          <w:i/>
        </w:rPr>
        <w:t xml:space="preserve"> resumirla, efectuar cálculos o practicar investigaciones”.</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 161. Cuando la información requerida por el solicitante ya esté disponible al público en medios impresos, tales como libros, compendios, trípticos, registros públicos, en formatos electr</w:t>
      </w:r>
      <w:r>
        <w:rPr>
          <w:rFonts w:ascii="Palatino Linotype" w:eastAsia="Palatino Linotype" w:hAnsi="Palatino Linotype" w:cs="Palatino Linotype"/>
          <w:i/>
        </w:rPr>
        <w:t>ónicos disponibles en Internet o en cualquier otro medio, se le hará saber por el medio requerido por el solicitante la fuente, el lugar y la forma en que puede consultar, reproducir o adquirir dicha información en un plazo no mayor a cinco días hábiles. L</w:t>
      </w:r>
      <w:r>
        <w:rPr>
          <w:rFonts w:ascii="Palatino Linotype" w:eastAsia="Palatino Linotype" w:hAnsi="Palatino Linotype" w:cs="Palatino Linotype"/>
          <w:i/>
        </w:rPr>
        <w:t>a fuente deberá ser precisa y concreta y no debe implicar que el solicitante realice una búsqueda en toda la información que se encuentre disponible.</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Por otra parte, el Manual General de Organización de la Secretaria de Finanzas establece como objetivo de </w:t>
      </w:r>
      <w:r>
        <w:rPr>
          <w:rFonts w:ascii="Palatino Linotype" w:eastAsia="Palatino Linotype" w:hAnsi="Palatino Linotype" w:cs="Palatino Linotype"/>
          <w:i/>
        </w:rPr>
        <w:t>la Dirección de Remuneraciones al Personal el de: “coordinar la sistematización y actualización de la información relativa a la situación laboral de las y los servidores públicos de las dependencias y órganos administrativos desconcentrados del Poder Ejecu</w:t>
      </w:r>
      <w:r>
        <w:rPr>
          <w:rFonts w:ascii="Palatino Linotype" w:eastAsia="Palatino Linotype" w:hAnsi="Palatino Linotype" w:cs="Palatino Linotype"/>
          <w:i/>
        </w:rPr>
        <w:t>tivo del Estado a través del Sistema de Nómina del Sector Central del Poder Ejecutivo, y entregarles las percepciones a quien tienen derecho por la prestación de sus servicios”, así como la siguiente función:</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“Entregar  las remuneraciones a las y los servi</w:t>
      </w:r>
      <w:r>
        <w:rPr>
          <w:rFonts w:ascii="Palatino Linotype" w:eastAsia="Palatino Linotype" w:hAnsi="Palatino Linotype" w:cs="Palatino Linotype"/>
          <w:i/>
        </w:rPr>
        <w:t>dores públicos de las dependencias y órganos administrativos desconcentrados del Poder Ejecutivo en coordinación con la Dirección General de Recaudación.</w:t>
      </w:r>
    </w:p>
    <w:p w:rsidR="00410B7C" w:rsidRDefault="00410B7C">
      <w:pPr>
        <w:tabs>
          <w:tab w:val="left" w:pos="567"/>
        </w:tabs>
        <w:spacing w:line="360" w:lineRule="auto"/>
        <w:ind w:left="567" w:right="567"/>
        <w:jc w:val="both"/>
        <w:rPr>
          <w:rFonts w:ascii="Palatino Linotype" w:eastAsia="Palatino Linotype" w:hAnsi="Palatino Linotype" w:cs="Palatino Linotype"/>
          <w:i/>
        </w:rPr>
      </w:pP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Los recibos de nómina se refieren a un trámite personal que se obtiene a través del portal de Gestión</w:t>
      </w:r>
      <w:r>
        <w:rPr>
          <w:rFonts w:ascii="Palatino Linotype" w:eastAsia="Palatino Linotype" w:hAnsi="Palatino Linotype" w:cs="Palatino Linotype"/>
          <w:i/>
        </w:rPr>
        <w:t xml:space="preserve"> Interna (g2g), que es operado por la Dirección General de Personal de la Subsecretaría de la Administración, como se aprecia en la imagen siguiente:</w:t>
      </w:r>
    </w:p>
    <w:p w:rsidR="00410B7C" w:rsidRDefault="00410B7C">
      <w:pPr>
        <w:tabs>
          <w:tab w:val="left" w:pos="567"/>
        </w:tabs>
        <w:spacing w:line="360" w:lineRule="auto"/>
        <w:ind w:left="567" w:right="567"/>
        <w:jc w:val="both"/>
        <w:rPr>
          <w:rFonts w:ascii="Palatino Linotype" w:eastAsia="Palatino Linotype" w:hAnsi="Palatino Linotype" w:cs="Palatino Linotype"/>
          <w:i/>
        </w:rPr>
      </w:pPr>
    </w:p>
    <w:p w:rsidR="00410B7C" w:rsidRDefault="00ED5CAF">
      <w:pPr>
        <w:tabs>
          <w:tab w:val="left" w:pos="567"/>
        </w:tabs>
        <w:spacing w:line="360" w:lineRule="auto"/>
        <w:ind w:left="567" w:right="567"/>
        <w:jc w:val="center"/>
        <w:rPr>
          <w:rFonts w:ascii="Palatino Linotype" w:eastAsia="Palatino Linotype" w:hAnsi="Palatino Linotype" w:cs="Palatino Linotype"/>
          <w:i/>
        </w:rPr>
      </w:pPr>
      <w:r>
        <w:rPr>
          <w:rFonts w:ascii="Palatino Linotype" w:eastAsia="Palatino Linotype" w:hAnsi="Palatino Linotype" w:cs="Palatino Linotype"/>
          <w:i/>
          <w:noProof/>
        </w:rPr>
        <w:drawing>
          <wp:inline distT="0" distB="0" distL="0" distR="0">
            <wp:extent cx="4419600" cy="1826748"/>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419600" cy="1826748"/>
                    </a:xfrm>
                    <a:prstGeom prst="rect">
                      <a:avLst/>
                    </a:prstGeom>
                    <a:ln/>
                  </pic:spPr>
                </pic:pic>
              </a:graphicData>
            </a:graphic>
          </wp:inline>
        </w:drawing>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Adicionalmente, la norma 20301/082-03 del Manual de Normas y Procedimientos de Desarrollo y Administrac</w:t>
      </w:r>
      <w:r>
        <w:rPr>
          <w:rFonts w:ascii="Palatino Linotype" w:eastAsia="Palatino Linotype" w:hAnsi="Palatino Linotype" w:cs="Palatino Linotype"/>
          <w:i/>
        </w:rPr>
        <w:t>ión de Personal prevé que “La Dirección General del Sistema Estatal de Informática será responsable de generar la información de los comprobantes de percepciones y deducciones (20301/NP-46/16), que correspondan a cada servidora pública y servidor público e</w:t>
      </w:r>
      <w:r>
        <w:rPr>
          <w:rFonts w:ascii="Palatino Linotype" w:eastAsia="Palatino Linotype" w:hAnsi="Palatino Linotype" w:cs="Palatino Linotype"/>
          <w:i/>
        </w:rPr>
        <w:t>n los que consten los conceptos de pago y de retenciones. Es responsabilidad de las  coordinaciones administrativas o equivalentes de las dependencias informar a las servidoras públicas y los servidores públicos la forma de obtención de sus comprobantes de</w:t>
      </w:r>
      <w:r>
        <w:rPr>
          <w:rFonts w:ascii="Palatino Linotype" w:eastAsia="Palatino Linotype" w:hAnsi="Palatino Linotype" w:cs="Palatino Linotype"/>
          <w:i/>
        </w:rPr>
        <w:t xml:space="preserve"> percepciones y deducciones, </w:t>
      </w:r>
      <w:proofErr w:type="spellStart"/>
      <w:r>
        <w:rPr>
          <w:rFonts w:ascii="Palatino Linotype" w:eastAsia="Palatino Linotype" w:hAnsi="Palatino Linotype" w:cs="Palatino Linotype"/>
          <w:i/>
        </w:rPr>
        <w:t>asÍ</w:t>
      </w:r>
      <w:proofErr w:type="spellEnd"/>
      <w:r>
        <w:rPr>
          <w:rFonts w:ascii="Palatino Linotype" w:eastAsia="Palatino Linotype" w:hAnsi="Palatino Linotype" w:cs="Palatino Linotype"/>
          <w:i/>
        </w:rPr>
        <w:t xml:space="preserve"> como constancia quincenal y anualizada de las mismas a través del portal electrónico del Gobierno del Estado de México.”</w:t>
      </w:r>
    </w:p>
    <w:p w:rsidR="00410B7C" w:rsidRDefault="00410B7C">
      <w:pPr>
        <w:tabs>
          <w:tab w:val="left" w:pos="567"/>
        </w:tabs>
        <w:spacing w:line="360" w:lineRule="auto"/>
        <w:ind w:left="567" w:right="567"/>
        <w:jc w:val="both"/>
        <w:rPr>
          <w:rFonts w:ascii="Palatino Linotype" w:eastAsia="Palatino Linotype" w:hAnsi="Palatino Linotype" w:cs="Palatino Linotype"/>
          <w:i/>
        </w:rPr>
      </w:pP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ese tenor, se le sugiere atentamente, presentar su solicitud de información sobre recibos de nómin</w:t>
      </w:r>
      <w:r>
        <w:rPr>
          <w:rFonts w:ascii="Palatino Linotype" w:eastAsia="Palatino Linotype" w:hAnsi="Palatino Linotype" w:cs="Palatino Linotype"/>
          <w:i/>
        </w:rPr>
        <w:t xml:space="preserve">a ante la Unidad de Transparencia de la Secretaría de Finanzas, ubicada en Calle Lerdo Poniente, No. Exterior 300, Piso 2, Puerta 345, Colonia Centro, Código Postal, 50000, Municipio de Toluca, teléfono 722 2760066 extensión 7366, correo eléctrico: </w:t>
      </w:r>
      <w:hyperlink r:id="rId10">
        <w:r>
          <w:rPr>
            <w:rFonts w:ascii="Palatino Linotype" w:eastAsia="Palatino Linotype" w:hAnsi="Palatino Linotype" w:cs="Palatino Linotype"/>
            <w:i/>
            <w:color w:val="0000FF"/>
            <w:u w:val="single"/>
          </w:rPr>
          <w:t>uippe.finanzas@edomex.gob.mx</w:t>
        </w:r>
      </w:hyperlink>
      <w:r>
        <w:rPr>
          <w:rFonts w:ascii="Palatino Linotype" w:eastAsia="Palatino Linotype" w:hAnsi="Palatino Linotype" w:cs="Palatino Linotype"/>
          <w:i/>
        </w:rPr>
        <w:t xml:space="preserve"> o bien través del Sistema de Acceso a la Información Mexiquense (SAIMEX), en el siguiente enlace: </w:t>
      </w:r>
      <w:hyperlink r:id="rId11">
        <w:r>
          <w:rPr>
            <w:rFonts w:ascii="Palatino Linotype" w:eastAsia="Palatino Linotype" w:hAnsi="Palatino Linotype" w:cs="Palatino Linotype"/>
            <w:i/>
            <w:color w:val="0000FF"/>
            <w:u w:val="single"/>
          </w:rPr>
          <w:t>https://saim</w:t>
        </w:r>
        <w:r>
          <w:rPr>
            <w:rFonts w:ascii="Palatino Linotype" w:eastAsia="Palatino Linotype" w:hAnsi="Palatino Linotype" w:cs="Palatino Linotype"/>
            <w:i/>
            <w:color w:val="0000FF"/>
            <w:u w:val="single"/>
          </w:rPr>
          <w:t>ex.org.mx/saimex/ciudadano/login.page</w:t>
        </w:r>
      </w:hyperlink>
    </w:p>
    <w:p w:rsidR="00410B7C" w:rsidRDefault="00410B7C">
      <w:pPr>
        <w:tabs>
          <w:tab w:val="left" w:pos="567"/>
        </w:tabs>
        <w:spacing w:line="360" w:lineRule="auto"/>
        <w:ind w:left="567" w:right="567"/>
        <w:jc w:val="both"/>
        <w:rPr>
          <w:rFonts w:ascii="Palatino Linotype" w:eastAsia="Palatino Linotype" w:hAnsi="Palatino Linotype" w:cs="Palatino Linotype"/>
          <w:i/>
        </w:rPr>
      </w:pP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Cabe mencionar, que en términos de los artículos    176, 177 y 178 de la   Ley de Transparencia y Acceso a la Información Pública del Estado de México y Municipios, podrá interponer recurso de revisión por sí mismo o </w:t>
      </w:r>
      <w:r>
        <w:rPr>
          <w:rFonts w:ascii="Palatino Linotype" w:eastAsia="Palatino Linotype" w:hAnsi="Palatino Linotype" w:cs="Palatino Linotype"/>
          <w:i/>
        </w:rPr>
        <w:t>a través de su representante legal, ante el Instituto de Transparencia, Acceso a la Información Pública y Protección de Datos Personales del  Estado de México y Municipios o ante la Unidad de Transparencia de esta Secretaría, de manera directa o vía electr</w:t>
      </w:r>
      <w:r>
        <w:rPr>
          <w:rFonts w:ascii="Palatino Linotype" w:eastAsia="Palatino Linotype" w:hAnsi="Palatino Linotype" w:cs="Palatino Linotype"/>
          <w:i/>
        </w:rPr>
        <w:t xml:space="preserve">ónica a través del Sistema de Acceso a la Información Mexiquense (SAIMEX), en un término de 15 días hábiles, contados a partir del día hábil siguiente a la fecha de notificación del presente. </w:t>
      </w:r>
    </w:p>
    <w:p w:rsidR="00410B7C" w:rsidRDefault="00ED5CA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(Sic)</w:t>
      </w:r>
    </w:p>
    <w:p w:rsidR="00410B7C" w:rsidRDefault="00ED5CAF">
      <w:pPr>
        <w:pBdr>
          <w:top w:val="nil"/>
          <w:left w:val="nil"/>
          <w:bottom w:val="nil"/>
          <w:right w:val="nil"/>
          <w:between w:val="nil"/>
        </w:pBdr>
        <w:spacing w:before="160" w:after="0" w:line="360" w:lineRule="auto"/>
        <w:ind w:right="139"/>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citado al rubro, expresando lo siguiente: </w:t>
      </w:r>
    </w:p>
    <w:p w:rsidR="00410B7C" w:rsidRDefault="00410B7C">
      <w:pPr>
        <w:pBdr>
          <w:top w:val="nil"/>
          <w:left w:val="nil"/>
          <w:bottom w:val="nil"/>
          <w:right w:val="nil"/>
          <w:between w:val="nil"/>
        </w:pBdr>
        <w:spacing w:after="0" w:line="360" w:lineRule="auto"/>
        <w:ind w:right="139"/>
        <w:jc w:val="both"/>
        <w:rPr>
          <w:rFonts w:ascii="Palatino Linotype" w:eastAsia="Palatino Linotype" w:hAnsi="Palatino Linotype" w:cs="Palatino Linotype"/>
          <w:i/>
        </w:rPr>
      </w:pPr>
    </w:p>
    <w:p w:rsidR="00410B7C" w:rsidRDefault="00410B7C">
      <w:pPr>
        <w:widowControl w:val="0"/>
        <w:spacing w:line="360" w:lineRule="auto"/>
        <w:jc w:val="both"/>
        <w:rPr>
          <w:rFonts w:ascii="Palatino Linotype" w:eastAsia="Palatino Linotype" w:hAnsi="Palatino Linotype" w:cs="Palatino Linotype"/>
        </w:rPr>
      </w:pPr>
    </w:p>
    <w:p w:rsidR="00410B7C" w:rsidRDefault="00ED5CA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“ACTO IMPUGNADO</w:t>
      </w:r>
    </w:p>
    <w:p w:rsidR="00410B7C" w:rsidRDefault="00ED5CA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La respuesta emitida en la presente solicitud por el sujeto obligado” (Sic.)</w:t>
      </w:r>
    </w:p>
    <w:p w:rsidR="00410B7C" w:rsidRDefault="00ED5CAF">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410B7C" w:rsidRDefault="00ED5CA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Solicité los recibos de </w:t>
      </w:r>
      <w:proofErr w:type="spellStart"/>
      <w:r>
        <w:rPr>
          <w:rFonts w:ascii="Palatino Linotype" w:eastAsia="Palatino Linotype" w:hAnsi="Palatino Linotype" w:cs="Palatino Linotype"/>
          <w:i/>
        </w:rPr>
        <w:t>de</w:t>
      </w:r>
      <w:proofErr w:type="spellEnd"/>
      <w:r>
        <w:rPr>
          <w:rFonts w:ascii="Palatino Linotype" w:eastAsia="Palatino Linotype" w:hAnsi="Palatino Linotype" w:cs="Palatino Linotype"/>
          <w:i/>
        </w:rPr>
        <w:t xml:space="preserve"> pago en versión Pública y me remiten a un </w:t>
      </w:r>
      <w:proofErr w:type="spellStart"/>
      <w:r>
        <w:rPr>
          <w:rFonts w:ascii="Palatino Linotype" w:eastAsia="Palatino Linotype" w:hAnsi="Palatino Linotype" w:cs="Palatino Linotype"/>
          <w:i/>
        </w:rPr>
        <w:t>un</w:t>
      </w:r>
      <w:proofErr w:type="spellEnd"/>
      <w:r>
        <w:rPr>
          <w:rFonts w:ascii="Palatino Linotype" w:eastAsia="Palatino Linotype" w:hAnsi="Palatino Linotype" w:cs="Palatino Linotype"/>
          <w:i/>
        </w:rPr>
        <w:t xml:space="preserve"> link que contiene más de 300000 registros y pretenden que el suscrito realice una búsqueda ellos y por otra parte refieren que se pueden validar los recibos de nómina y para lo cual la</w:t>
      </w:r>
      <w:r>
        <w:rPr>
          <w:rFonts w:ascii="Palatino Linotype" w:eastAsia="Palatino Linotype" w:hAnsi="Palatino Linotype" w:cs="Palatino Linotype"/>
          <w:i/>
        </w:rPr>
        <w:t xml:space="preserve"> plataforma requiere de datos personales que lo están al alcance de los ciudadanos. Aunado a que en dicha fracción no se encuentran los recibos de </w:t>
      </w:r>
      <w:proofErr w:type="spellStart"/>
      <w:r>
        <w:rPr>
          <w:rFonts w:ascii="Palatino Linotype" w:eastAsia="Palatino Linotype" w:hAnsi="Palatino Linotype" w:cs="Palatino Linotype"/>
          <w:i/>
        </w:rPr>
        <w:t>nomina</w:t>
      </w:r>
      <w:proofErr w:type="spellEnd"/>
      <w:r>
        <w:rPr>
          <w:rFonts w:ascii="Palatino Linotype" w:eastAsia="Palatino Linotype" w:hAnsi="Palatino Linotype" w:cs="Palatino Linotype"/>
          <w:i/>
        </w:rPr>
        <w:t xml:space="preserve"> solicitados (el documento físico o digital que contiene la información solicitada) No es posible que e</w:t>
      </w:r>
      <w:r>
        <w:rPr>
          <w:rFonts w:ascii="Palatino Linotype" w:eastAsia="Palatino Linotype" w:hAnsi="Palatino Linotype" w:cs="Palatino Linotype"/>
          <w:i/>
        </w:rPr>
        <w:t xml:space="preserve">l titular de la unidad de transparencia obre con tanta negligencia, o dolo en su actuar, ya que con ello vulnera mi derecho a la informa Pública.” (Sic) </w:t>
      </w:r>
    </w:p>
    <w:p w:rsidR="00410B7C" w:rsidRDefault="00410B7C">
      <w:pPr>
        <w:pBdr>
          <w:top w:val="nil"/>
          <w:left w:val="nil"/>
          <w:bottom w:val="nil"/>
          <w:right w:val="nil"/>
          <w:between w:val="nil"/>
        </w:pBdr>
        <w:spacing w:before="160" w:after="0" w:line="360" w:lineRule="auto"/>
        <w:ind w:right="139"/>
        <w:jc w:val="both"/>
        <w:rPr>
          <w:rFonts w:ascii="Palatino Linotype" w:eastAsia="Palatino Linotype" w:hAnsi="Palatino Linotype" w:cs="Palatino Linotype"/>
          <w:i/>
        </w:rPr>
      </w:pPr>
    </w:p>
    <w:p w:rsidR="00410B7C" w:rsidRDefault="00ED5CAF">
      <w:pPr>
        <w:pBdr>
          <w:top w:val="nil"/>
          <w:left w:val="nil"/>
          <w:bottom w:val="nil"/>
          <w:right w:val="nil"/>
          <w:between w:val="nil"/>
        </w:pBdr>
        <w:spacing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Admitido el recurso de revisión, en términos del artículo 185 fracción II de la Ley de Transparencia y Acceso a la Información Pública del Estado de México y Municipios, se integró el expediente y se puso a disposición de las partes para que, en un plazo m</w:t>
      </w:r>
      <w:r>
        <w:rPr>
          <w:rFonts w:ascii="Palatino Linotype" w:eastAsia="Palatino Linotype" w:hAnsi="Palatino Linotype" w:cs="Palatino Linotype"/>
          <w:sz w:val="24"/>
          <w:szCs w:val="24"/>
        </w:rPr>
        <w:t>áximo de siete días hábiles, manifestaran lo que a su derecho resultara conveniente.</w:t>
      </w:r>
    </w:p>
    <w:p w:rsidR="00410B7C" w:rsidRDefault="00ED5CAF">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que, mediante informe justificado,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remitió la siguiente información:</w:t>
      </w:r>
    </w:p>
    <w:p w:rsidR="00410B7C" w:rsidRDefault="00ED5CAF">
      <w:pPr>
        <w:spacing w:line="360" w:lineRule="auto"/>
        <w:jc w:val="both"/>
        <w:rPr>
          <w:rFonts w:ascii="Palatino Linotype" w:eastAsia="Palatino Linotype" w:hAnsi="Palatino Linotype" w:cs="Palatino Linotype"/>
        </w:rPr>
      </w:pPr>
      <w:proofErr w:type="gramStart"/>
      <w:r>
        <w:rPr>
          <w:rFonts w:ascii="Palatino Linotype" w:eastAsia="Palatino Linotype" w:hAnsi="Palatino Linotype" w:cs="Palatino Linotype"/>
        </w:rPr>
        <w:lastRenderedPageBreak/>
        <w:t>oficio</w:t>
      </w:r>
      <w:proofErr w:type="gramEnd"/>
      <w:r>
        <w:rPr>
          <w:rFonts w:ascii="Palatino Linotype" w:eastAsia="Palatino Linotype" w:hAnsi="Palatino Linotype" w:cs="Palatino Linotype"/>
        </w:rPr>
        <w:t xml:space="preserve"> número 22800007010000S/3073/UT/2023, de fecha veinte de diciembre de </w:t>
      </w:r>
      <w:r>
        <w:rPr>
          <w:rFonts w:ascii="Palatino Linotype" w:eastAsia="Palatino Linotype" w:hAnsi="Palatino Linotype" w:cs="Palatino Linotype"/>
        </w:rPr>
        <w:t>dos mil veintitrés, suscrito por el Titular de la Unidad de Transparencia y dirigido al Comisionado Ponente, por medio del cual ratifica su respuesta y precisa lo siguiente:</w:t>
      </w:r>
    </w:p>
    <w:p w:rsidR="00410B7C" w:rsidRDefault="00410B7C">
      <w:pPr>
        <w:spacing w:line="360" w:lineRule="auto"/>
        <w:jc w:val="both"/>
        <w:rPr>
          <w:rFonts w:ascii="Palatino Linotype" w:eastAsia="Palatino Linotype" w:hAnsi="Palatino Linotype" w:cs="Palatino Linotype"/>
        </w:rPr>
      </w:pPr>
    </w:p>
    <w:p w:rsidR="00410B7C" w:rsidRDefault="00ED5CA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10B7C" w:rsidRDefault="00ED5CA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 ese tenor, en el expediente electrónico de la respuesta a la solicitud de i</w:t>
      </w:r>
      <w:r>
        <w:rPr>
          <w:rFonts w:ascii="Palatino Linotype" w:eastAsia="Palatino Linotype" w:hAnsi="Palatino Linotype" w:cs="Palatino Linotype"/>
          <w:i/>
        </w:rPr>
        <w:t>nformación número 0124/SE/IP/2023, este Sujeto Obligado informó al ahora recurrente que las remuneraciones de todos los servidores públicos de la Secretaría de Educación, Ciencia, Tecnología e Innovación se encuentran disponibles para consulta pública dire</w:t>
      </w:r>
      <w:r>
        <w:rPr>
          <w:rFonts w:ascii="Palatino Linotype" w:eastAsia="Palatino Linotype" w:hAnsi="Palatino Linotype" w:cs="Palatino Linotype"/>
          <w:i/>
        </w:rPr>
        <w:t>ctamente en el sistema de Información Pública de Oficio Mexiquense (IPOMEX), indicándole el enlace electrónico de la ubicación de la información, como se aprecia en la imagen:</w:t>
      </w:r>
    </w:p>
    <w:p w:rsidR="00410B7C" w:rsidRDefault="00410B7C">
      <w:pPr>
        <w:spacing w:line="360" w:lineRule="auto"/>
        <w:ind w:left="567" w:right="567"/>
        <w:jc w:val="both"/>
        <w:rPr>
          <w:rFonts w:ascii="Palatino Linotype" w:eastAsia="Palatino Linotype" w:hAnsi="Palatino Linotype" w:cs="Palatino Linotype"/>
          <w:i/>
          <w:color w:val="FF0000"/>
        </w:rPr>
      </w:pPr>
    </w:p>
    <w:p w:rsidR="00410B7C" w:rsidRDefault="00ED5CAF">
      <w:pPr>
        <w:spacing w:line="360" w:lineRule="auto"/>
        <w:ind w:left="567" w:right="567"/>
        <w:jc w:val="center"/>
        <w:rPr>
          <w:rFonts w:ascii="Palatino Linotype" w:eastAsia="Palatino Linotype" w:hAnsi="Palatino Linotype" w:cs="Palatino Linotype"/>
          <w:b/>
          <w:i/>
          <w:color w:val="FF0000"/>
        </w:rPr>
      </w:pPr>
      <w:r>
        <w:rPr>
          <w:rFonts w:ascii="Palatino Linotype" w:eastAsia="Palatino Linotype" w:hAnsi="Palatino Linotype" w:cs="Palatino Linotype"/>
          <w:b/>
          <w:i/>
          <w:noProof/>
          <w:color w:val="FF0000"/>
        </w:rPr>
        <w:drawing>
          <wp:inline distT="0" distB="0" distL="0" distR="0">
            <wp:extent cx="2940021" cy="1129801"/>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40021" cy="1129801"/>
                    </a:xfrm>
                    <a:prstGeom prst="rect">
                      <a:avLst/>
                    </a:prstGeom>
                    <a:ln/>
                  </pic:spPr>
                </pic:pic>
              </a:graphicData>
            </a:graphic>
          </wp:inline>
        </w:drawing>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De manera complementaria, resulta oportuno traer a colación los artículos 24,</w:t>
      </w:r>
      <w:r>
        <w:rPr>
          <w:rFonts w:ascii="Palatino Linotype" w:eastAsia="Palatino Linotype" w:hAnsi="Palatino Linotype" w:cs="Palatino Linotype"/>
          <w:i/>
        </w:rPr>
        <w:t xml:space="preserve"> fracción XII y 92 </w:t>
      </w:r>
      <w:proofErr w:type="gramStart"/>
      <w:r>
        <w:rPr>
          <w:rFonts w:ascii="Palatino Linotype" w:eastAsia="Palatino Linotype" w:hAnsi="Palatino Linotype" w:cs="Palatino Linotype"/>
          <w:i/>
        </w:rPr>
        <w:t>fracción</w:t>
      </w:r>
      <w:proofErr w:type="gramEnd"/>
      <w:r>
        <w:rPr>
          <w:rFonts w:ascii="Palatino Linotype" w:eastAsia="Palatino Linotype" w:hAnsi="Palatino Linotype" w:cs="Palatino Linotype"/>
          <w:i/>
        </w:rPr>
        <w:t xml:space="preserve"> VIII de la Ley de Transparencia y Acceso a la Información Pública del Estado de México y Municipios, cuyo contenido literal es el siguiente:</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 24. Para el cumplimiento de los objetivos de esta Ley, los sujetos obligados deberán cumplir con las siguientes obligaciones, según corresponda, de acuerdo a su naturaleza:</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XII. Publicar y mantener actualizada la información relativa a las obligaciones generales de transparencia previstas en la presente Ley o determinadas así por el Instituto, y en general aquella que sea de interés público;</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“Articulo 92.  Los sujetos obli</w:t>
      </w:r>
      <w:r>
        <w:rPr>
          <w:rFonts w:ascii="Palatino Linotype" w:eastAsia="Palatino Linotype" w:hAnsi="Palatino Linotype" w:cs="Palatino Linotype"/>
          <w:i/>
        </w:rPr>
        <w:t xml:space="preserve">gados deberán poner a disposición del público de manera permanente y actualizada de forma sencilla, precisa y entendible, en los respectivos medios electrónicos, de acuerdo con sus facultades, atribuciones, funciones u objeto social, según corresponda, la </w:t>
      </w:r>
      <w:r>
        <w:rPr>
          <w:rFonts w:ascii="Palatino Linotype" w:eastAsia="Palatino Linotype" w:hAnsi="Palatino Linotype" w:cs="Palatino Linotype"/>
          <w:i/>
        </w:rPr>
        <w:t>información, por lo menos, de los temas, documentos y políticas que a continuación se señalan:</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VIII. La remuneración bruta y neta de todos los servidores públicos de base o de confianza, de todas las percepciones, incluyendo sueldos, prestaciones, gratif</w:t>
      </w:r>
      <w:r>
        <w:rPr>
          <w:rFonts w:ascii="Palatino Linotype" w:eastAsia="Palatino Linotype" w:hAnsi="Palatino Linotype" w:cs="Palatino Linotype"/>
          <w:i/>
        </w:rPr>
        <w:t>icaciones, primas, comisiones, dietas, bonos, estímulos, ingresos y sistemas de compensación, señalando la periodicidad de dicha remuneración.</w:t>
      </w:r>
    </w:p>
    <w:p w:rsidR="00410B7C" w:rsidRDefault="00ED5CAF">
      <w:pPr>
        <w:spacing w:after="0" w:line="276" w:lineRule="auto"/>
        <w:ind w:left="567" w:right="567"/>
        <w:jc w:val="both"/>
      </w:pPr>
      <w:r>
        <w:t>…</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Así la Ley de Transparencia y Acceso a la Información Pública del Estado de México y Municipios en el artículo </w:t>
      </w:r>
      <w:r>
        <w:rPr>
          <w:rFonts w:ascii="Palatino Linotype" w:eastAsia="Palatino Linotype" w:hAnsi="Palatino Linotype" w:cs="Palatino Linotype"/>
          <w:i/>
        </w:rPr>
        <w:t>92, fracción VII señala que la remuneración bruta y neta de todos los servidores públicos de base o de confianza, de todas las percepciones, incluyendo sueldos, prestaciones, gratificaciones, primas, comisiones, dietas, bonos, estímulos, ingresos y sistema</w:t>
      </w:r>
      <w:r>
        <w:rPr>
          <w:rFonts w:ascii="Palatino Linotype" w:eastAsia="Palatino Linotype" w:hAnsi="Palatino Linotype" w:cs="Palatino Linotype"/>
          <w:i/>
        </w:rPr>
        <w:t>s de compensación, señalando la periodicidad de  dicha remuneración, se trata de las obligaciones de transparencia comunes, esto es, información que por su naturaleza es pública y que los sujetos obligados deben poner a disposición del público de manera pe</w:t>
      </w:r>
      <w:r>
        <w:rPr>
          <w:rFonts w:ascii="Palatino Linotype" w:eastAsia="Palatino Linotype" w:hAnsi="Palatino Linotype" w:cs="Palatino Linotype"/>
          <w:i/>
        </w:rPr>
        <w:t>rmanente y por tanto deberán de mantenerla actualizada, en los respectivos medios electrónicos, de acuerdo con las facultades, atribuciones, funciones u objeto social, por consiguiente, de ahí nace la necesidad de la Secretaría de Educación, Ciencia Tecnol</w:t>
      </w:r>
      <w:r>
        <w:rPr>
          <w:rFonts w:ascii="Palatino Linotype" w:eastAsia="Palatino Linotype" w:hAnsi="Palatino Linotype" w:cs="Palatino Linotype"/>
          <w:i/>
        </w:rPr>
        <w:t>ogía e Innovación, de brindar las herramientas necesarias a efecto de no vulnerar o restringir su derecho constitucional y convencionalmente reconocido, sino por el contrario, asegurar de manera efectiva el derecho en cuestión.</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Luego entonces, se le hace </w:t>
      </w:r>
      <w:r>
        <w:rPr>
          <w:rFonts w:ascii="Palatino Linotype" w:eastAsia="Palatino Linotype" w:hAnsi="Palatino Linotype" w:cs="Palatino Linotype"/>
          <w:i/>
        </w:rPr>
        <w:t>de conocimiento que la información requerida sobre remuneraciones que perciben todas las personas servidoras públicas de la Secretaría de Educación, Ciencia, Tecnología e innovación, se encuentran disponibles al público en general a través del sistema de I</w:t>
      </w:r>
      <w:r>
        <w:rPr>
          <w:rFonts w:ascii="Palatino Linotype" w:eastAsia="Palatino Linotype" w:hAnsi="Palatino Linotype" w:cs="Palatino Linotype"/>
          <w:i/>
        </w:rPr>
        <w:t>nformación Pública de Oficio Mexiquense (IPOMEX) y podrá consultarla de manera directa en el enlace siguiente:</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hyperlink r:id="rId13">
        <w:r>
          <w:rPr>
            <w:rFonts w:ascii="Palatino Linotype" w:eastAsia="Palatino Linotype" w:hAnsi="Palatino Linotype" w:cs="Palatino Linotype"/>
            <w:i/>
            <w:color w:val="0000FF"/>
            <w:u w:val="single"/>
          </w:rPr>
          <w:t>https://www.ipomex.org.mx/ipo3/lgt/indice/EDUCACION/art_9</w:t>
        </w:r>
        <w:r>
          <w:rPr>
            <w:rFonts w:ascii="Palatino Linotype" w:eastAsia="Palatino Linotype" w:hAnsi="Palatino Linotype" w:cs="Palatino Linotype"/>
            <w:i/>
            <w:color w:val="0000FF"/>
            <w:u w:val="single"/>
          </w:rPr>
          <w:t>2_viii.web</w:t>
        </w:r>
      </w:hyperlink>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Por lo anteriormente expuesto y considerando que el actuar de este Sujeto Obligado ha sido tendiente a privilegiar y garantizar el acceso oportuno a la información, cómo se aprecia en la respuesta emitida por esta Unidad de Transparencia, actua</w:t>
      </w:r>
      <w:r>
        <w:rPr>
          <w:rFonts w:ascii="Palatino Linotype" w:eastAsia="Palatino Linotype" w:hAnsi="Palatino Linotype" w:cs="Palatino Linotype"/>
          <w:i/>
        </w:rPr>
        <w:t>lizando con ello la hipótesis establecida en el artículo 191, fracciones V y VII  de la Ley de Transparencia y Acceso a la Información Pública del Estado de México y Municipios.</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“Artículo 191. El recurso será desechado por improcedente cuando:</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 Se impu</w:t>
      </w:r>
      <w:r>
        <w:rPr>
          <w:rFonts w:ascii="Palatino Linotype" w:eastAsia="Palatino Linotype" w:hAnsi="Palatino Linotype" w:cs="Palatino Linotype"/>
          <w:i/>
        </w:rPr>
        <w:t>gne la veracidad de la información proporcionada;</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VII. El recurrente amplíe su solicitud en el recurso de revisión, únicamente respecto de los nuevos contenidos”</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anteriormente expuesto, fundado y motivado, A USTED C. COMISIONADO DEL INSTITUTO DE </w:t>
      </w:r>
      <w:r>
        <w:rPr>
          <w:rFonts w:ascii="Palatino Linotype" w:eastAsia="Palatino Linotype" w:hAnsi="Palatino Linotype" w:cs="Palatino Linotype"/>
          <w:i/>
        </w:rPr>
        <w:t>TRANSPARENCIA, ACCESO A LA INFORMACIÓN PÚBLICA Y PROTECCIÓN DE DATOS PERSONALES DEL ESTADO DE MÉXICO Y MUNICIPIOS, atentamente pido se sirva:</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PRIMERO: Tenerme por rendido el Informe Justificado en tiempo y forma, en los términos expuestos.</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SEGUNDO: De ac</w:t>
      </w:r>
      <w:r>
        <w:rPr>
          <w:rFonts w:ascii="Palatino Linotype" w:eastAsia="Palatino Linotype" w:hAnsi="Palatino Linotype" w:cs="Palatino Linotype"/>
          <w:i/>
        </w:rPr>
        <w:t xml:space="preserve">uerdo a lo fundado y motivado, así como con fundamento en el artículo 191, fracciones V y VII de la Ley de Transparencia y Acceso a la Información </w:t>
      </w:r>
      <w:r>
        <w:rPr>
          <w:rFonts w:ascii="Palatino Linotype" w:eastAsia="Palatino Linotype" w:hAnsi="Palatino Linotype" w:cs="Palatino Linotype"/>
          <w:i/>
        </w:rPr>
        <w:lastRenderedPageBreak/>
        <w:t xml:space="preserve">Pública del Estado de México y Municipios, se determine el </w:t>
      </w:r>
      <w:proofErr w:type="spellStart"/>
      <w:r>
        <w:rPr>
          <w:rFonts w:ascii="Palatino Linotype" w:eastAsia="Palatino Linotype" w:hAnsi="Palatino Linotype" w:cs="Palatino Linotype"/>
          <w:i/>
        </w:rPr>
        <w:t>desechamiento</w:t>
      </w:r>
      <w:proofErr w:type="spellEnd"/>
      <w:r>
        <w:rPr>
          <w:rFonts w:ascii="Palatino Linotype" w:eastAsia="Palatino Linotype" w:hAnsi="Palatino Linotype" w:cs="Palatino Linotype"/>
          <w:i/>
        </w:rPr>
        <w:t xml:space="preserve"> por improcedente del recurso que se </w:t>
      </w:r>
      <w:r>
        <w:rPr>
          <w:rFonts w:ascii="Palatino Linotype" w:eastAsia="Palatino Linotype" w:hAnsi="Palatino Linotype" w:cs="Palatino Linotype"/>
          <w:i/>
        </w:rPr>
        <w:t>contesta.</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TERCERO: Con fundamento en lo establecido por los artículos 185, fracción II y 192 fracciones IV y V de la Ley de Transparencia y Acceso a la Información Pública del Estado de México y Municipios, se determine el sobreseimiento del presente trámite, o en s</w:t>
      </w:r>
      <w:r>
        <w:rPr>
          <w:rFonts w:ascii="Palatino Linotype" w:eastAsia="Palatino Linotype" w:hAnsi="Palatino Linotype" w:cs="Palatino Linotype"/>
          <w:i/>
        </w:rPr>
        <w:t>u caso confirme la respuesta emitida por este Sujeto Obligado, al no existir materia para la continuidad del mismo, por las razones vertidas, sin que ello implique que en el primer acto de atención a la solicitud, se haya obrado con dolo o mala fe en la at</w:t>
      </w:r>
      <w:r>
        <w:rPr>
          <w:rFonts w:ascii="Palatino Linotype" w:eastAsia="Palatino Linotype" w:hAnsi="Palatino Linotype" w:cs="Palatino Linotype"/>
          <w:i/>
        </w:rPr>
        <w:t>ención a la misma.</w:t>
      </w:r>
    </w:p>
    <w:p w:rsidR="00410B7C" w:rsidRDefault="00ED5CAF">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(Sic) </w:t>
      </w:r>
    </w:p>
    <w:p w:rsidR="00410B7C" w:rsidRDefault="00410B7C">
      <w:pPr>
        <w:spacing w:after="0" w:line="276" w:lineRule="auto"/>
        <w:ind w:left="567" w:right="567"/>
        <w:jc w:val="both"/>
        <w:rPr>
          <w:rFonts w:ascii="Palatino Linotype" w:eastAsia="Palatino Linotype" w:hAnsi="Palatino Linotype" w:cs="Palatino Linotype"/>
          <w:i/>
        </w:rPr>
      </w:pPr>
    </w:p>
    <w:p w:rsidR="00410B7C" w:rsidRDefault="00ED5C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señalar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fue omisa en realizar manifestación alguna.</w:t>
      </w:r>
    </w:p>
    <w:p w:rsidR="00410B7C" w:rsidRDefault="00410B7C">
      <w:pPr>
        <w:spacing w:after="0" w:line="360" w:lineRule="auto"/>
        <w:jc w:val="both"/>
        <w:rPr>
          <w:rFonts w:ascii="Palatino Linotype" w:eastAsia="Palatino Linotype" w:hAnsi="Palatino Linotype" w:cs="Palatino Linotype"/>
          <w:sz w:val="24"/>
          <w:szCs w:val="24"/>
        </w:rPr>
      </w:pPr>
    </w:p>
    <w:p w:rsidR="00410B7C" w:rsidRDefault="00ED5CA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esta tesitura, derivado del análisis efectuado, este Instituto consideró que los motivos de inconformidad aducidos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re</w:t>
      </w:r>
      <w:r>
        <w:rPr>
          <w:rFonts w:ascii="Palatino Linotype" w:eastAsia="Palatino Linotype" w:hAnsi="Palatino Linotype" w:cs="Palatino Linotype"/>
          <w:sz w:val="24"/>
          <w:szCs w:val="24"/>
        </w:rPr>
        <w:t xml:space="preserve">sultaban fundados y suficientes para </w:t>
      </w:r>
      <w:r>
        <w:rPr>
          <w:rFonts w:ascii="Palatino Linotype" w:eastAsia="Palatino Linotype" w:hAnsi="Palatino Linotype" w:cs="Palatino Linotype"/>
          <w:i/>
          <w:sz w:val="24"/>
          <w:szCs w:val="24"/>
        </w:rPr>
        <w:t>modificar</w:t>
      </w:r>
      <w:r>
        <w:rPr>
          <w:rFonts w:ascii="Palatino Linotype" w:eastAsia="Palatino Linotype" w:hAnsi="Palatino Linotype" w:cs="Palatino Linotype"/>
          <w:sz w:val="24"/>
          <w:szCs w:val="24"/>
        </w:rPr>
        <w:t xml:space="preserve"> la respuesta emitida, procediendo a ordenar la entrega de lo siguiente:</w:t>
      </w:r>
    </w:p>
    <w:p w:rsidR="00410B7C" w:rsidRDefault="00410B7C">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rsidR="00410B7C" w:rsidRDefault="00ED5CAF">
      <w:pPr>
        <w:tabs>
          <w:tab w:val="left" w:pos="851"/>
        </w:tabs>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“SEGUNDO. Se ORDENA a la Secretaría de Educación, a efecto de que, previa búsqueda exhaustiva y razonable en las unidades administrativas competentes, entregue, a través del Sistema de Acceso a la Información Mexiquense (SAIMEX), en su caso, en versión púb</w:t>
      </w:r>
      <w:r>
        <w:rPr>
          <w:rFonts w:ascii="Palatino Linotype" w:eastAsia="Palatino Linotype" w:hAnsi="Palatino Linotype" w:cs="Palatino Linotype"/>
          <w:i/>
        </w:rPr>
        <w:t>lica, los documentos donde conste lo siguiente:</w:t>
      </w:r>
    </w:p>
    <w:p w:rsidR="00410B7C" w:rsidRDefault="00410B7C">
      <w:pPr>
        <w:tabs>
          <w:tab w:val="left" w:pos="851"/>
        </w:tabs>
        <w:spacing w:after="0" w:line="276" w:lineRule="auto"/>
        <w:ind w:left="567" w:right="616"/>
        <w:jc w:val="both"/>
        <w:rPr>
          <w:rFonts w:ascii="Palatino Linotype" w:eastAsia="Palatino Linotype" w:hAnsi="Palatino Linotype" w:cs="Palatino Linotype"/>
          <w:i/>
        </w:rPr>
      </w:pPr>
    </w:p>
    <w:p w:rsidR="00410B7C" w:rsidRDefault="00ED5CAF">
      <w:pPr>
        <w:tabs>
          <w:tab w:val="left" w:pos="851"/>
        </w:tabs>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Las remuneraciones pagadas al servidor público referido en el Considerando SEXTO, de la primera quincena de enero de dos mil veinte a la segunda de noviembre de dos mil veintitrés.</w:t>
      </w:r>
    </w:p>
    <w:p w:rsidR="00410B7C" w:rsidRDefault="00410B7C">
      <w:pPr>
        <w:tabs>
          <w:tab w:val="left" w:pos="851"/>
        </w:tabs>
        <w:spacing w:after="0" w:line="276" w:lineRule="auto"/>
        <w:ind w:left="567" w:right="616"/>
        <w:jc w:val="both"/>
        <w:rPr>
          <w:rFonts w:ascii="Palatino Linotype" w:eastAsia="Palatino Linotype" w:hAnsi="Palatino Linotype" w:cs="Palatino Linotype"/>
          <w:i/>
        </w:rPr>
      </w:pPr>
    </w:p>
    <w:p w:rsidR="00410B7C" w:rsidRDefault="00ED5CAF">
      <w:pPr>
        <w:tabs>
          <w:tab w:val="left" w:pos="851"/>
        </w:tabs>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Además, de ser necesario,</w:t>
      </w:r>
      <w:r>
        <w:rPr>
          <w:rFonts w:ascii="Palatino Linotype" w:eastAsia="Palatino Linotype" w:hAnsi="Palatino Linotype" w:cs="Palatino Linotype"/>
          <w:i/>
        </w:rPr>
        <w:t xml:space="preserve"> deberá proporcionar el Acuerdo de Clasificación donde el Comité de Transparencia, confirme la eliminación de los datos clasificados, en la versión pública, de conformidad con los artículos 49, fracciones II y VIII, 132, fracción II y 143, fracción I, de l</w:t>
      </w:r>
      <w:r>
        <w:rPr>
          <w:rFonts w:ascii="Palatino Linotype" w:eastAsia="Palatino Linotype" w:hAnsi="Palatino Linotype" w:cs="Palatino Linotype"/>
          <w:i/>
        </w:rPr>
        <w:t>a Ley de Transparencia y Acceso a la Información Pública del Estado de México y Municipios.</w:t>
      </w:r>
    </w:p>
    <w:p w:rsidR="00410B7C" w:rsidRDefault="00410B7C">
      <w:pPr>
        <w:tabs>
          <w:tab w:val="left" w:pos="851"/>
        </w:tabs>
        <w:spacing w:after="0" w:line="276" w:lineRule="auto"/>
        <w:ind w:left="567" w:right="616"/>
        <w:jc w:val="both"/>
        <w:rPr>
          <w:rFonts w:ascii="Palatino Linotype" w:eastAsia="Palatino Linotype" w:hAnsi="Palatino Linotype" w:cs="Palatino Linotype"/>
          <w:i/>
        </w:rPr>
      </w:pPr>
    </w:p>
    <w:p w:rsidR="00410B7C" w:rsidRDefault="00ED5CAF">
      <w:pPr>
        <w:tabs>
          <w:tab w:val="left" w:pos="851"/>
        </w:tabs>
        <w:spacing w:after="0" w:line="276"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i/>
        </w:rPr>
        <w:t>Para el caso que no cuente con la información desde la primera quincena de enero de dos mil veinte, al haber causado alta en fecha posterior, deberá hacerlo del co</w:t>
      </w:r>
      <w:r>
        <w:rPr>
          <w:rFonts w:ascii="Palatino Linotype" w:eastAsia="Palatino Linotype" w:hAnsi="Palatino Linotype" w:cs="Palatino Linotype"/>
          <w:i/>
        </w:rPr>
        <w:t>nocimiento del ahora Recurrente, de manera clara y precisa, y proporcionar la información desde la primera quincena pagada</w:t>
      </w:r>
      <w:r>
        <w:rPr>
          <w:rFonts w:ascii="Palatino Linotype" w:eastAsia="Palatino Linotype" w:hAnsi="Palatino Linotype" w:cs="Palatino Linotype"/>
          <w:b/>
          <w:i/>
        </w:rPr>
        <w:t>.”</w:t>
      </w:r>
    </w:p>
    <w:p w:rsidR="00410B7C" w:rsidRDefault="00410B7C">
      <w:pPr>
        <w:tabs>
          <w:tab w:val="left" w:pos="851"/>
        </w:tabs>
        <w:spacing w:after="0" w:line="360" w:lineRule="auto"/>
        <w:ind w:right="616"/>
        <w:jc w:val="both"/>
        <w:rPr>
          <w:rFonts w:ascii="Palatino Linotype" w:eastAsia="Palatino Linotype" w:hAnsi="Palatino Linotype" w:cs="Palatino Linotype"/>
          <w:i/>
        </w:rPr>
      </w:pPr>
    </w:p>
    <w:p w:rsidR="00410B7C" w:rsidRDefault="00ED5CAF">
      <w:pPr>
        <w:spacing w:after="0" w:line="360" w:lineRule="auto"/>
        <w:ind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II. Razones del Voto Disidente.</w:t>
      </w:r>
    </w:p>
    <w:p w:rsidR="00410B7C" w:rsidRDefault="00410B7C">
      <w:pPr>
        <w:spacing w:after="0" w:line="360" w:lineRule="auto"/>
        <w:ind w:right="142"/>
        <w:jc w:val="both"/>
        <w:rPr>
          <w:rFonts w:ascii="Palatino Linotype" w:eastAsia="Palatino Linotype" w:hAnsi="Palatino Linotype" w:cs="Palatino Linotype"/>
          <w:b/>
          <w:sz w:val="24"/>
          <w:szCs w:val="24"/>
        </w:rPr>
      </w:pPr>
    </w:p>
    <w:p w:rsidR="00410B7C" w:rsidRDefault="00ED5CAF">
      <w:pPr>
        <w:pBdr>
          <w:top w:val="nil"/>
          <w:left w:val="nil"/>
          <w:bottom w:val="nil"/>
          <w:right w:val="nil"/>
          <w:between w:val="nil"/>
        </w:pBdr>
        <w:spacing w:after="0" w:line="360" w:lineRule="auto"/>
        <w:ind w:right="142"/>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Cabe precisar que la suscrita, si bien coincide con el estudio realizado por la ponencia que resolvió respecto de la obligación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para generar, administrar o poseer información relacionada con las remuneraciones de los Servidores Público</w:t>
      </w:r>
      <w:r>
        <w:rPr>
          <w:rFonts w:ascii="Palatino Linotype" w:eastAsia="Palatino Linotype" w:hAnsi="Palatino Linotype" w:cs="Palatino Linotype"/>
          <w:sz w:val="24"/>
          <w:szCs w:val="24"/>
        </w:rPr>
        <w:t>s adscritos a su estructura orgánica, dada su naturaleza, pues no debe perderse de vista que ésta se encuentra intrínsecamente relacionada con la obligación de transparencia de oficio prevista en el artículo 92, fracción VIII de la Ley de Transparencia y A</w:t>
      </w:r>
      <w:r>
        <w:rPr>
          <w:rFonts w:ascii="Palatino Linotype" w:eastAsia="Palatino Linotype" w:hAnsi="Palatino Linotype" w:cs="Palatino Linotype"/>
          <w:sz w:val="24"/>
          <w:szCs w:val="24"/>
        </w:rPr>
        <w:t>cceso a la Información Pública del Estado de México y Municipios, que es del tenor literal siguiente:</w:t>
      </w:r>
    </w:p>
    <w:p w:rsidR="00410B7C" w:rsidRDefault="00ED5CA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Artículo 92. </w:t>
      </w:r>
      <w:r>
        <w:rPr>
          <w:rFonts w:ascii="Palatino Linotype" w:eastAsia="Palatino Linotype" w:hAnsi="Palatino Linotype" w:cs="Palatino Linotype"/>
          <w:i/>
        </w:rPr>
        <w:t>Los sujetos obligados deberán poner a disposición del público de manera permanente y actualizada de forma sencilla, precisa y entendible, en</w:t>
      </w:r>
      <w:r>
        <w:rPr>
          <w:rFonts w:ascii="Palatino Linotype" w:eastAsia="Palatino Linotype" w:hAnsi="Palatino Linotype" w:cs="Palatino Linotype"/>
          <w:i/>
        </w:rPr>
        <w:t xml:space="preserve"> los respectivos medios electrónicos, de acuerdo con sus facultades, atribuciones, funciones u objeto social, según corresponda, la información, por lo menos, de los temas, documentos y políticas que a continuación se señalan: </w:t>
      </w:r>
    </w:p>
    <w:p w:rsidR="00410B7C" w:rsidRDefault="00ED5CA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w:t>
      </w:r>
    </w:p>
    <w:p w:rsidR="00410B7C" w:rsidRDefault="00ED5CA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sz w:val="24"/>
          <w:szCs w:val="24"/>
        </w:rPr>
      </w:pPr>
      <w:r>
        <w:rPr>
          <w:rFonts w:ascii="Palatino Linotype" w:eastAsia="Palatino Linotype" w:hAnsi="Palatino Linotype" w:cs="Palatino Linotype"/>
          <w:b/>
          <w:i/>
        </w:rPr>
        <w:t xml:space="preserve">VIII. </w:t>
      </w:r>
      <w:r>
        <w:rPr>
          <w:rFonts w:ascii="Palatino Linotype" w:eastAsia="Palatino Linotype" w:hAnsi="Palatino Linotype" w:cs="Palatino Linotype"/>
          <w:i/>
        </w:rPr>
        <w:t>La remuneración br</w:t>
      </w:r>
      <w:r>
        <w:rPr>
          <w:rFonts w:ascii="Palatino Linotype" w:eastAsia="Palatino Linotype" w:hAnsi="Palatino Linotype" w:cs="Palatino Linotype"/>
          <w:i/>
        </w:rPr>
        <w:t>uta y neta de todos los servidores públicos de base o de confianza, de todas las percepciones, incluyendo sueldos, prestaciones, gratificaciones, primas, comisiones, dietas, bonos, estímulos, ingresos y sistemas de compensación, señalando la periodicidad d</w:t>
      </w:r>
      <w:r>
        <w:rPr>
          <w:rFonts w:ascii="Palatino Linotype" w:eastAsia="Palatino Linotype" w:hAnsi="Palatino Linotype" w:cs="Palatino Linotype"/>
          <w:i/>
        </w:rPr>
        <w:t>e dicha remuneración</w:t>
      </w:r>
      <w:r>
        <w:rPr>
          <w:rFonts w:ascii="Palatino Linotype" w:eastAsia="Palatino Linotype" w:hAnsi="Palatino Linotype" w:cs="Palatino Linotype"/>
          <w:b/>
          <w:i/>
        </w:rPr>
        <w:t>;</w:t>
      </w:r>
      <w:r>
        <w:rPr>
          <w:rFonts w:ascii="Palatino Linotype" w:eastAsia="Palatino Linotype" w:hAnsi="Palatino Linotype" w:cs="Palatino Linotype"/>
          <w:sz w:val="24"/>
          <w:szCs w:val="24"/>
        </w:rPr>
        <w:t>”</w:t>
      </w:r>
    </w:p>
    <w:p w:rsidR="00410B7C" w:rsidRDefault="00410B7C">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rPr>
      </w:pPr>
    </w:p>
    <w:p w:rsidR="00410B7C" w:rsidRDefault="00ED5CAF">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Y, por tanto, si bien,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es competente para contar con el soporte documental que dé cuenta de la remuneración bruta y neta, así como el total de las percepciones con las que cuentan los servidores públicos adscritos a su estructura orgánica, no debe perderse de vista que la mater</w:t>
      </w:r>
      <w:r>
        <w:rPr>
          <w:rFonts w:ascii="Palatino Linotype" w:eastAsia="Palatino Linotype" w:hAnsi="Palatino Linotype" w:cs="Palatino Linotype"/>
          <w:sz w:val="24"/>
          <w:szCs w:val="24"/>
        </w:rPr>
        <w:t xml:space="preserve">ia de la solicitud de información se refiere concretamente a los </w:t>
      </w:r>
      <w:r>
        <w:rPr>
          <w:rFonts w:ascii="Palatino Linotype" w:eastAsia="Palatino Linotype" w:hAnsi="Palatino Linotype" w:cs="Palatino Linotype"/>
          <w:b/>
          <w:sz w:val="24"/>
          <w:szCs w:val="24"/>
        </w:rPr>
        <w:t xml:space="preserve">recibos de nómina </w:t>
      </w:r>
      <w:r>
        <w:rPr>
          <w:rFonts w:ascii="Palatino Linotype" w:eastAsia="Palatino Linotype" w:hAnsi="Palatino Linotype" w:cs="Palatino Linotype"/>
          <w:sz w:val="24"/>
          <w:szCs w:val="24"/>
        </w:rPr>
        <w:t xml:space="preserve">por lo que, a consideración de la suscrita, la documentación que se ordena entregar para satisfacer el derecho de acceso a la información de la persona solicitante, </w:t>
      </w:r>
      <w:r>
        <w:rPr>
          <w:rFonts w:ascii="Palatino Linotype" w:eastAsia="Palatino Linotype" w:hAnsi="Palatino Linotype" w:cs="Palatino Linotype"/>
          <w:b/>
          <w:sz w:val="24"/>
          <w:szCs w:val="24"/>
          <w:u w:val="single"/>
        </w:rPr>
        <w:t>no corre</w:t>
      </w:r>
      <w:r>
        <w:rPr>
          <w:rFonts w:ascii="Palatino Linotype" w:eastAsia="Palatino Linotype" w:hAnsi="Palatino Linotype" w:cs="Palatino Linotype"/>
          <w:b/>
          <w:sz w:val="24"/>
          <w:szCs w:val="24"/>
          <w:u w:val="single"/>
        </w:rPr>
        <w:t>sponde con lo solicitado</w:t>
      </w:r>
      <w:r>
        <w:rPr>
          <w:rFonts w:ascii="Palatino Linotype" w:eastAsia="Palatino Linotype" w:hAnsi="Palatino Linotype" w:cs="Palatino Linotype"/>
          <w:sz w:val="24"/>
          <w:szCs w:val="24"/>
        </w:rPr>
        <w:t>.</w:t>
      </w:r>
    </w:p>
    <w:p w:rsidR="00410B7C" w:rsidRDefault="00410B7C">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rsidR="00410B7C" w:rsidRDefault="00ED5CAF">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dicha razón que se emite el presente </w:t>
      </w:r>
      <w:r>
        <w:rPr>
          <w:rFonts w:ascii="Palatino Linotype" w:eastAsia="Palatino Linotype" w:hAnsi="Palatino Linotype" w:cs="Palatino Linotype"/>
          <w:b/>
          <w:sz w:val="24"/>
          <w:szCs w:val="24"/>
        </w:rPr>
        <w:t>voto disidente</w:t>
      </w:r>
      <w:r>
        <w:rPr>
          <w:rFonts w:ascii="Palatino Linotype" w:eastAsia="Palatino Linotype" w:hAnsi="Palatino Linotype" w:cs="Palatino Linotype"/>
          <w:sz w:val="24"/>
          <w:szCs w:val="24"/>
        </w:rPr>
        <w:t xml:space="preserve">, pues considero que se debió confirmar la respuesta emitida por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y enfatizar, mediante la resolución, que si el interés de la persona solicitante era conocer los recibos de nómina del personal docente y/o administrativo, quedaba a salvo su derecho para presentar su solicitud de información ante la Secretaría de Finanzas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como el Sujeto Obligado competente para generar, administrar o poseer dichos documentos.</w:t>
      </w:r>
    </w:p>
    <w:p w:rsidR="00410B7C" w:rsidRDefault="00410B7C">
      <w:pPr>
        <w:spacing w:after="0" w:line="360" w:lineRule="auto"/>
        <w:ind w:right="51"/>
        <w:jc w:val="both"/>
        <w:rPr>
          <w:rFonts w:ascii="Palatino Linotype" w:eastAsia="Palatino Linotype" w:hAnsi="Palatino Linotype" w:cs="Palatino Linotype"/>
          <w:sz w:val="24"/>
          <w:szCs w:val="24"/>
        </w:rPr>
      </w:pPr>
    </w:p>
    <w:p w:rsidR="00410B7C" w:rsidRDefault="00ED5CAF">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sustentar dicho argumento es necesario señalar, en primer lugar, que la Secretaría de Finanzas, a través de la Dirección General del Sistema Estatal de Informát</w:t>
      </w:r>
      <w:r>
        <w:rPr>
          <w:rFonts w:ascii="Palatino Linotype" w:eastAsia="Palatino Linotype" w:hAnsi="Palatino Linotype" w:cs="Palatino Linotype"/>
          <w:sz w:val="24"/>
          <w:szCs w:val="24"/>
        </w:rPr>
        <w:t>ica, es el área la que genera los comprobantes de percepciones y deducciones de cada servidor público, a través del Sistema de Emisión de Comprobantes de Percepciones y Deducciones, del Portal de Gestión Interna g2g del Gobierno del Estado de México, confo</w:t>
      </w:r>
      <w:r>
        <w:rPr>
          <w:rFonts w:ascii="Palatino Linotype" w:eastAsia="Palatino Linotype" w:hAnsi="Palatino Linotype" w:cs="Palatino Linotype"/>
          <w:sz w:val="24"/>
          <w:szCs w:val="24"/>
        </w:rPr>
        <w:t>rme a las normas 20301/081-03,  20301/082-03, y 20301/083-03, de los Procedimientos</w:t>
      </w:r>
      <w:r>
        <w:rPr>
          <w:rFonts w:ascii="Palatino Linotype" w:eastAsia="Palatino Linotype" w:hAnsi="Palatino Linotype" w:cs="Palatino Linotype"/>
          <w:i/>
          <w:sz w:val="24"/>
          <w:szCs w:val="24"/>
        </w:rPr>
        <w:t>:  081 PAGO DE NÓMINA A SERVIDORAS PÚBLICAS Y A SERVIDORES PÚBLICOS DE MANDOS SUPERIORES, MANDOS MEDIOS Y DE ENLACE Y APOYO TÉCNICO; 082 PAGO DE NÓMINA A SERVIDORAS PÚBLICAS</w:t>
      </w:r>
      <w:r>
        <w:rPr>
          <w:rFonts w:ascii="Palatino Linotype" w:eastAsia="Palatino Linotype" w:hAnsi="Palatino Linotype" w:cs="Palatino Linotype"/>
          <w:i/>
          <w:sz w:val="24"/>
          <w:szCs w:val="24"/>
        </w:rPr>
        <w:t xml:space="preserve"> Y A SERVIDORES PÚBLICOS GENERALES; 083 PAGO DE NÓMINA A SERVIDORAS PÚBLICAS Y A SERVIDORES PÚBLICOS DOCENTES; </w:t>
      </w:r>
      <w:r>
        <w:rPr>
          <w:rFonts w:ascii="Palatino Linotype" w:eastAsia="Palatino Linotype" w:hAnsi="Palatino Linotype" w:cs="Palatino Linotype"/>
          <w:sz w:val="24"/>
          <w:szCs w:val="24"/>
        </w:rPr>
        <w:t>del Manual de Normas y Procedimientos de Desarrollo y Administración de Personal de la Secretaría de Fianzas, a saber:</w:t>
      </w:r>
    </w:p>
    <w:p w:rsidR="00410B7C" w:rsidRDefault="00ED5CAF">
      <w:pPr>
        <w:spacing w:after="240" w:line="360" w:lineRule="auto"/>
        <w:ind w:right="51"/>
        <w:jc w:val="both"/>
        <w:rPr>
          <w:rFonts w:ascii="Palatino Linotype" w:eastAsia="Palatino Linotype" w:hAnsi="Palatino Linotype" w:cs="Palatino Linotype"/>
        </w:rPr>
      </w:pPr>
      <w:r>
        <w:rPr>
          <w:noProof/>
        </w:rPr>
        <w:lastRenderedPageBreak/>
        <w:drawing>
          <wp:inline distT="0" distB="0" distL="0" distR="0">
            <wp:extent cx="5612130" cy="120840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2130" cy="1208405"/>
                    </a:xfrm>
                    <a:prstGeom prst="rect">
                      <a:avLst/>
                    </a:prstGeom>
                    <a:ln/>
                  </pic:spPr>
                </pic:pic>
              </a:graphicData>
            </a:graphic>
          </wp:inline>
        </w:drawing>
      </w:r>
      <w:r>
        <w:rPr>
          <w:rFonts w:ascii="Palatino Linotype" w:eastAsia="Palatino Linotype" w:hAnsi="Palatino Linotype" w:cs="Palatino Linotype"/>
          <w:noProof/>
        </w:rPr>
        <w:drawing>
          <wp:inline distT="0" distB="0" distL="0" distR="0">
            <wp:extent cx="5609590" cy="123952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609590" cy="1239520"/>
                    </a:xfrm>
                    <a:prstGeom prst="rect">
                      <a:avLst/>
                    </a:prstGeom>
                    <a:ln/>
                  </pic:spPr>
                </pic:pic>
              </a:graphicData>
            </a:graphic>
          </wp:inline>
        </w:drawing>
      </w:r>
    </w:p>
    <w:p w:rsidR="00410B7C" w:rsidRDefault="00ED5CAF">
      <w:pPr>
        <w:spacing w:before="240" w:after="240" w:line="360" w:lineRule="auto"/>
        <w:ind w:right="51"/>
        <w:jc w:val="both"/>
        <w:rPr>
          <w:rFonts w:ascii="Palatino Linotype" w:eastAsia="Palatino Linotype" w:hAnsi="Palatino Linotype" w:cs="Palatino Linotype"/>
        </w:rPr>
      </w:pPr>
      <w:r>
        <w:rPr>
          <w:noProof/>
        </w:rPr>
        <w:drawing>
          <wp:inline distT="0" distB="0" distL="0" distR="0">
            <wp:extent cx="5612130" cy="172021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612130" cy="1720215"/>
                    </a:xfrm>
                    <a:prstGeom prst="rect">
                      <a:avLst/>
                    </a:prstGeom>
                    <a:ln/>
                  </pic:spPr>
                </pic:pic>
              </a:graphicData>
            </a:graphic>
          </wp:inline>
        </w:drawing>
      </w:r>
    </w:p>
    <w:p w:rsidR="00410B7C" w:rsidRDefault="00ED5CAF">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el cumplimiento </w:t>
      </w:r>
      <w:r>
        <w:rPr>
          <w:rFonts w:ascii="Palatino Linotype" w:eastAsia="Palatino Linotype" w:hAnsi="Palatino Linotype" w:cs="Palatino Linotype"/>
          <w:sz w:val="24"/>
          <w:szCs w:val="24"/>
        </w:rPr>
        <w:t xml:space="preserve">a dicha atribución, se genera el formato 20301/NP-46/16, mismo que se inserta a continuación para mejor referencia: </w:t>
      </w:r>
    </w:p>
    <w:p w:rsidR="00410B7C" w:rsidRDefault="00ED5CAF">
      <w:pPr>
        <w:spacing w:before="240" w:after="240" w:line="360" w:lineRule="auto"/>
        <w:ind w:right="139"/>
        <w:jc w:val="center"/>
        <w:rPr>
          <w:rFonts w:ascii="Palatino Linotype" w:eastAsia="Palatino Linotype" w:hAnsi="Palatino Linotype" w:cs="Palatino Linotype"/>
          <w:sz w:val="24"/>
          <w:szCs w:val="24"/>
        </w:rPr>
      </w:pPr>
      <w:r>
        <w:rPr>
          <w:noProof/>
        </w:rPr>
        <w:lastRenderedPageBreak/>
        <w:drawing>
          <wp:inline distT="0" distB="0" distL="0" distR="0">
            <wp:extent cx="4464000" cy="594416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464000" cy="5944167"/>
                    </a:xfrm>
                    <a:prstGeom prst="rect">
                      <a:avLst/>
                    </a:prstGeom>
                    <a:ln/>
                  </pic:spPr>
                </pic:pic>
              </a:graphicData>
            </a:graphic>
          </wp:inline>
        </w:drawing>
      </w:r>
    </w:p>
    <w:p w:rsidR="00410B7C" w:rsidRDefault="00ED5CAF">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Atento a lo anterior, respecto a la declaración de incompetencia, es de recordar que la Ley de Transparencia y Acceso a la Información Pública del Estado de México, establece, en los artículos 49, fracción II y 167, lo siguiente: </w:t>
      </w:r>
    </w:p>
    <w:p w:rsidR="00410B7C" w:rsidRDefault="00410B7C">
      <w:pPr>
        <w:spacing w:after="0" w:line="360" w:lineRule="auto"/>
        <w:jc w:val="both"/>
        <w:rPr>
          <w:rFonts w:ascii="Palatino Linotype" w:eastAsia="Palatino Linotype" w:hAnsi="Palatino Linotype" w:cs="Palatino Linotype"/>
          <w:sz w:val="24"/>
          <w:szCs w:val="24"/>
        </w:rPr>
      </w:pPr>
    </w:p>
    <w:p w:rsidR="00410B7C" w:rsidRDefault="00ED5CAF">
      <w:pPr>
        <w:tabs>
          <w:tab w:val="left" w:pos="1134"/>
          <w:tab w:val="left" w:pos="1276"/>
        </w:tabs>
        <w:spacing w:after="0" w:line="276" w:lineRule="auto"/>
        <w:ind w:left="567" w:right="61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Artículo 49.</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Los Comité</w:t>
      </w:r>
      <w:r>
        <w:rPr>
          <w:rFonts w:ascii="Palatino Linotype" w:eastAsia="Palatino Linotype" w:hAnsi="Palatino Linotype" w:cs="Palatino Linotype"/>
          <w:b/>
          <w:i/>
          <w:sz w:val="24"/>
          <w:szCs w:val="24"/>
        </w:rPr>
        <w:t>s de Transparencia</w:t>
      </w:r>
      <w:r>
        <w:rPr>
          <w:rFonts w:ascii="Palatino Linotype" w:eastAsia="Palatino Linotype" w:hAnsi="Palatino Linotype" w:cs="Palatino Linotype"/>
          <w:i/>
          <w:sz w:val="24"/>
          <w:szCs w:val="24"/>
        </w:rPr>
        <w:t xml:space="preserve"> tendrán las siguientes atribuciones:</w:t>
      </w:r>
    </w:p>
    <w:p w:rsidR="00410B7C" w:rsidRDefault="00ED5CAF">
      <w:pPr>
        <w:tabs>
          <w:tab w:val="left" w:pos="1134"/>
        </w:tabs>
        <w:spacing w:after="0" w:line="276"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w:t>
      </w:r>
    </w:p>
    <w:p w:rsidR="00410B7C" w:rsidRDefault="00ED5CAF">
      <w:pPr>
        <w:tabs>
          <w:tab w:val="left" w:pos="1134"/>
        </w:tabs>
        <w:spacing w:after="0" w:line="276" w:lineRule="auto"/>
        <w:ind w:left="567" w:right="616"/>
        <w:jc w:val="both"/>
        <w:rPr>
          <w:rFonts w:ascii="Palatino Linotype" w:eastAsia="Palatino Linotype" w:hAnsi="Palatino Linotype" w:cs="Palatino Linotype"/>
          <w:b/>
          <w:i/>
          <w:sz w:val="24"/>
          <w:szCs w:val="24"/>
          <w:u w:val="single"/>
        </w:rPr>
      </w:pPr>
      <w:r>
        <w:rPr>
          <w:rFonts w:ascii="Palatino Linotype" w:eastAsia="Palatino Linotype" w:hAnsi="Palatino Linotype" w:cs="Palatino Linotype"/>
          <w:b/>
          <w:i/>
          <w:sz w:val="24"/>
          <w:szCs w:val="24"/>
        </w:rPr>
        <w:t>II.</w:t>
      </w:r>
      <w:r>
        <w:rPr>
          <w:sz w:val="24"/>
          <w:szCs w:val="24"/>
        </w:rPr>
        <w:t xml:space="preserve"> </w:t>
      </w:r>
      <w:r>
        <w:rPr>
          <w:rFonts w:ascii="Palatino Linotype" w:eastAsia="Palatino Linotype" w:hAnsi="Palatino Linotype" w:cs="Palatino Linotype"/>
          <w:b/>
          <w:i/>
          <w:sz w:val="24"/>
          <w:szCs w:val="24"/>
        </w:rPr>
        <w:t>Confirmar, modificar o revocar</w:t>
      </w:r>
      <w:r>
        <w:rPr>
          <w:rFonts w:ascii="Palatino Linotype" w:eastAsia="Palatino Linotype" w:hAnsi="Palatino Linotype" w:cs="Palatino Linotype"/>
          <w:i/>
          <w:sz w:val="24"/>
          <w:szCs w:val="24"/>
        </w:rPr>
        <w:t xml:space="preserve"> las determinaciones que en materia de ampliación del plazo de respuesta, clasificación de la información </w:t>
      </w:r>
      <w:r>
        <w:rPr>
          <w:rFonts w:ascii="Palatino Linotype" w:eastAsia="Palatino Linotype" w:hAnsi="Palatino Linotype" w:cs="Palatino Linotype"/>
          <w:b/>
          <w:i/>
          <w:sz w:val="24"/>
          <w:szCs w:val="24"/>
        </w:rPr>
        <w:t>y declaración</w:t>
      </w:r>
      <w:r>
        <w:rPr>
          <w:rFonts w:ascii="Palatino Linotype" w:eastAsia="Palatino Linotype" w:hAnsi="Palatino Linotype" w:cs="Palatino Linotype"/>
          <w:i/>
          <w:sz w:val="24"/>
          <w:szCs w:val="24"/>
        </w:rPr>
        <w:t xml:space="preserve"> de inexistencia o </w:t>
      </w:r>
      <w:r>
        <w:rPr>
          <w:rFonts w:ascii="Palatino Linotype" w:eastAsia="Palatino Linotype" w:hAnsi="Palatino Linotype" w:cs="Palatino Linotype"/>
          <w:b/>
          <w:i/>
          <w:sz w:val="24"/>
          <w:szCs w:val="24"/>
        </w:rPr>
        <w:t>de incompetencia realicen los titulares de las áreas de los sujetos obligados;</w:t>
      </w:r>
    </w:p>
    <w:p w:rsidR="00410B7C" w:rsidRDefault="00ED5CAF">
      <w:pPr>
        <w:tabs>
          <w:tab w:val="left" w:pos="1134"/>
        </w:tabs>
        <w:spacing w:after="0" w:line="276"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w:t>
      </w:r>
    </w:p>
    <w:p w:rsidR="00410B7C" w:rsidRDefault="00ED5CAF">
      <w:pPr>
        <w:tabs>
          <w:tab w:val="left" w:pos="1134"/>
        </w:tabs>
        <w:spacing w:after="0" w:line="276" w:lineRule="auto"/>
        <w:ind w:left="567" w:right="616"/>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Artículo 167</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Cuando las unidades de transparencia determinen la notoria incompetencia</w:t>
      </w:r>
      <w:r>
        <w:rPr>
          <w:rFonts w:ascii="Palatino Linotype" w:eastAsia="Palatino Linotype" w:hAnsi="Palatino Linotype" w:cs="Palatino Linotype"/>
          <w:i/>
          <w:sz w:val="24"/>
          <w:szCs w:val="24"/>
        </w:rPr>
        <w:t xml:space="preserve"> por parte de los sujetos obligados, dentro del ámbito de aplicación, para atender la s</w:t>
      </w:r>
      <w:r>
        <w:rPr>
          <w:rFonts w:ascii="Palatino Linotype" w:eastAsia="Palatino Linotype" w:hAnsi="Palatino Linotype" w:cs="Palatino Linotype"/>
          <w:i/>
          <w:sz w:val="24"/>
          <w:szCs w:val="24"/>
        </w:rPr>
        <w:t xml:space="preserve">olicitud de acceso a la información, </w:t>
      </w:r>
      <w:r>
        <w:rPr>
          <w:rFonts w:ascii="Palatino Linotype" w:eastAsia="Palatino Linotype" w:hAnsi="Palatino Linotype" w:cs="Palatino Linotype"/>
          <w:b/>
          <w:i/>
          <w:sz w:val="24"/>
          <w:szCs w:val="24"/>
        </w:rPr>
        <w:t>deberán comunicarlo al solicitante, dentro de los tres días hábiles posteriores a la recepción de la solicitud</w:t>
      </w:r>
      <w:r>
        <w:rPr>
          <w:rFonts w:ascii="Palatino Linotype" w:eastAsia="Palatino Linotype" w:hAnsi="Palatino Linotype" w:cs="Palatino Linotype"/>
          <w:i/>
          <w:sz w:val="24"/>
          <w:szCs w:val="24"/>
        </w:rPr>
        <w:t xml:space="preserve"> y, </w:t>
      </w:r>
      <w:r>
        <w:rPr>
          <w:rFonts w:ascii="Palatino Linotype" w:eastAsia="Palatino Linotype" w:hAnsi="Palatino Linotype" w:cs="Palatino Linotype"/>
          <w:b/>
          <w:i/>
          <w:sz w:val="24"/>
          <w:szCs w:val="24"/>
        </w:rPr>
        <w:t xml:space="preserve">en su caso orientar al solicitante, el o los sujetos obligados competentes.” </w:t>
      </w:r>
    </w:p>
    <w:p w:rsidR="00410B7C" w:rsidRDefault="00410B7C">
      <w:pPr>
        <w:tabs>
          <w:tab w:val="left" w:pos="1134"/>
        </w:tabs>
        <w:spacing w:after="0" w:line="360" w:lineRule="auto"/>
        <w:ind w:left="567" w:right="616"/>
        <w:jc w:val="both"/>
        <w:rPr>
          <w:rFonts w:ascii="Palatino Linotype" w:eastAsia="Palatino Linotype" w:hAnsi="Palatino Linotype" w:cs="Palatino Linotype"/>
          <w:b/>
          <w:i/>
          <w:sz w:val="24"/>
          <w:szCs w:val="24"/>
        </w:rPr>
      </w:pPr>
    </w:p>
    <w:p w:rsidR="00410B7C" w:rsidRDefault="00ED5CAF">
      <w:pPr>
        <w:tabs>
          <w:tab w:val="left" w:pos="142"/>
          <w:tab w:val="left" w:pos="284"/>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De los preceptos citados s</w:t>
      </w:r>
      <w:r>
        <w:rPr>
          <w:rFonts w:ascii="Palatino Linotype" w:eastAsia="Palatino Linotype" w:hAnsi="Palatino Linotype" w:cs="Palatino Linotype"/>
          <w:sz w:val="24"/>
          <w:szCs w:val="24"/>
        </w:rPr>
        <w:t>e desprende que es atribución del Comité de Transparencia confirmar, modificar o revocar, en su caso, la declaración de incompetencia,</w:t>
      </w:r>
      <w:r>
        <w:rPr>
          <w:rFonts w:ascii="Palatino Linotype" w:eastAsia="Palatino Linotype" w:hAnsi="Palatino Linotype" w:cs="Palatino Linotype"/>
          <w:b/>
          <w:sz w:val="24"/>
          <w:szCs w:val="24"/>
        </w:rPr>
        <w:t xml:space="preserve"> en aquellos casos en los que no se trate de una notoria incompetencia. </w:t>
      </w:r>
    </w:p>
    <w:p w:rsidR="00410B7C" w:rsidRDefault="00410B7C">
      <w:pPr>
        <w:tabs>
          <w:tab w:val="left" w:pos="142"/>
          <w:tab w:val="left" w:pos="284"/>
        </w:tabs>
        <w:spacing w:after="0" w:line="360" w:lineRule="auto"/>
        <w:jc w:val="both"/>
        <w:rPr>
          <w:rFonts w:ascii="Palatino Linotype" w:eastAsia="Palatino Linotype" w:hAnsi="Palatino Linotype" w:cs="Palatino Linotype"/>
          <w:b/>
          <w:sz w:val="24"/>
          <w:szCs w:val="24"/>
        </w:rPr>
      </w:pPr>
    </w:p>
    <w:p w:rsidR="00410B7C" w:rsidRDefault="00ED5CAF">
      <w:pPr>
        <w:tabs>
          <w:tab w:val="left" w:pos="142"/>
          <w:tab w:val="left" w:pos="284"/>
        </w:tabs>
        <w:spacing w:after="0" w:line="360" w:lineRule="auto"/>
        <w:jc w:val="both"/>
        <w:rPr>
          <w:rFonts w:ascii="Palatino Linotype" w:eastAsia="Palatino Linotype" w:hAnsi="Palatino Linotype" w:cs="Palatino Linotype"/>
          <w:sz w:val="24"/>
          <w:szCs w:val="24"/>
          <w:u w:val="single"/>
        </w:rPr>
      </w:pPr>
      <w:r>
        <w:rPr>
          <w:rFonts w:ascii="Palatino Linotype" w:eastAsia="Palatino Linotype" w:hAnsi="Palatino Linotype" w:cs="Palatino Linotype"/>
          <w:sz w:val="24"/>
          <w:szCs w:val="24"/>
        </w:rPr>
        <w:lastRenderedPageBreak/>
        <w:t>Puesto que la Ley también prevé que dicho acuerd</w:t>
      </w:r>
      <w:r>
        <w:rPr>
          <w:rFonts w:ascii="Palatino Linotype" w:eastAsia="Palatino Linotype" w:hAnsi="Palatino Linotype" w:cs="Palatino Linotype"/>
          <w:sz w:val="24"/>
          <w:szCs w:val="24"/>
        </w:rPr>
        <w:t>o no es necesario cuando la Unidad de Transparencia determine que la incompetencia es notoria dando un plazo de tres días hábiles para hacerlo del conocimiento de la persona solicitante. En otras palabras, la Ley de la Materia confiere a las Unidades de Tr</w:t>
      </w:r>
      <w:r>
        <w:rPr>
          <w:rFonts w:ascii="Palatino Linotype" w:eastAsia="Palatino Linotype" w:hAnsi="Palatino Linotype" w:cs="Palatino Linotype"/>
          <w:sz w:val="24"/>
          <w:szCs w:val="24"/>
        </w:rPr>
        <w:t xml:space="preserve">ansparencia la posibilidad de notificar la incompetencia cuando esta sea notoria, siendo innecesario que dicha circunstancia sea sometida a consideración de los integrantes del Comité de Transparencia </w:t>
      </w:r>
      <w:r>
        <w:rPr>
          <w:rFonts w:ascii="Palatino Linotype" w:eastAsia="Palatino Linotype" w:hAnsi="Palatino Linotype" w:cs="Palatino Linotype"/>
          <w:sz w:val="24"/>
          <w:szCs w:val="24"/>
          <w:u w:val="single"/>
        </w:rPr>
        <w:t xml:space="preserve">para su aprobación. </w:t>
      </w:r>
    </w:p>
    <w:p w:rsidR="00410B7C" w:rsidRDefault="00410B7C">
      <w:pPr>
        <w:tabs>
          <w:tab w:val="left" w:pos="142"/>
          <w:tab w:val="left" w:pos="284"/>
        </w:tabs>
        <w:spacing w:after="0" w:line="360" w:lineRule="auto"/>
        <w:jc w:val="both"/>
        <w:rPr>
          <w:rFonts w:ascii="Palatino Linotype" w:eastAsia="Palatino Linotype" w:hAnsi="Palatino Linotype" w:cs="Palatino Linotype"/>
          <w:sz w:val="24"/>
          <w:szCs w:val="24"/>
          <w:u w:val="single"/>
        </w:rPr>
      </w:pPr>
    </w:p>
    <w:p w:rsidR="00410B7C" w:rsidRDefault="00ED5CAF">
      <w:pPr>
        <w:tabs>
          <w:tab w:val="left" w:pos="142"/>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sustento de lo anterior, res</w:t>
      </w:r>
      <w:r>
        <w:rPr>
          <w:rFonts w:ascii="Palatino Linotype" w:eastAsia="Palatino Linotype" w:hAnsi="Palatino Linotype" w:cs="Palatino Linotype"/>
          <w:sz w:val="24"/>
          <w:szCs w:val="24"/>
        </w:rPr>
        <w:t xml:space="preserve">ulta aplicable el Criterio 20/20, emitido por el Instituto Nacional de Transparencia, Acceso a la Información, y Protección de Datos Personales, INAI, que lleva por rubro y texto los siguientes:  </w:t>
      </w:r>
    </w:p>
    <w:p w:rsidR="00410B7C" w:rsidRDefault="00410B7C">
      <w:pPr>
        <w:tabs>
          <w:tab w:val="left" w:pos="142"/>
          <w:tab w:val="left" w:pos="284"/>
        </w:tabs>
        <w:spacing w:after="0" w:line="360" w:lineRule="auto"/>
        <w:jc w:val="both"/>
        <w:rPr>
          <w:rFonts w:ascii="Palatino Linotype" w:eastAsia="Palatino Linotype" w:hAnsi="Palatino Linotype" w:cs="Palatino Linotype"/>
          <w:sz w:val="24"/>
          <w:szCs w:val="24"/>
        </w:rPr>
      </w:pPr>
    </w:p>
    <w:p w:rsidR="00410B7C" w:rsidRDefault="00ED5CAF">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“Declaración de incompetencia por parte del Comité, cuando no sea notoria o manifiesta.</w:t>
      </w:r>
      <w:r>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w:t>
      </w:r>
      <w:r>
        <w:rPr>
          <w:rFonts w:ascii="Palatino Linotype" w:eastAsia="Palatino Linotype" w:hAnsi="Palatino Linotype" w:cs="Palatino Linotype"/>
          <w:i/>
        </w:rPr>
        <w:t>lte necesario efectuar un análisis mayor para determinar la incompetencia, ésta debe ser declarada por el Comité de Transparencia.”</w:t>
      </w:r>
    </w:p>
    <w:p w:rsidR="00410B7C" w:rsidRDefault="00410B7C">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p>
    <w:p w:rsidR="00410B7C" w:rsidRDefault="00ED5CAF">
      <w:pPr>
        <w:tabs>
          <w:tab w:val="left" w:pos="142"/>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igual manera, el Pleno de este Instituto, a través del Criterio 02/04 emitido en la Segunda Época, precisa los alcances </w:t>
      </w:r>
      <w:r>
        <w:rPr>
          <w:rFonts w:ascii="Palatino Linotype" w:eastAsia="Palatino Linotype" w:hAnsi="Palatino Linotype" w:cs="Palatino Linotype"/>
          <w:sz w:val="24"/>
          <w:szCs w:val="24"/>
        </w:rPr>
        <w:t xml:space="preserve">del artículo 167 de la Ley de Transparencia, al señalar que corresponde al Comité de Transparencia confirmar la declaratoria de incompetencia y notificarle dicha determinación al particular, refiriéndose a </w:t>
      </w:r>
      <w:r>
        <w:rPr>
          <w:rFonts w:ascii="Palatino Linotype" w:eastAsia="Palatino Linotype" w:hAnsi="Palatino Linotype" w:cs="Palatino Linotype"/>
          <w:sz w:val="24"/>
          <w:szCs w:val="24"/>
        </w:rPr>
        <w:lastRenderedPageBreak/>
        <w:t>aquellos casos en los que exista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duda razonable so</w:t>
      </w:r>
      <w:r>
        <w:rPr>
          <w:rFonts w:ascii="Palatino Linotype" w:eastAsia="Palatino Linotype" w:hAnsi="Palatino Linotype" w:cs="Palatino Linotype"/>
          <w:b/>
          <w:sz w:val="24"/>
          <w:szCs w:val="24"/>
          <w:u w:val="single"/>
        </w:rPr>
        <w:t>bre la administración del documento materia de la solicitud de información</w:t>
      </w:r>
      <w:r>
        <w:rPr>
          <w:rFonts w:ascii="Palatino Linotype" w:eastAsia="Palatino Linotype" w:hAnsi="Palatino Linotype" w:cs="Palatino Linotype"/>
          <w:sz w:val="24"/>
          <w:szCs w:val="24"/>
        </w:rPr>
        <w:t>, como se lee enseguida:</w:t>
      </w:r>
    </w:p>
    <w:p w:rsidR="00410B7C" w:rsidRDefault="00410B7C">
      <w:pPr>
        <w:tabs>
          <w:tab w:val="left" w:pos="142"/>
          <w:tab w:val="left" w:pos="284"/>
        </w:tabs>
        <w:spacing w:after="0" w:line="360" w:lineRule="auto"/>
        <w:jc w:val="both"/>
        <w:rPr>
          <w:rFonts w:ascii="Palatino Linotype" w:eastAsia="Palatino Linotype" w:hAnsi="Palatino Linotype" w:cs="Palatino Linotype"/>
          <w:sz w:val="24"/>
          <w:szCs w:val="24"/>
        </w:rPr>
      </w:pPr>
    </w:p>
    <w:p w:rsidR="00410B7C" w:rsidRDefault="00ED5CAF">
      <w:pPr>
        <w:tabs>
          <w:tab w:val="left" w:pos="1418"/>
        </w:tabs>
        <w:spacing w:after="0" w:line="240" w:lineRule="auto"/>
        <w:ind w:left="567" w:right="902"/>
        <w:jc w:val="both"/>
        <w:rPr>
          <w:rFonts w:ascii="Palatino Linotype" w:eastAsia="Palatino Linotype" w:hAnsi="Palatino Linotype" w:cs="Palatino Linotype"/>
          <w:i/>
        </w:rPr>
      </w:pPr>
      <w:bookmarkStart w:id="3" w:name="_heading=h.30j0zll" w:colFirst="0" w:colLast="0"/>
      <w:bookmarkEnd w:id="3"/>
      <w:r>
        <w:rPr>
          <w:rFonts w:ascii="Palatino Linotype" w:eastAsia="Palatino Linotype" w:hAnsi="Palatino Linotype" w:cs="Palatino Linotype"/>
          <w:b/>
          <w:i/>
        </w:rPr>
        <w:t xml:space="preserve">“DECLARATORIA DE INCOMPETENCIA DEL SUJETO OBLIGADO. SUPUESTO PARA CONFIRMARLA POR ACUERDO DEL COMITÉ DE TRANSPARENCIA. </w:t>
      </w:r>
      <w:r>
        <w:rPr>
          <w:rFonts w:ascii="Palatino Linotype" w:eastAsia="Palatino Linotype" w:hAnsi="Palatino Linotype" w:cs="Palatino Linotype"/>
          <w:i/>
        </w:rPr>
        <w:t>De conformidad con el artículo 167 de</w:t>
      </w:r>
      <w:r>
        <w:rPr>
          <w:rFonts w:ascii="Palatino Linotype" w:eastAsia="Palatino Linotype" w:hAnsi="Palatino Linotype" w:cs="Palatino Linotype"/>
          <w:i/>
        </w:rPr>
        <w:t xml:space="preserve"> la Ley de Transparencia vigente en la entidad, las Unidades de Transparencia tienen la facultad de determinar la notoria incompetencia para atender las solicitudes de acceso a la información y comunicarla al solicitante dentro de los tres días hábiles pos</w:t>
      </w:r>
      <w:r>
        <w:rPr>
          <w:rFonts w:ascii="Palatino Linotype" w:eastAsia="Palatino Linotype" w:hAnsi="Palatino Linotype" w:cs="Palatino Linotype"/>
          <w:i/>
        </w:rPr>
        <w:t xml:space="preserve">teriores a la recepción de la misma, así como en su caso, orientar al particular sobre el o los Sujetos Obligados competentes para su atención. No obstante, es importante resaltar que </w:t>
      </w:r>
      <w:r>
        <w:rPr>
          <w:rFonts w:ascii="Palatino Linotype" w:eastAsia="Palatino Linotype" w:hAnsi="Palatino Linotype" w:cs="Palatino Linotype"/>
          <w:b/>
          <w:i/>
        </w:rPr>
        <w:t>al ejercer el derecho de acceso a la información pública cabe la posibil</w:t>
      </w:r>
      <w:r>
        <w:rPr>
          <w:rFonts w:ascii="Palatino Linotype" w:eastAsia="Palatino Linotype" w:hAnsi="Palatino Linotype" w:cs="Palatino Linotype"/>
          <w:b/>
          <w:i/>
        </w:rPr>
        <w:t xml:space="preserve">idad de que existan atribuciones concurrentes entre dos o más Sujetos Obligados que </w:t>
      </w:r>
      <w:r>
        <w:rPr>
          <w:rFonts w:ascii="Palatino Linotype" w:eastAsia="Palatino Linotype" w:hAnsi="Palatino Linotype" w:cs="Palatino Linotype"/>
          <w:b/>
          <w:i/>
          <w:u w:val="single"/>
        </w:rPr>
        <w:t>impiden determinar dentro del término legal de tres días hábiles</w:t>
      </w:r>
      <w:r>
        <w:rPr>
          <w:rFonts w:ascii="Palatino Linotype" w:eastAsia="Palatino Linotype" w:hAnsi="Palatino Linotype" w:cs="Palatino Linotype"/>
          <w:b/>
          <w:i/>
        </w:rPr>
        <w:t>, si se posee o no la información por el Sujeto Obligado requerid</w:t>
      </w:r>
      <w:r>
        <w:rPr>
          <w:rFonts w:ascii="Palatino Linotype" w:eastAsia="Palatino Linotype" w:hAnsi="Palatino Linotype" w:cs="Palatino Linotype"/>
          <w:i/>
        </w:rPr>
        <w:t>o; en virtud de ello, en aras de disipar to</w:t>
      </w:r>
      <w:r>
        <w:rPr>
          <w:rFonts w:ascii="Palatino Linotype" w:eastAsia="Palatino Linotype" w:hAnsi="Palatino Linotype" w:cs="Palatino Linotype"/>
          <w:i/>
        </w:rPr>
        <w:t>da duda razonable sobre la administración del documento materia de la solicitud de información, el Sujeto Obligado deberá dar el trámite correspondiente a la solicitud de información a efecto de realizar un análisis minucioso de las facultades, competencia</w:t>
      </w:r>
      <w:r>
        <w:rPr>
          <w:rFonts w:ascii="Palatino Linotype" w:eastAsia="Palatino Linotype" w:hAnsi="Palatino Linotype" w:cs="Palatino Linotype"/>
          <w:i/>
        </w:rPr>
        <w:t>s o funciones de cada una de las Unidades Administrativas que lo integran y, si posterior a ello, se corrobora la incompetencia para la atención del requerimiento, en razón de que es otro el Sujeto Obligado poseedor de la documentación, corresponde a su Co</w:t>
      </w:r>
      <w:r>
        <w:rPr>
          <w:rFonts w:ascii="Palatino Linotype" w:eastAsia="Palatino Linotype" w:hAnsi="Palatino Linotype" w:cs="Palatino Linotype"/>
          <w:i/>
        </w:rPr>
        <w:t>mité de Transparencia confirmar la declaratoria de incompetencia y notificarle dicha determinación al particular, en términos de lo dispuesto en el artículo 49, fracción II de la Ley de Transparencia Local, al ser este el acto jurídico idóneo que genera se</w:t>
      </w:r>
      <w:r>
        <w:rPr>
          <w:rFonts w:ascii="Palatino Linotype" w:eastAsia="Palatino Linotype" w:hAnsi="Palatino Linotype" w:cs="Palatino Linotype"/>
          <w:i/>
        </w:rPr>
        <w:t>guridad jurídica de que el Ente ante quien se presentó la solicitud, carece de facultades, competencias o funciones para poseer o generar la información requerida; lo anterior, sin perjuicio de que pueda gestionar la colaboración de otro Sujeto Obligado co</w:t>
      </w:r>
      <w:r>
        <w:rPr>
          <w:rFonts w:ascii="Palatino Linotype" w:eastAsia="Palatino Linotype" w:hAnsi="Palatino Linotype" w:cs="Palatino Linotype"/>
          <w:i/>
        </w:rPr>
        <w:t>mpetente para atender la solicitud.”</w:t>
      </w:r>
    </w:p>
    <w:p w:rsidR="00410B7C" w:rsidRDefault="00410B7C">
      <w:pPr>
        <w:tabs>
          <w:tab w:val="left" w:pos="1418"/>
        </w:tabs>
        <w:spacing w:after="0" w:line="240" w:lineRule="auto"/>
        <w:ind w:left="567" w:right="902"/>
        <w:jc w:val="both"/>
        <w:rPr>
          <w:rFonts w:ascii="Palatino Linotype" w:eastAsia="Palatino Linotype" w:hAnsi="Palatino Linotype" w:cs="Palatino Linotype"/>
          <w:i/>
        </w:rPr>
      </w:pPr>
    </w:p>
    <w:p w:rsidR="00410B7C" w:rsidRDefault="00ED5CAF">
      <w:pPr>
        <w:tabs>
          <w:tab w:val="left" w:pos="142"/>
          <w:tab w:val="left" w:pos="284"/>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caso particular, de los registros que obran en el Sistema de Acceso a la Información Mexiquense, SAIMEX, se tiene que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realizó </w:t>
      </w:r>
      <w:r>
        <w:rPr>
          <w:rFonts w:ascii="Palatino Linotype" w:eastAsia="Palatino Linotype" w:hAnsi="Palatino Linotype" w:cs="Palatino Linotype"/>
          <w:sz w:val="24"/>
          <w:szCs w:val="24"/>
        </w:rPr>
        <w:lastRenderedPageBreak/>
        <w:t xml:space="preserve">su solicitud de información en fecha </w:t>
      </w:r>
      <w:r w:rsidRPr="003C7894">
        <w:rPr>
          <w:rFonts w:ascii="Palatino Linotype" w:eastAsia="Palatino Linotype" w:hAnsi="Palatino Linotype" w:cs="Palatino Linotype"/>
          <w:b/>
          <w:sz w:val="24"/>
          <w:szCs w:val="24"/>
        </w:rPr>
        <w:t>cu</w:t>
      </w:r>
      <w:r w:rsidRPr="003C7894">
        <w:rPr>
          <w:rFonts w:ascii="Palatino Linotype" w:eastAsia="Palatino Linotype" w:hAnsi="Palatino Linotype" w:cs="Palatino Linotype"/>
          <w:b/>
          <w:sz w:val="24"/>
          <w:szCs w:val="24"/>
        </w:rPr>
        <w:t>atro de diciembre de dos mi</w:t>
      </w:r>
      <w:r w:rsidRPr="003C7894">
        <w:rPr>
          <w:rFonts w:ascii="Palatino Linotype" w:eastAsia="Palatino Linotype" w:hAnsi="Palatino Linotype" w:cs="Palatino Linotype"/>
          <w:b/>
          <w:sz w:val="24"/>
          <w:szCs w:val="24"/>
        </w:rPr>
        <w:t xml:space="preserve">l veintitrés </w:t>
      </w:r>
      <w:r w:rsidRPr="003C7894">
        <w:rPr>
          <w:rFonts w:ascii="Palatino Linotype" w:eastAsia="Palatino Linotype" w:hAnsi="Palatino Linotype" w:cs="Palatino Linotype"/>
          <w:sz w:val="24"/>
          <w:szCs w:val="24"/>
        </w:rPr>
        <w:t xml:space="preserve">y, </w:t>
      </w:r>
      <w:r w:rsidRPr="003C7894">
        <w:rPr>
          <w:rFonts w:ascii="Palatino Linotype" w:eastAsia="Palatino Linotype" w:hAnsi="Palatino Linotype" w:cs="Palatino Linotype"/>
          <w:b/>
          <w:sz w:val="24"/>
          <w:szCs w:val="24"/>
        </w:rPr>
        <w:t>EL SUJETO OBLIGADO</w:t>
      </w:r>
      <w:r w:rsidRPr="003C7894">
        <w:rPr>
          <w:rFonts w:ascii="Palatino Linotype" w:eastAsia="Palatino Linotype" w:hAnsi="Palatino Linotype" w:cs="Palatino Linotype"/>
          <w:sz w:val="24"/>
          <w:szCs w:val="24"/>
        </w:rPr>
        <w:t xml:space="preserve"> declinó la competencia en fecha </w:t>
      </w:r>
      <w:r w:rsidRPr="003C7894">
        <w:rPr>
          <w:rFonts w:ascii="Palatino Linotype" w:eastAsia="Palatino Linotype" w:hAnsi="Palatino Linotype" w:cs="Palatino Linotype"/>
          <w:b/>
          <w:sz w:val="24"/>
          <w:szCs w:val="24"/>
        </w:rPr>
        <w:t>cinco de diciembre de dos mil veintitrés</w:t>
      </w:r>
      <w:r w:rsidRPr="003C7894">
        <w:rPr>
          <w:rFonts w:ascii="Palatino Linotype" w:eastAsia="Palatino Linotype" w:hAnsi="Palatino Linotype" w:cs="Palatino Linotype"/>
          <w:sz w:val="24"/>
          <w:szCs w:val="24"/>
        </w:rPr>
        <w:t>, esto es al</w:t>
      </w:r>
      <w:r w:rsidRPr="003C7894">
        <w:rPr>
          <w:rFonts w:ascii="Palatino Linotype" w:eastAsia="Palatino Linotype" w:hAnsi="Palatino Linotype" w:cs="Palatino Linotype"/>
          <w:b/>
          <w:sz w:val="24"/>
          <w:szCs w:val="24"/>
        </w:rPr>
        <w:t xml:space="preserve"> siguiente día hábil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posterior en que se tuvo por registrada la solicitud de información.  </w:t>
      </w:r>
    </w:p>
    <w:p w:rsidR="00410B7C" w:rsidRDefault="00410B7C">
      <w:pPr>
        <w:tabs>
          <w:tab w:val="left" w:pos="142"/>
          <w:tab w:val="left" w:pos="284"/>
        </w:tabs>
        <w:spacing w:after="0" w:line="360" w:lineRule="auto"/>
        <w:jc w:val="both"/>
        <w:rPr>
          <w:rFonts w:ascii="Palatino Linotype" w:eastAsia="Palatino Linotype" w:hAnsi="Palatino Linotype" w:cs="Palatino Linotype"/>
          <w:sz w:val="24"/>
          <w:szCs w:val="24"/>
        </w:rPr>
      </w:pPr>
    </w:p>
    <w:p w:rsidR="00410B7C" w:rsidRDefault="00ED5C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orientó en su respuesta a la persona solicitante, refiriendo  que esta podía estar en posesión de la Secretaría de Finanzas. </w:t>
      </w:r>
    </w:p>
    <w:p w:rsidR="00410B7C" w:rsidRDefault="00410B7C">
      <w:pPr>
        <w:spacing w:after="0" w:line="360" w:lineRule="auto"/>
        <w:jc w:val="both"/>
        <w:rPr>
          <w:rFonts w:ascii="Palatino Linotype" w:eastAsia="Palatino Linotype" w:hAnsi="Palatino Linotype" w:cs="Palatino Linotype"/>
          <w:sz w:val="24"/>
          <w:szCs w:val="24"/>
        </w:rPr>
      </w:pPr>
    </w:p>
    <w:p w:rsidR="00410B7C" w:rsidRDefault="00ED5CA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mérito de lo anterior, es de vital importancia señalar que la facultad de orientación al particular para que formule su solicitud ante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competente es potestativa. </w:t>
      </w:r>
    </w:p>
    <w:p w:rsidR="00410B7C" w:rsidRDefault="00410B7C">
      <w:pPr>
        <w:spacing w:after="0" w:line="360" w:lineRule="auto"/>
        <w:jc w:val="both"/>
        <w:rPr>
          <w:rFonts w:ascii="Palatino Linotype" w:eastAsia="Palatino Linotype" w:hAnsi="Palatino Linotype" w:cs="Palatino Linotype"/>
          <w:sz w:val="24"/>
          <w:szCs w:val="24"/>
        </w:rPr>
      </w:pPr>
    </w:p>
    <w:p w:rsidR="00410B7C" w:rsidRDefault="00ED5CAF">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tales circunstancias, dado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informó la notori</w:t>
      </w:r>
      <w:r>
        <w:rPr>
          <w:rFonts w:ascii="Palatino Linotype" w:eastAsia="Palatino Linotype" w:hAnsi="Palatino Linotype" w:cs="Palatino Linotype"/>
          <w:sz w:val="24"/>
          <w:szCs w:val="24"/>
        </w:rPr>
        <w:t>a incompetencia para atender favorablemente la solicitud, a los tres días hábiles siguientes de haberse presentado, cobra relevancia artículo 167, párrafo primero de la Ley de Transparencia y Acceso a la Información Pública del Estado de México y Municipio</w:t>
      </w:r>
      <w:r>
        <w:rPr>
          <w:rFonts w:ascii="Palatino Linotype" w:eastAsia="Palatino Linotype" w:hAnsi="Palatino Linotype" w:cs="Palatino Linotype"/>
          <w:sz w:val="24"/>
          <w:szCs w:val="24"/>
        </w:rPr>
        <w:t xml:space="preserve">s, citado con antelación, toda vez que la declaración de incompetencia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se encontró </w:t>
      </w:r>
      <w:r w:rsidRPr="003C7894">
        <w:rPr>
          <w:rFonts w:ascii="Palatino Linotype" w:eastAsia="Palatino Linotype" w:hAnsi="Palatino Linotype" w:cs="Palatino Linotype"/>
          <w:b/>
          <w:sz w:val="24"/>
          <w:szCs w:val="24"/>
          <w:u w:val="single"/>
        </w:rPr>
        <w:t>d</w:t>
      </w:r>
      <w:r w:rsidRPr="003C7894">
        <w:rPr>
          <w:rFonts w:ascii="Palatino Linotype" w:eastAsia="Palatino Linotype" w:hAnsi="Palatino Linotype" w:cs="Palatino Linotype"/>
          <w:b/>
          <w:sz w:val="24"/>
          <w:szCs w:val="24"/>
          <w:u w:val="single"/>
        </w:rPr>
        <w:t>entro de los tres días siguientes a la presentación de la solicitud</w:t>
      </w:r>
      <w:r w:rsidRPr="003C7894">
        <w:rPr>
          <w:rFonts w:ascii="Palatino Linotype" w:eastAsia="Palatino Linotype" w:hAnsi="Palatino Linotype" w:cs="Palatino Linotype"/>
          <w:b/>
          <w:sz w:val="24"/>
          <w:szCs w:val="24"/>
        </w:rPr>
        <w:t xml:space="preserve"> </w:t>
      </w:r>
      <w:r w:rsidRPr="003C7894">
        <w:rPr>
          <w:rFonts w:ascii="Palatino Linotype" w:eastAsia="Palatino Linotype" w:hAnsi="Palatino Linotype" w:cs="Palatino Linotype"/>
          <w:sz w:val="24"/>
          <w:szCs w:val="24"/>
        </w:rPr>
        <w:t>de co</w:t>
      </w:r>
      <w:r w:rsidRPr="003C7894">
        <w:rPr>
          <w:rFonts w:ascii="Palatino Linotype" w:eastAsia="Palatino Linotype" w:hAnsi="Palatino Linotype" w:cs="Palatino Linotype"/>
          <w:sz w:val="24"/>
          <w:szCs w:val="24"/>
        </w:rPr>
        <w:t>nf</w:t>
      </w:r>
      <w:r>
        <w:rPr>
          <w:rFonts w:ascii="Palatino Linotype" w:eastAsia="Palatino Linotype" w:hAnsi="Palatino Linotype" w:cs="Palatino Linotype"/>
          <w:sz w:val="24"/>
          <w:szCs w:val="24"/>
        </w:rPr>
        <w:t>ormidad con el párrafo primero del precepto legal en cita, por lo tanto, lo c</w:t>
      </w:r>
      <w:r>
        <w:rPr>
          <w:rFonts w:ascii="Palatino Linotype" w:eastAsia="Palatino Linotype" w:hAnsi="Palatino Linotype" w:cs="Palatino Linotype"/>
          <w:sz w:val="24"/>
          <w:szCs w:val="24"/>
        </w:rPr>
        <w:t>onducente, a consideración de la que suscribe era confirmar</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la respuesta proporcionada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términos del artículo 186 fracción II de la Ley de Transparencia y Acceso a la Información Pública del Estado de México y </w:t>
      </w:r>
      <w:r>
        <w:rPr>
          <w:rFonts w:ascii="Palatino Linotype" w:eastAsia="Palatino Linotype" w:hAnsi="Palatino Linotype" w:cs="Palatino Linotype"/>
          <w:sz w:val="24"/>
          <w:szCs w:val="24"/>
        </w:rPr>
        <w:lastRenderedPageBreak/>
        <w:t xml:space="preserve">Municipios, dejando a salvo los derechos de </w:t>
      </w:r>
      <w:r>
        <w:rPr>
          <w:rFonts w:ascii="Palatino Linotype" w:eastAsia="Palatino Linotype" w:hAnsi="Palatino Linotype" w:cs="Palatino Linotype"/>
          <w:sz w:val="24"/>
          <w:szCs w:val="24"/>
        </w:rPr>
        <w:t>la persona solicitante para que, en caso de así considerarlo conveniente a sus intereses, pudiera formular una solicitud ante el Sujeto Obligado competente, es decir, la Secretaría de Finanzas.</w:t>
      </w:r>
    </w:p>
    <w:p w:rsidR="00410B7C" w:rsidRDefault="00410B7C">
      <w:pPr>
        <w:spacing w:after="0" w:line="360" w:lineRule="auto"/>
        <w:ind w:right="139"/>
        <w:jc w:val="both"/>
        <w:rPr>
          <w:rFonts w:ascii="Palatino Linotype" w:eastAsia="Palatino Linotype" w:hAnsi="Palatino Linotype" w:cs="Palatino Linotype"/>
          <w:b/>
          <w:sz w:val="24"/>
          <w:szCs w:val="24"/>
        </w:rPr>
      </w:pPr>
    </w:p>
    <w:p w:rsidR="00410B7C" w:rsidRDefault="00ED5CAF">
      <w:pPr>
        <w:spacing w:after="24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Es por todo lo vertido en líneas anteriores que la suscrita e</w:t>
      </w:r>
      <w:r>
        <w:rPr>
          <w:rFonts w:ascii="Palatino Linotype" w:eastAsia="Palatino Linotype" w:hAnsi="Palatino Linotype" w:cs="Palatino Linotype"/>
          <w:sz w:val="24"/>
          <w:szCs w:val="24"/>
        </w:rPr>
        <w:t xml:space="preserve">mite el presente </w:t>
      </w:r>
      <w:r>
        <w:rPr>
          <w:rFonts w:ascii="Palatino Linotype" w:eastAsia="Palatino Linotype" w:hAnsi="Palatino Linotype" w:cs="Palatino Linotype"/>
          <w:b/>
          <w:sz w:val="24"/>
          <w:szCs w:val="24"/>
        </w:rPr>
        <w:t xml:space="preserve">voto disidente. </w:t>
      </w:r>
    </w:p>
    <w:p w:rsidR="00410B7C" w:rsidRDefault="00410B7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p>
    <w:p w:rsidR="00410B7C" w:rsidRDefault="00410B7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4"/>
          <w:szCs w:val="24"/>
        </w:rPr>
      </w:pPr>
    </w:p>
    <w:p w:rsidR="00410B7C" w:rsidRDefault="00410B7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3"/>
          <w:szCs w:val="23"/>
        </w:rPr>
      </w:pPr>
    </w:p>
    <w:p w:rsidR="00410B7C" w:rsidRDefault="00410B7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sz w:val="23"/>
          <w:szCs w:val="23"/>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p w:rsidR="00410B7C" w:rsidRDefault="00410B7C">
      <w:pPr>
        <w:spacing w:before="240" w:after="240" w:line="360" w:lineRule="auto"/>
        <w:ind w:right="139"/>
        <w:jc w:val="both"/>
        <w:rPr>
          <w:rFonts w:ascii="Palatino Linotype" w:eastAsia="Palatino Linotype" w:hAnsi="Palatino Linotype" w:cs="Palatino Linotype"/>
          <w:sz w:val="24"/>
          <w:szCs w:val="24"/>
        </w:rPr>
      </w:pPr>
    </w:p>
    <w:sectPr w:rsidR="00410B7C">
      <w:headerReference w:type="default" r:id="rId18"/>
      <w:footerReference w:type="default" r:id="rId1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5CAF">
      <w:pPr>
        <w:spacing w:after="0" w:line="240" w:lineRule="auto"/>
      </w:pPr>
      <w:r>
        <w:separator/>
      </w:r>
    </w:p>
  </w:endnote>
  <w:endnote w:type="continuationSeparator" w:id="0">
    <w:p w:rsidR="00000000" w:rsidRDefault="00ED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7C" w:rsidRDefault="00ED5CA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3C7894">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3C7894">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rsidR="00410B7C" w:rsidRDefault="00410B7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5CAF">
      <w:pPr>
        <w:spacing w:after="0" w:line="240" w:lineRule="auto"/>
      </w:pPr>
      <w:r>
        <w:separator/>
      </w:r>
    </w:p>
  </w:footnote>
  <w:footnote w:type="continuationSeparator" w:id="0">
    <w:p w:rsidR="00000000" w:rsidRDefault="00ED5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B7C" w:rsidRDefault="00ED5CA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simplePos x="0" y="0"/>
          <wp:positionH relativeFrom="column">
            <wp:posOffset>-647063</wp:posOffset>
          </wp:positionH>
          <wp:positionV relativeFrom="paragraph">
            <wp:posOffset>-711198</wp:posOffset>
          </wp:positionV>
          <wp:extent cx="7510628" cy="9883775"/>
          <wp:effectExtent l="0" t="0" r="0" b="0"/>
          <wp:wrapNone/>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10B7C" w:rsidRDefault="00ED5CA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08526/INFOEM/IP/RR/2023.</w:t>
    </w:r>
  </w:p>
  <w:p w:rsidR="00410B7C" w:rsidRDefault="00410B7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410B7C" w:rsidRDefault="00ED5CA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-4902199</wp:posOffset>
              </wp:positionH>
              <wp:positionV relativeFrom="paragraph">
                <wp:posOffset>-4241799</wp:posOffset>
              </wp:positionV>
              <wp:extent cx="15393780" cy="15393775"/>
              <wp:effectExtent l="0" t="0" r="0" b="0"/>
              <wp:wrapNone/>
              <wp:docPr id="13" name=""/>
              <wp:cNvGraphicFramePr/>
              <a:graphic xmlns:a="http://schemas.openxmlformats.org/drawingml/2006/main">
                <a:graphicData uri="http://schemas.microsoft.com/office/word/2010/wordprocessingShape">
                  <wps:wsp>
                    <wps:cNvSpPr/>
                    <wps:spPr>
                      <a:xfrm rot="-2761922">
                        <a:off x="1971017" y="3326833"/>
                        <a:ext cx="6749966" cy="906334"/>
                      </a:xfrm>
                      <a:prstGeom prst="rect">
                        <a:avLst/>
                      </a:prstGeom>
                      <a:noFill/>
                      <a:ln>
                        <a:noFill/>
                      </a:ln>
                    </wps:spPr>
                    <wps:txbx>
                      <w:txbxContent>
                        <w:p w:rsidR="00410B7C" w:rsidRDefault="00410B7C">
                          <w:pPr>
                            <w:spacing w:before="240" w:after="240" w:line="36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-4902199</wp:posOffset>
              </wp:positionH>
              <wp:positionV relativeFrom="paragraph">
                <wp:posOffset>-4241799</wp:posOffset>
              </wp:positionV>
              <wp:extent cx="15393780" cy="15393775"/>
              <wp:effectExtent b="0" l="0" r="0" t="0"/>
              <wp:wrapNone/>
              <wp:docPr id="13"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15393780" cy="153937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7C"/>
    <w:rsid w:val="003C7894"/>
    <w:rsid w:val="00410B7C"/>
    <w:rsid w:val="00ED5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F2600-4A20-4E78-8AC5-43F7F85E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C4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071"/>
  </w:style>
  <w:style w:type="paragraph" w:styleId="Piedepgina">
    <w:name w:val="footer"/>
    <w:basedOn w:val="Normal"/>
    <w:link w:val="PiedepginaCar"/>
    <w:uiPriority w:val="99"/>
    <w:unhideWhenUsed/>
    <w:rsid w:val="00EC4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071"/>
  </w:style>
  <w:style w:type="character" w:styleId="Hipervnculo">
    <w:name w:val="Hyperlink"/>
    <w:basedOn w:val="Fuentedeprrafopredeter"/>
    <w:uiPriority w:val="99"/>
    <w:unhideWhenUsed/>
    <w:rsid w:val="00EC4071"/>
    <w:rPr>
      <w:color w:val="0000FF" w:themeColor="hyperlink"/>
      <w:u w:val="single"/>
    </w:rPr>
  </w:style>
  <w:style w:type="paragraph" w:styleId="Prrafodelista">
    <w:name w:val="List Paragraph"/>
    <w:basedOn w:val="Normal"/>
    <w:uiPriority w:val="34"/>
    <w:qFormat/>
    <w:rsid w:val="00EC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omex.org.mx/ipo3/lgt/indice/EDUCACION/art_92_viii.we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pomex.org.mx/ipo3/lgt/indice/EDUCACION/art_92_viii.web"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imex.org.mx/saimex/ciudadano/login.page"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uippe.finanzas@edomex.gob.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TTTeLe3UIXcNAV9r71AyIdKeA==">CgMxLjAyCGguZ2pkZ3hzMgloLjFmb2I5dGUyCWguMzBqMHpsbDgAciExRnk5UHNkUzRQYWhkWkM1Mjh0UWhjQ0pyMXNsdkRoUGo=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3877</Words>
  <Characters>21324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INFOEM505</cp:lastModifiedBy>
  <cp:revision>3</cp:revision>
  <cp:lastPrinted>2024-02-06T15:57:00Z</cp:lastPrinted>
  <dcterms:created xsi:type="dcterms:W3CDTF">2024-02-06T15:57:00Z</dcterms:created>
  <dcterms:modified xsi:type="dcterms:W3CDTF">2024-02-06T15:59:00Z</dcterms:modified>
</cp:coreProperties>
</file>