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D2" w:rsidRDefault="00637868">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N</w:t>
      </w:r>
      <w:r>
        <w:rPr>
          <w:rFonts w:ascii="Palatino Linotype" w:eastAsia="Palatino Linotype" w:hAnsi="Palatino Linotype" w:cs="Palatino Linotype"/>
          <w:b/>
        </w:rPr>
        <w:t>OVENA SESIÓN ORDINARIA DEL TRECE DE MARZO DE DOS MIL VEINTICUATRO, EN EL RECURSO DE REVISIÓN 02016/INFOEM/IP/RR/2023.</w:t>
      </w:r>
    </w:p>
    <w:p w:rsidR="00A30BD2" w:rsidRDefault="00A30BD2">
      <w:pPr>
        <w:spacing w:after="0" w:line="360" w:lineRule="auto"/>
        <w:jc w:val="both"/>
        <w:rPr>
          <w:rFonts w:ascii="Palatino Linotype" w:eastAsia="Palatino Linotype" w:hAnsi="Palatino Linotype" w:cs="Palatino Linotype"/>
          <w:b/>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Reglamento del Instituto de Transparencia, Acceso a la Informac</w:t>
      </w:r>
      <w:r>
        <w:rPr>
          <w:rFonts w:ascii="Palatino Linotype" w:eastAsia="Palatino Linotype" w:hAnsi="Palatino Linotype" w:cs="Palatino Linotype"/>
        </w:rPr>
        <w:t xml:space="preserve">ión Pública y Protección de Datos Personales del Estado de México, la suscrita emite </w:t>
      </w:r>
      <w:r>
        <w:rPr>
          <w:rFonts w:ascii="Palatino Linotype" w:eastAsia="Palatino Linotype" w:hAnsi="Palatino Linotype" w:cs="Palatino Linotype"/>
          <w:b/>
        </w:rPr>
        <w:t xml:space="preserve">VOTO DISIDENTE </w:t>
      </w:r>
      <w:r>
        <w:rPr>
          <w:rFonts w:ascii="Palatino Linotype" w:eastAsia="Palatino Linotype" w:hAnsi="Palatino Linotype" w:cs="Palatino Linotype"/>
        </w:rPr>
        <w:t>respecto a la resolución dictada en el recurso de revisión número</w:t>
      </w:r>
      <w:r>
        <w:rPr>
          <w:rFonts w:ascii="Palatino Linotype" w:eastAsia="Palatino Linotype" w:hAnsi="Palatino Linotype" w:cs="Palatino Linotype"/>
          <w:b/>
        </w:rPr>
        <w:t xml:space="preserve"> 02016/INFOEM/IP/RR/2023</w:t>
      </w:r>
      <w:r>
        <w:rPr>
          <w:rFonts w:ascii="Palatino Linotype" w:eastAsia="Palatino Linotype" w:hAnsi="Palatino Linotype" w:cs="Palatino Linotype"/>
        </w:rPr>
        <w:t>, pronunciada por el Pleno de este Instituto ante el proyecto prese</w:t>
      </w:r>
      <w:r>
        <w:rPr>
          <w:rFonts w:ascii="Palatino Linotype" w:eastAsia="Palatino Linotype" w:hAnsi="Palatino Linotype" w:cs="Palatino Linotype"/>
        </w:rPr>
        <w:t xml:space="preserve">ntado por el </w:t>
      </w:r>
      <w:r>
        <w:rPr>
          <w:rFonts w:ascii="Palatino Linotype" w:eastAsia="Palatino Linotype" w:hAnsi="Palatino Linotype" w:cs="Palatino Linotype"/>
          <w:b/>
        </w:rPr>
        <w:t>Comisionado Luis Gustavo Parra Noriega</w:t>
      </w:r>
      <w:r>
        <w:rPr>
          <w:rFonts w:ascii="Palatino Linotype" w:eastAsia="Palatino Linotype" w:hAnsi="Palatino Linotype" w:cs="Palatino Linotype"/>
        </w:rPr>
        <w:t>, el cual es del tenor siguiente:</w:t>
      </w: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A30BD2" w:rsidRDefault="00637868">
      <w:pPr>
        <w:numPr>
          <w:ilvl w:val="0"/>
          <w:numId w:val="3"/>
        </w:numPr>
        <w:tabs>
          <w:tab w:val="left" w:pos="284"/>
          <w:tab w:val="left" w:pos="567"/>
        </w:tabs>
        <w:spacing w:after="0"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A30BD2" w:rsidRDefault="00A30BD2">
      <w:pPr>
        <w:tabs>
          <w:tab w:val="left" w:pos="567"/>
        </w:tabs>
        <w:spacing w:after="0" w:line="360" w:lineRule="auto"/>
        <w:ind w:left="1080"/>
        <w:jc w:val="both"/>
        <w:rPr>
          <w:rFonts w:ascii="Palatino Linotype" w:eastAsia="Palatino Linotype" w:hAnsi="Palatino Linotype" w:cs="Palatino Linotype"/>
          <w:b/>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w:t>
      </w:r>
      <w:r>
        <w:rPr>
          <w:rFonts w:ascii="Palatino Linotype" w:eastAsia="Palatino Linotype" w:hAnsi="Palatino Linotype" w:cs="Palatino Linotype"/>
          <w:b/>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Tribunal de Justicia Administrativa del Estado de México</w:t>
      </w:r>
      <w:r>
        <w:rPr>
          <w:rFonts w:ascii="Palatino Linotype" w:eastAsia="Palatino Linotype" w:hAnsi="Palatino Linotype" w:cs="Palatino Linotype"/>
        </w:rPr>
        <w:t xml:space="preserve">,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l</w:t>
      </w:r>
      <w:r>
        <w:rPr>
          <w:rFonts w:ascii="Palatino Linotype" w:eastAsia="Palatino Linotype" w:hAnsi="Palatino Linotype" w:cs="Palatino Linotype"/>
        </w:rPr>
        <w:t xml:space="preserve">e proporcionara la siguiente información: </w:t>
      </w:r>
    </w:p>
    <w:p w:rsidR="00A30BD2" w:rsidRDefault="00637868">
      <w:pPr>
        <w:spacing w:before="240"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i/>
        </w:rPr>
        <w:t xml:space="preserve"> “Solicitar al Tribunal de Justicia Administrativa el Estado de México Sexta Sala Regional el envío completo de los expedientes con folio 120/2022 y 121/2022” (Sic)</w:t>
      </w:r>
    </w:p>
    <w:p w:rsidR="00A30BD2" w:rsidRDefault="00637868">
      <w:pPr>
        <w:spacing w:before="240" w:line="360" w:lineRule="auto"/>
        <w:jc w:val="both"/>
        <w:rPr>
          <w:rFonts w:ascii="Palatino Linotype" w:eastAsia="Palatino Linotype" w:hAnsi="Palatino Linotype" w:cs="Palatino Linotype"/>
          <w:b/>
          <w:i/>
        </w:rPr>
      </w:pPr>
      <w:r>
        <w:rPr>
          <w:rFonts w:ascii="Palatino Linotype" w:eastAsia="Palatino Linotype" w:hAnsi="Palatino Linotype" w:cs="Palatino Linotype"/>
          <w:b/>
        </w:rPr>
        <w:t xml:space="preserve"> </w:t>
      </w: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indicó lo si</w:t>
      </w:r>
      <w:r>
        <w:rPr>
          <w:rFonts w:ascii="Palatino Linotype" w:eastAsia="Palatino Linotype" w:hAnsi="Palatino Linotype" w:cs="Palatino Linotype"/>
        </w:rPr>
        <w:t xml:space="preserve">guiente: </w:t>
      </w:r>
    </w:p>
    <w:p w:rsidR="00A30BD2" w:rsidRDefault="00A30BD2">
      <w:pPr>
        <w:spacing w:after="0" w:line="360" w:lineRule="auto"/>
        <w:jc w:val="both"/>
        <w:rPr>
          <w:rFonts w:ascii="Palatino Linotype" w:eastAsia="Palatino Linotype" w:hAnsi="Palatino Linotype" w:cs="Palatino Linotype"/>
        </w:rPr>
      </w:pPr>
    </w:p>
    <w:p w:rsidR="00A30BD2" w:rsidRDefault="00637868">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“Se atiende solicitud</w:t>
      </w:r>
    </w:p>
    <w:p w:rsidR="00A30BD2" w:rsidRDefault="00637868">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(Sic)</w:t>
      </w:r>
    </w:p>
    <w:p w:rsidR="00A30BD2" w:rsidRDefault="00A30BD2">
      <w:pPr>
        <w:spacing w:after="0" w:line="360" w:lineRule="auto"/>
        <w:ind w:left="567" w:right="616"/>
        <w:jc w:val="both"/>
        <w:rPr>
          <w:rFonts w:ascii="Palatino Linotype" w:eastAsia="Palatino Linotype" w:hAnsi="Palatino Linotype" w:cs="Palatino Linotype"/>
          <w:i/>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Adjunto a su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aportó los archivos electrónicos, que contienen la información siguiente:</w:t>
      </w:r>
    </w:p>
    <w:p w:rsidR="00A30BD2" w:rsidRDefault="00A30BD2">
      <w:pPr>
        <w:spacing w:after="0" w:line="360" w:lineRule="auto"/>
        <w:jc w:val="both"/>
        <w:rPr>
          <w:rFonts w:ascii="Palatino Linotype" w:eastAsia="Palatino Linotype" w:hAnsi="Palatino Linotype" w:cs="Palatino Linotype"/>
        </w:rPr>
      </w:pPr>
    </w:p>
    <w:p w:rsidR="00A30BD2" w:rsidRDefault="00637868">
      <w:pPr>
        <w:numPr>
          <w:ilvl w:val="0"/>
          <w:numId w:val="2"/>
        </w:num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OFICIO RESPUESTA A 00051.pdf: </w:t>
      </w:r>
      <w:r>
        <w:rPr>
          <w:rFonts w:ascii="Palatino Linotype" w:eastAsia="Palatino Linotype" w:hAnsi="Palatino Linotype" w:cs="Palatino Linotype"/>
          <w:color w:val="000000"/>
        </w:rPr>
        <w:t xml:space="preserve">Oficio número TJA-6SR/1312/2023 suscrito por el Magistrado de la Sexta Sala Regional del Tribunal de Justicia Administrativa del Estado de México, por el cual, en su parte medular, dispuso lo siguiente: </w:t>
      </w:r>
    </w:p>
    <w:p w:rsidR="00A30BD2" w:rsidRDefault="00A30BD2">
      <w:pPr>
        <w:spacing w:after="0" w:line="360" w:lineRule="auto"/>
        <w:ind w:right="539"/>
        <w:jc w:val="both"/>
        <w:rPr>
          <w:rFonts w:ascii="Palatino Linotype" w:eastAsia="Palatino Linotype" w:hAnsi="Palatino Linotype" w:cs="Palatino Linotype"/>
        </w:rPr>
      </w:pPr>
    </w:p>
    <w:p w:rsidR="00A30BD2" w:rsidRDefault="00637868">
      <w:pPr>
        <w:spacing w:after="0" w:line="360" w:lineRule="auto"/>
        <w:ind w:left="567" w:right="539"/>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068012" cy="2629269"/>
            <wp:effectExtent l="3175" t="3175" r="3175" b="3175"/>
            <wp:docPr id="1084515598"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8"/>
                    <a:srcRect/>
                    <a:stretch>
                      <a:fillRect/>
                    </a:stretch>
                  </pic:blipFill>
                  <pic:spPr>
                    <a:xfrm>
                      <a:off x="0" y="0"/>
                      <a:ext cx="5068012" cy="2629269"/>
                    </a:xfrm>
                    <a:prstGeom prst="rect">
                      <a:avLst/>
                    </a:prstGeom>
                    <a:ln w="3175">
                      <a:solidFill>
                        <a:srgbClr val="000000"/>
                      </a:solidFill>
                      <a:prstDash val="solid"/>
                    </a:ln>
                  </pic:spPr>
                </pic:pic>
              </a:graphicData>
            </a:graphic>
          </wp:inline>
        </w:drawing>
      </w:r>
    </w:p>
    <w:p w:rsidR="00A30BD2" w:rsidRDefault="00637868">
      <w:pPr>
        <w:numPr>
          <w:ilvl w:val="0"/>
          <w:numId w:val="1"/>
        </w:numPr>
        <w:spacing w:after="0" w:line="276" w:lineRule="auto"/>
        <w:jc w:val="both"/>
        <w:rPr>
          <w:rFonts w:ascii="Palatino Linotype" w:eastAsia="Palatino Linotype" w:hAnsi="Palatino Linotype" w:cs="Palatino Linotype"/>
          <w:b/>
        </w:rPr>
      </w:pPr>
      <w:r>
        <w:rPr>
          <w:rFonts w:ascii="Palatino Linotype" w:eastAsia="Palatino Linotype" w:hAnsi="Palatino Linotype" w:cs="Palatino Linotype"/>
          <w:b/>
        </w:rPr>
        <w:t>ACUERDO II RESERVA DE LA INFORMACIÓN SOLICITUD 51</w:t>
      </w:r>
      <w:r>
        <w:rPr>
          <w:rFonts w:ascii="Palatino Linotype" w:eastAsia="Palatino Linotype" w:hAnsi="Palatino Linotype" w:cs="Palatino Linotype"/>
          <w:b/>
        </w:rPr>
        <w:t xml:space="preserve">.pdf; </w:t>
      </w:r>
      <w:r>
        <w:rPr>
          <w:rFonts w:ascii="Palatino Linotype" w:eastAsia="Palatino Linotype" w:hAnsi="Palatino Linotype" w:cs="Palatino Linotype"/>
        </w:rPr>
        <w:t>Acuerdo número TJAEM/CT/II/EXT-18/2023, emitido por el Comité de Transparencia del Sujeto Obligado, de cuyo contenido se desprende la confirmación de la clasificación como información reservada solicitada por el Particular, al tenor de las siguientes</w:t>
      </w:r>
      <w:r>
        <w:rPr>
          <w:rFonts w:ascii="Palatino Linotype" w:eastAsia="Palatino Linotype" w:hAnsi="Palatino Linotype" w:cs="Palatino Linotype"/>
        </w:rPr>
        <w:t xml:space="preserve"> manifestaciones:</w:t>
      </w:r>
    </w:p>
    <w:p w:rsidR="00A30BD2" w:rsidRDefault="00A30BD2">
      <w:pPr>
        <w:spacing w:after="0" w:line="360" w:lineRule="auto"/>
        <w:jc w:val="both"/>
        <w:rPr>
          <w:rFonts w:ascii="Palatino Linotype" w:eastAsia="Palatino Linotype" w:hAnsi="Palatino Linotype" w:cs="Palatino Linotype"/>
          <w:b/>
        </w:rPr>
      </w:pPr>
    </w:p>
    <w:p w:rsidR="00A30BD2" w:rsidRDefault="00637868">
      <w:pPr>
        <w:spacing w:after="0"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b/>
          <w:noProof/>
        </w:rPr>
        <w:drawing>
          <wp:inline distT="0" distB="0" distL="0" distR="0">
            <wp:extent cx="5067300" cy="2409825"/>
            <wp:effectExtent l="3175" t="3175" r="3175" b="3175"/>
            <wp:docPr id="1084515600" name="image2.png" descr="Imagen de la pantalla de un celular de un mensaje en letras blanca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Imagen de la pantalla de un celular de un mensaje en letras blancas&#10;&#10;Descripción generada automáticamente con confianza baja"/>
                    <pic:cNvPicPr preferRelativeResize="0"/>
                  </pic:nvPicPr>
                  <pic:blipFill>
                    <a:blip r:embed="rId9"/>
                    <a:srcRect/>
                    <a:stretch>
                      <a:fillRect/>
                    </a:stretch>
                  </pic:blipFill>
                  <pic:spPr>
                    <a:xfrm>
                      <a:off x="0" y="0"/>
                      <a:ext cx="5067300" cy="2409825"/>
                    </a:xfrm>
                    <a:prstGeom prst="rect">
                      <a:avLst/>
                    </a:prstGeom>
                    <a:ln w="3175">
                      <a:solidFill>
                        <a:srgbClr val="000000"/>
                      </a:solidFill>
                      <a:prstDash val="solid"/>
                    </a:ln>
                  </pic:spPr>
                </pic:pic>
              </a:graphicData>
            </a:graphic>
          </wp:inline>
        </w:drawing>
      </w:r>
    </w:p>
    <w:p w:rsidR="00A30BD2" w:rsidRDefault="00A30BD2">
      <w:pPr>
        <w:spacing w:after="0" w:line="360" w:lineRule="auto"/>
        <w:jc w:val="both"/>
        <w:rPr>
          <w:rFonts w:ascii="Palatino Linotype" w:eastAsia="Palatino Linotype" w:hAnsi="Palatino Linotype" w:cs="Palatino Linotype"/>
          <w:b/>
          <w:sz w:val="20"/>
          <w:szCs w:val="20"/>
        </w:rPr>
      </w:pPr>
    </w:p>
    <w:p w:rsidR="00A30BD2" w:rsidRDefault="00637868">
      <w:pPr>
        <w:numPr>
          <w:ilvl w:val="0"/>
          <w:numId w:val="1"/>
        </w:numPr>
        <w:spacing w:after="0" w:line="276" w:lineRule="auto"/>
        <w:ind w:right="539"/>
        <w:jc w:val="both"/>
        <w:rPr>
          <w:rFonts w:ascii="Palatino Linotype" w:eastAsia="Palatino Linotype" w:hAnsi="Palatino Linotype" w:cs="Palatino Linotype"/>
          <w:b/>
        </w:rPr>
      </w:pPr>
      <w:r>
        <w:rPr>
          <w:rFonts w:ascii="Palatino Linotype" w:eastAsia="Palatino Linotype" w:hAnsi="Palatino Linotype" w:cs="Palatino Linotype"/>
          <w:b/>
        </w:rPr>
        <w:t xml:space="preserve">ACTA EXT. 18.pdf; </w:t>
      </w:r>
      <w:r>
        <w:rPr>
          <w:rFonts w:ascii="Palatino Linotype" w:eastAsia="Palatino Linotype" w:hAnsi="Palatino Linotype" w:cs="Palatino Linotype"/>
        </w:rPr>
        <w:t>Acta de Décima Octava Sesión Extraordinaria del Comité de Transparencia del Tribunal de Justicia Administrativa del Estado de México, en la que se emitió el Acuerdo de Clasificación previamente referido.</w:t>
      </w:r>
    </w:p>
    <w:p w:rsidR="00A30BD2" w:rsidRDefault="00A30BD2">
      <w:pPr>
        <w:spacing w:after="0" w:line="360" w:lineRule="auto"/>
        <w:jc w:val="both"/>
        <w:rPr>
          <w:rFonts w:ascii="Palatino Linotype" w:eastAsia="Palatino Linotype" w:hAnsi="Palatino Linotype" w:cs="Palatino Linotype"/>
        </w:rPr>
      </w:pPr>
    </w:p>
    <w:p w:rsidR="00A30BD2" w:rsidRDefault="00637868">
      <w:pPr>
        <w:spacing w:after="0" w:line="360" w:lineRule="auto"/>
        <w:jc w:val="both"/>
        <w:rPr>
          <w:rFonts w:ascii="Palatino Linotype" w:eastAsia="Palatino Linotype" w:hAnsi="Palatino Linotype" w:cs="Palatino Linotype"/>
          <w:smallCaps/>
        </w:rPr>
      </w:pPr>
      <w:r>
        <w:rPr>
          <w:rFonts w:ascii="Palatino Linotype" w:eastAsia="Palatino Linotype" w:hAnsi="Palatino Linotype" w:cs="Palatino Linotype"/>
        </w:rPr>
        <w:t xml:space="preserve">Inconforme </w:t>
      </w:r>
      <w:r>
        <w:rPr>
          <w:rFonts w:ascii="Palatino Linotype" w:eastAsia="Palatino Linotype" w:hAnsi="Palatino Linotype" w:cs="Palatino Linotype"/>
        </w:rPr>
        <w:t xml:space="preserve">con la respuesta,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promovió el medio de impugnación indicado, en el que señaló las siguientes consideraciones</w:t>
      </w:r>
      <w:r>
        <w:rPr>
          <w:rFonts w:ascii="Palatino Linotype" w:eastAsia="Palatino Linotype" w:hAnsi="Palatino Linotype" w:cs="Palatino Linotype"/>
          <w:smallCaps/>
        </w:rPr>
        <w:t xml:space="preserve">: </w:t>
      </w:r>
    </w:p>
    <w:p w:rsidR="00A30BD2" w:rsidRDefault="00637868">
      <w:pPr>
        <w:tabs>
          <w:tab w:val="left" w:pos="2745"/>
        </w:tabs>
        <w:spacing w:before="240" w:after="240" w:line="360" w:lineRule="auto"/>
        <w:ind w:left="567" w:right="900"/>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 Acto impugnado: </w:t>
      </w:r>
    </w:p>
    <w:p w:rsidR="00A30BD2" w:rsidRDefault="00637868">
      <w:pPr>
        <w:tabs>
          <w:tab w:val="left" w:pos="2745"/>
        </w:tabs>
        <w:spacing w:before="240" w:after="24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 xml:space="preserve">“Inconformidad ante la falta de transparencia, violación del derecho a la información pública, posible encubrimiento </w:t>
      </w:r>
      <w:r>
        <w:rPr>
          <w:rFonts w:ascii="Palatino Linotype" w:eastAsia="Palatino Linotype" w:hAnsi="Palatino Linotype" w:cs="Palatino Linotype"/>
          <w:b/>
          <w:i/>
          <w:u w:val="single"/>
        </w:rPr>
        <w:t>y como demandante</w:t>
      </w:r>
      <w:r>
        <w:rPr>
          <w:rFonts w:ascii="Palatino Linotype" w:eastAsia="Palatino Linotype" w:hAnsi="Palatino Linotype" w:cs="Palatino Linotype"/>
          <w:i/>
        </w:rPr>
        <w:t xml:space="preserve"> en el caso de las demandas presentadas con el folio 120/2022 y 121/2022. Solicito revisión del caso y expediente público </w:t>
      </w:r>
      <w:r>
        <w:rPr>
          <w:rFonts w:ascii="Palatino Linotype" w:eastAsia="Palatino Linotype" w:hAnsi="Palatino Linotype" w:cs="Palatino Linotype"/>
          <w:i/>
        </w:rPr>
        <w:t>de los 2 casos.” (Sic)</w:t>
      </w:r>
    </w:p>
    <w:p w:rsidR="00A30BD2" w:rsidRDefault="00637868">
      <w:pPr>
        <w:spacing w:after="0" w:line="360" w:lineRule="auto"/>
        <w:ind w:left="567" w:right="90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b) Razones o motivos de inconformidad</w:t>
      </w:r>
      <w:r>
        <w:rPr>
          <w:rFonts w:ascii="Palatino Linotype" w:eastAsia="Palatino Linotype" w:hAnsi="Palatino Linotype" w:cs="Palatino Linotype"/>
          <w:sz w:val="24"/>
          <w:szCs w:val="24"/>
        </w:rPr>
        <w:t xml:space="preserve">: </w:t>
      </w:r>
    </w:p>
    <w:p w:rsidR="00A30BD2" w:rsidRDefault="00637868">
      <w:pPr>
        <w:tabs>
          <w:tab w:val="left" w:pos="2745"/>
        </w:tabs>
        <w:spacing w:after="0" w:line="240"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“NEGATIVA A LA INFORMACIÓN SOLICITADA” (Sic)</w:t>
      </w:r>
    </w:p>
    <w:p w:rsidR="00A30BD2" w:rsidRDefault="00A30BD2">
      <w:pPr>
        <w:spacing w:after="0" w:line="360" w:lineRule="auto"/>
        <w:jc w:val="both"/>
        <w:rPr>
          <w:rFonts w:ascii="Palatino Linotype" w:eastAsia="Palatino Linotype" w:hAnsi="Palatino Linotype" w:cs="Palatino Linotype"/>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admitido el recurso de revisión, se puso a disposición de las partes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presentara su informe justificado y </w:t>
      </w:r>
      <w:r>
        <w:rPr>
          <w:rFonts w:ascii="Palatino Linotype" w:eastAsia="Palatino Linotype" w:hAnsi="Palatino Linotype" w:cs="Palatino Linotype"/>
          <w:b/>
        </w:rPr>
        <w:t>la par</w:t>
      </w:r>
      <w:r>
        <w:rPr>
          <w:rFonts w:ascii="Palatino Linotype" w:eastAsia="Palatino Linotype" w:hAnsi="Palatino Linotype" w:cs="Palatino Linotype"/>
          <w:b/>
        </w:rPr>
        <w:t>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presentara sus manifestaciones o alegatos.</w:t>
      </w:r>
    </w:p>
    <w:p w:rsidR="00A30BD2" w:rsidRDefault="00A30BD2">
      <w:pPr>
        <w:spacing w:after="0" w:line="360" w:lineRule="auto"/>
        <w:jc w:val="both"/>
        <w:rPr>
          <w:rFonts w:ascii="Palatino Linotype" w:eastAsia="Palatino Linotype" w:hAnsi="Palatino Linotype" w:cs="Palatino Linotype"/>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esta manera,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con motivo del recurso de revisión indicado, procedió a rendir informe justificado a través del archivo electrónico que contiene la siguiente información:</w:t>
      </w:r>
    </w:p>
    <w:p w:rsidR="00A30BD2" w:rsidRDefault="00A30BD2">
      <w:pPr>
        <w:spacing w:after="0" w:line="360" w:lineRule="auto"/>
        <w:jc w:val="both"/>
        <w:rPr>
          <w:rFonts w:ascii="Palatino Linotype" w:eastAsia="Palatino Linotype" w:hAnsi="Palatino Linotype" w:cs="Palatino Linotype"/>
        </w:rPr>
      </w:pPr>
    </w:p>
    <w:p w:rsidR="00A30BD2" w:rsidRDefault="00637868">
      <w:pPr>
        <w:numPr>
          <w:ilvl w:val="0"/>
          <w:numId w:val="1"/>
        </w:numPr>
        <w:pBdr>
          <w:top w:val="nil"/>
          <w:left w:val="nil"/>
          <w:bottom w:val="nil"/>
          <w:right w:val="nil"/>
          <w:between w:val="nil"/>
        </w:pBdr>
        <w:spacing w:after="0" w:line="276" w:lineRule="auto"/>
        <w:ind w:right="53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INFORME</w:t>
      </w:r>
      <w:r>
        <w:rPr>
          <w:rFonts w:ascii="Palatino Linotype" w:eastAsia="Palatino Linotype" w:hAnsi="Palatino Linotype" w:cs="Palatino Linotype"/>
          <w:b/>
          <w:color w:val="000000"/>
        </w:rPr>
        <w:t xml:space="preserve"> JUSTIFICADO RECURSO 02016.pdf;  </w:t>
      </w:r>
      <w:r>
        <w:rPr>
          <w:rFonts w:ascii="Palatino Linotype" w:eastAsia="Palatino Linotype" w:hAnsi="Palatino Linotype" w:cs="Palatino Linotype"/>
          <w:color w:val="000000"/>
        </w:rPr>
        <w:t>Oficio sin número, signado por la Jefa de la Unidad de Información, Planeación, Programación y Evaluación, por el cual, reprodujo el pronunciamiento de la Sexta Sala, mismo que versó en ratificar la respuesta a la solicitud</w:t>
      </w:r>
      <w:r>
        <w:rPr>
          <w:rFonts w:ascii="Palatino Linotype" w:eastAsia="Palatino Linotype" w:hAnsi="Palatino Linotype" w:cs="Palatino Linotype"/>
          <w:color w:val="000000"/>
        </w:rPr>
        <w:t xml:space="preserve"> de acceso 00051/TRIJAEM/IP/2023, </w:t>
      </w:r>
      <w:r>
        <w:rPr>
          <w:rFonts w:ascii="Palatino Linotype" w:eastAsia="Palatino Linotype" w:hAnsi="Palatino Linotype" w:cs="Palatino Linotype"/>
          <w:b/>
          <w:color w:val="000000"/>
        </w:rPr>
        <w:t xml:space="preserve">sin embargo, agregó el siguiente pronunciamiento: </w:t>
      </w:r>
    </w:p>
    <w:p w:rsidR="00A30BD2" w:rsidRDefault="00A30BD2">
      <w:pPr>
        <w:spacing w:after="0" w:line="360" w:lineRule="auto"/>
        <w:ind w:right="539"/>
        <w:jc w:val="both"/>
        <w:rPr>
          <w:rFonts w:ascii="Palatino Linotype" w:eastAsia="Palatino Linotype" w:hAnsi="Palatino Linotype" w:cs="Palatino Linotype"/>
        </w:rPr>
      </w:pPr>
    </w:p>
    <w:p w:rsidR="00A30BD2" w:rsidRDefault="00637868">
      <w:pPr>
        <w:spacing w:after="0" w:line="360" w:lineRule="auto"/>
        <w:ind w:left="567" w:right="539"/>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4377337" cy="2081565"/>
            <wp:effectExtent l="3175" t="3175" r="3175" b="3175"/>
            <wp:docPr id="1084515599" name="image3.png" descr="Captura de pantalla de un celular con 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Captura de pantalla de un celular con texto&#10;&#10;Descripción generada automáticamente con confianza media"/>
                    <pic:cNvPicPr preferRelativeResize="0"/>
                  </pic:nvPicPr>
                  <pic:blipFill>
                    <a:blip r:embed="rId10"/>
                    <a:srcRect/>
                    <a:stretch>
                      <a:fillRect/>
                    </a:stretch>
                  </pic:blipFill>
                  <pic:spPr>
                    <a:xfrm>
                      <a:off x="0" y="0"/>
                      <a:ext cx="4377337" cy="2081565"/>
                    </a:xfrm>
                    <a:prstGeom prst="rect">
                      <a:avLst/>
                    </a:prstGeom>
                    <a:ln w="3175">
                      <a:solidFill>
                        <a:srgbClr val="000000"/>
                      </a:solidFill>
                      <a:prstDash val="solid"/>
                    </a:ln>
                  </pic:spPr>
                </pic:pic>
              </a:graphicData>
            </a:graphic>
          </wp:inline>
        </w:drawing>
      </w: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Documento que se puso a la vista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efecto de que hiciera valer manifestaciones que a su derecho resultaran convenientes, o bien rindiera alegatos; no obstante fue omisa en ejercer dicha prerrogativa.</w:t>
      </w:r>
    </w:p>
    <w:p w:rsidR="00A30BD2" w:rsidRDefault="00A30BD2">
      <w:pPr>
        <w:spacing w:after="0" w:line="360" w:lineRule="auto"/>
        <w:jc w:val="both"/>
        <w:rPr>
          <w:rFonts w:ascii="Palatino Linotype" w:eastAsia="Palatino Linotype" w:hAnsi="Palatino Linotype" w:cs="Palatino Linotype"/>
        </w:rPr>
      </w:pPr>
    </w:p>
    <w:p w:rsidR="00A30BD2" w:rsidRDefault="0063786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derivado del análisis de las constancias que integran el expediente aperturado con</w:t>
      </w:r>
      <w:r>
        <w:rPr>
          <w:rFonts w:ascii="Palatino Linotype" w:eastAsia="Palatino Linotype" w:hAnsi="Palatino Linotype" w:cs="Palatino Linotype"/>
        </w:rPr>
        <w:t xml:space="preserve"> motivo del recurso de revisión de nuestra atención, este Instituto determinó </w:t>
      </w:r>
      <w:r>
        <w:rPr>
          <w:rFonts w:ascii="Palatino Linotype" w:eastAsia="Palatino Linotype" w:hAnsi="Palatino Linotype" w:cs="Palatino Linotype"/>
          <w:b/>
        </w:rPr>
        <w:t xml:space="preserve">Sobreseer </w:t>
      </w:r>
      <w:r>
        <w:rPr>
          <w:rFonts w:ascii="Palatino Linotype" w:eastAsia="Palatino Linotype" w:hAnsi="Palatino Linotype" w:cs="Palatino Linotype"/>
        </w:rPr>
        <w:t xml:space="preserve">el medio de impugnación, atendiendo que el mismo había quedado sin materia dada la información aportada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informe justificado, como se sigue:</w:t>
      </w:r>
    </w:p>
    <w:p w:rsidR="00A30BD2" w:rsidRDefault="00A30BD2">
      <w:pPr>
        <w:spacing w:after="0" w:line="276" w:lineRule="auto"/>
        <w:ind w:left="567" w:right="474"/>
        <w:jc w:val="both"/>
        <w:rPr>
          <w:rFonts w:ascii="Palatino Linotype" w:eastAsia="Palatino Linotype" w:hAnsi="Palatino Linotype" w:cs="Palatino Linotype"/>
          <w:b/>
          <w:i/>
        </w:rPr>
      </w:pPr>
    </w:p>
    <w:p w:rsidR="00A30BD2" w:rsidRDefault="00637868">
      <w:pPr>
        <w:spacing w:after="0" w:line="276" w:lineRule="auto"/>
        <w:ind w:left="567"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SOBRESEE </w:t>
      </w:r>
      <w:r>
        <w:rPr>
          <w:rFonts w:ascii="Palatino Linotype" w:eastAsia="Palatino Linotype" w:hAnsi="Palatino Linotype" w:cs="Palatino Linotype"/>
          <w:i/>
        </w:rPr>
        <w:t xml:space="preserve">el Recurso de Revisión </w:t>
      </w:r>
      <w:r>
        <w:rPr>
          <w:rFonts w:ascii="Palatino Linotype" w:eastAsia="Palatino Linotype" w:hAnsi="Palatino Linotype" w:cs="Palatino Linotype"/>
          <w:b/>
          <w:i/>
          <w:color w:val="0D0D0D"/>
        </w:rPr>
        <w:t>02016/INFOEM/IP/RR/2023</w:t>
      </w:r>
      <w:r>
        <w:rPr>
          <w:rFonts w:ascii="Palatino Linotype" w:eastAsia="Palatino Linotype" w:hAnsi="Palatino Linotype" w:cs="Palatino Linotype"/>
          <w:i/>
        </w:rPr>
        <w:t xml:space="preserve">, porque el Sujeto Obligado </w:t>
      </w:r>
      <w:r>
        <w:rPr>
          <w:rFonts w:ascii="Palatino Linotype" w:eastAsia="Palatino Linotype" w:hAnsi="Palatino Linotype" w:cs="Palatino Linotype"/>
          <w:b/>
          <w:i/>
        </w:rPr>
        <w:t>al modificar la respuesta</w:t>
      </w:r>
      <w:r>
        <w:rPr>
          <w:rFonts w:ascii="Palatino Linotype" w:eastAsia="Palatino Linotype" w:hAnsi="Palatino Linotype" w:cs="Palatino Linotype"/>
          <w:i/>
        </w:rPr>
        <w:t xml:space="preserve"> a la solicitud </w:t>
      </w:r>
      <w:r>
        <w:rPr>
          <w:rFonts w:ascii="Palatino Linotype" w:eastAsia="Palatino Linotype" w:hAnsi="Palatino Linotype" w:cs="Palatino Linotype"/>
          <w:b/>
          <w:i/>
        </w:rPr>
        <w:t>00051/TRIJAEM/IP/2023</w:t>
      </w:r>
      <w:r>
        <w:rPr>
          <w:rFonts w:ascii="Palatino Linotype" w:eastAsia="Palatino Linotype" w:hAnsi="Palatino Linotype" w:cs="Palatino Linotype"/>
          <w:i/>
        </w:rPr>
        <w:t>, el Recurso de Revisión</w:t>
      </w:r>
      <w:r>
        <w:rPr>
          <w:rFonts w:ascii="Palatino Linotype" w:eastAsia="Palatino Linotype" w:hAnsi="Palatino Linotype" w:cs="Palatino Linotype"/>
          <w:b/>
          <w:i/>
        </w:rPr>
        <w:t xml:space="preserve"> quedó sin materia</w:t>
      </w:r>
      <w:r>
        <w:rPr>
          <w:rFonts w:ascii="Palatino Linotype" w:eastAsia="Palatino Linotype" w:hAnsi="Palatino Linotype" w:cs="Palatino Linotype"/>
          <w:i/>
        </w:rPr>
        <w:t>, en términos de los Considerandos TERCERO y CUARTO de la presente Resolución y de conformidad con lo dispuesto en la fracción III, del artículo 192, de la Ley de Transparencia y Acceso a la Información Pública del Estado de México y Municipios</w:t>
      </w:r>
      <w:r>
        <w:rPr>
          <w:rFonts w:ascii="Palatino Linotype" w:eastAsia="Palatino Linotype" w:hAnsi="Palatino Linotype" w:cs="Palatino Linotype"/>
          <w:i/>
          <w:color w:val="000000"/>
        </w:rPr>
        <w:t>.</w:t>
      </w:r>
      <w:r>
        <w:rPr>
          <w:rFonts w:ascii="Palatino Linotype" w:eastAsia="Palatino Linotype" w:hAnsi="Palatino Linotype" w:cs="Palatino Linotype"/>
          <w:i/>
        </w:rPr>
        <w:t>[…]”</w:t>
      </w:r>
    </w:p>
    <w:p w:rsidR="00A30BD2" w:rsidRDefault="00A30BD2">
      <w:pPr>
        <w:spacing w:after="0" w:line="276" w:lineRule="auto"/>
        <w:ind w:left="567" w:right="706"/>
        <w:jc w:val="both"/>
        <w:rPr>
          <w:rFonts w:ascii="Palatino Linotype" w:eastAsia="Palatino Linotype" w:hAnsi="Palatino Linotype" w:cs="Palatino Linotype"/>
          <w:i/>
        </w:rPr>
      </w:pPr>
    </w:p>
    <w:p w:rsidR="00A30BD2" w:rsidRDefault="00637868">
      <w:p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II. R</w:t>
      </w:r>
      <w:r>
        <w:rPr>
          <w:rFonts w:ascii="Palatino Linotype" w:eastAsia="Palatino Linotype" w:hAnsi="Palatino Linotype" w:cs="Palatino Linotype"/>
          <w:b/>
        </w:rPr>
        <w:t>azones del Voto Disidente.</w:t>
      </w:r>
    </w:p>
    <w:p w:rsidR="00A30BD2" w:rsidRDefault="00A30BD2">
      <w:pPr>
        <w:spacing w:after="0" w:line="360" w:lineRule="auto"/>
        <w:jc w:val="both"/>
        <w:rPr>
          <w:rFonts w:ascii="Palatino Linotype" w:eastAsia="Palatino Linotype" w:hAnsi="Palatino Linotype" w:cs="Palatino Linotype"/>
          <w:b/>
        </w:rPr>
      </w:pPr>
      <w:bookmarkStart w:id="2" w:name="_heading=h.1fob9te" w:colFirst="0" w:colLast="0"/>
      <w:bookmarkEnd w:id="2"/>
    </w:p>
    <w:p w:rsidR="00A30BD2" w:rsidRDefault="00637868">
      <w:pPr>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Para iniciar la emisión del presente voto, conviene mencionar, que, de manera respetuosa, la suscrita </w:t>
      </w:r>
      <w:r>
        <w:rPr>
          <w:rFonts w:ascii="Palatino Linotype" w:eastAsia="Palatino Linotype" w:hAnsi="Palatino Linotype" w:cs="Palatino Linotype"/>
          <w:b/>
        </w:rPr>
        <w:t xml:space="preserve">no comparte en su totalidad las consideraciones que fueron vertidas en la presente resolución, pues la persona solicitante al </w:t>
      </w:r>
      <w:r>
        <w:rPr>
          <w:rFonts w:ascii="Palatino Linotype" w:eastAsia="Palatino Linotype" w:hAnsi="Palatino Linotype" w:cs="Palatino Linotype"/>
          <w:b/>
        </w:rPr>
        <w:t>haber proporcionado su nombre completo en la solicitud de información e indicar en recurso de revisión que es la parte demandante en los juicios administrativos respecto de los cuales pretende acceder al contenido de los expedientes enunciados en la solici</w:t>
      </w:r>
      <w:r>
        <w:rPr>
          <w:rFonts w:ascii="Palatino Linotype" w:eastAsia="Palatino Linotype" w:hAnsi="Palatino Linotype" w:cs="Palatino Linotype"/>
          <w:b/>
        </w:rPr>
        <w:t>tud, se debió realizar la reconducción de la vía, y dar el tratamiento al recurso de revisión vía acceso a datos personales.</w:t>
      </w:r>
    </w:p>
    <w:p w:rsidR="00A30BD2" w:rsidRDefault="00A30BD2">
      <w:pPr>
        <w:spacing w:after="0" w:line="360" w:lineRule="auto"/>
        <w:ind w:right="49"/>
        <w:jc w:val="both"/>
        <w:rPr>
          <w:rFonts w:ascii="Palatino Linotype" w:eastAsia="Palatino Linotype" w:hAnsi="Palatino Linotype" w:cs="Palatino Linotype"/>
          <w:b/>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Para efecto de lo anterior, debemos partir del hecho de que la persona solicitante está interesada en acceder a dos expedientes aperturados con motivo de dos juicios administrativos que se encuentran radicados en la Sexta Sala Regional del Tribunal de Just</w:t>
      </w:r>
      <w:r>
        <w:rPr>
          <w:rFonts w:ascii="Palatino Linotype" w:eastAsia="Palatino Linotype" w:hAnsi="Palatino Linotype" w:cs="Palatino Linotype"/>
        </w:rPr>
        <w:t xml:space="preserve">icia Administrativa del Estado de México. </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Derivado de lo anterior, es de recordar que, 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hizo del conocimiento de la persona solicitante, que los expedientes que solicitó se encontraban en la etapa procesal que corresponde a</w:t>
      </w:r>
      <w:r>
        <w:rPr>
          <w:rFonts w:ascii="Palatino Linotype" w:eastAsia="Palatino Linotype" w:hAnsi="Palatino Linotype" w:cs="Palatino Linotype"/>
        </w:rPr>
        <w:t xml:space="preserve"> la impugnación de la sentencia emitida, y que, en tal virtud actualizaban la hipótesis de reserva prevista en la fracción VIII del artículo 140 de la Ley local de la materia, en concordancia con el 113 fracción XI, de la Ley General aplicable a la materia</w:t>
      </w:r>
      <w:r>
        <w:rPr>
          <w:rFonts w:ascii="Palatino Linotype" w:eastAsia="Palatino Linotype" w:hAnsi="Palatino Linotype" w:cs="Palatino Linotype"/>
        </w:rPr>
        <w:t xml:space="preserve">; adjuntando, para efecto de lo anterior, </w:t>
      </w:r>
      <w:r>
        <w:rPr>
          <w:rFonts w:ascii="Palatino Linotype" w:eastAsia="Palatino Linotype" w:hAnsi="Palatino Linotype" w:cs="Palatino Linotype"/>
          <w:b/>
        </w:rPr>
        <w:t>la prueba de daño y el Acuerdo con número TJAEM/CT/II/EXT-18/2023 emitido por el Comité de Transparencia.</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derivado del análisis a los motivos de inconformidad hechos valer vía recurso de revisión, se </w:t>
      </w:r>
      <w:r>
        <w:rPr>
          <w:rFonts w:ascii="Palatino Linotype" w:eastAsia="Palatino Linotype" w:hAnsi="Palatino Linotype" w:cs="Palatino Linotype"/>
        </w:rPr>
        <w:t xml:space="preserve">advierte que la persona solicitante señaló que él  promovió el referido medio de impugnación, </w:t>
      </w:r>
      <w:r>
        <w:rPr>
          <w:rFonts w:ascii="Palatino Linotype" w:eastAsia="Palatino Linotype" w:hAnsi="Palatino Linotype" w:cs="Palatino Linotype"/>
          <w:b/>
          <w:u w:val="single"/>
        </w:rPr>
        <w:t>en atención a que es parte en los procedimientos respecto de los cuales pretende acceder al contenido de los expedientes.</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ante tales circunstancias, </w:t>
      </w:r>
      <w:r>
        <w:rPr>
          <w:rFonts w:ascii="Palatino Linotype" w:eastAsia="Palatino Linotype" w:hAnsi="Palatino Linotype" w:cs="Palatino Linotype"/>
        </w:rPr>
        <w:t xml:space="preserve">si bien conforme las constancias que obran en el expediente electrónico aperturado con motivo del recurso de revisión de nuestra atención, se desprende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vía informe justificado hizo del conocimiento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ser p</w:t>
      </w:r>
      <w:r>
        <w:rPr>
          <w:rFonts w:ascii="Palatino Linotype" w:eastAsia="Palatino Linotype" w:hAnsi="Palatino Linotype" w:cs="Palatino Linotype"/>
        </w:rPr>
        <w:t>arte en los expedientes que solicitó, tenía el derecho de acceso a los mismos y a la emisión de copias, previa acreditación de la identidad y pago de los derechos que corresponda; dicho pronunciamiento a criterio de la suscrita, no resultaba válido y sufic</w:t>
      </w:r>
      <w:r>
        <w:rPr>
          <w:rFonts w:ascii="Palatino Linotype" w:eastAsia="Palatino Linotype" w:hAnsi="Palatino Linotype" w:cs="Palatino Linotype"/>
        </w:rPr>
        <w:t>iente para tener por colmado el derecho de la persona solicitante, y que la Ponencia resolutora procediera a sobreseer el recurso de revisión en atención a que se</w:t>
      </w:r>
      <w:r>
        <w:rPr>
          <w:rFonts w:ascii="Palatino Linotype" w:eastAsia="Palatino Linotype" w:hAnsi="Palatino Linotype" w:cs="Palatino Linotype"/>
          <w:b/>
        </w:rPr>
        <w:t xml:space="preserve"> modificó la respuesta a la solicitud, </w:t>
      </w:r>
      <w:r>
        <w:rPr>
          <w:rFonts w:ascii="Palatino Linotype" w:eastAsia="Palatino Linotype" w:hAnsi="Palatino Linotype" w:cs="Palatino Linotype"/>
        </w:rPr>
        <w:t xml:space="preserve">considerando la actualización de la hipótesis prevista </w:t>
      </w:r>
      <w:r>
        <w:rPr>
          <w:rFonts w:ascii="Palatino Linotype" w:eastAsia="Palatino Linotype" w:hAnsi="Palatino Linotype" w:cs="Palatino Linotype"/>
        </w:rPr>
        <w:t xml:space="preserve">en la fracción III del artículo 192, en relación con la fracción I del artículo 186 de la Ley de la materia; </w:t>
      </w:r>
      <w:r>
        <w:rPr>
          <w:rFonts w:ascii="Palatino Linotype" w:eastAsia="Palatino Linotype" w:hAnsi="Palatino Linotype" w:cs="Palatino Linotype"/>
          <w:b/>
        </w:rPr>
        <w:lastRenderedPageBreak/>
        <w:t>omitiendo realizar la reconducción de la vía y dar tratamiento vía acceso a datos personales.</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efecto, la suscrita no comparte que en el caso se</w:t>
      </w:r>
      <w:r>
        <w:rPr>
          <w:rFonts w:ascii="Palatino Linotype" w:eastAsia="Palatino Linotype" w:hAnsi="Palatino Linotype" w:cs="Palatino Linotype"/>
        </w:rPr>
        <w:t xml:space="preserve"> omitiera realizar la reconducción de la vía, pues aún y cuando el ente público manifestó que la persona solicitante tenía derecho como parte en los procedimientos de los que requiere el acceso a los expedientes, la Ponencia resolutora omitió ejercer las a</w:t>
      </w:r>
      <w:r>
        <w:rPr>
          <w:rFonts w:ascii="Palatino Linotype" w:eastAsia="Palatino Linotype" w:hAnsi="Palatino Linotype" w:cs="Palatino Linotype"/>
        </w:rPr>
        <w:t>tribuciones de reconducir la vía de las solicitudes de acceso a la información en las que se requiera el acceso a datos previa acreditación de la identidad o personalidad de la persona solicitante.</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pues cuando se presenta una solicitud de acceso en u</w:t>
      </w:r>
      <w:r>
        <w:rPr>
          <w:rFonts w:ascii="Palatino Linotype" w:eastAsia="Palatino Linotype" w:hAnsi="Palatino Linotype" w:cs="Palatino Linotype"/>
        </w:rPr>
        <w:t>na vía que no corresponda, las dependencias y entidades o, tratándose del recurso de revisión, la normatividad en la materia señala que el propio Instituto, deberán reconducir el procedimiento al que resulte apropiado considerando, en principio, la persona</w:t>
      </w:r>
      <w:r>
        <w:rPr>
          <w:rFonts w:ascii="Palatino Linotype" w:eastAsia="Palatino Linotype" w:hAnsi="Palatino Linotype" w:cs="Palatino Linotype"/>
        </w:rPr>
        <w:t>lidad del solicitante.</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en términos de lo contemplado en los artículos 98 y 112, párrafo segundo de la Ley de Protección de Datos Personales en Posesión de Sujetos Obligados del Estado de México y Municipios, </w:t>
      </w:r>
      <w:r>
        <w:rPr>
          <w:rFonts w:ascii="Palatino Linotype" w:eastAsia="Palatino Linotype" w:hAnsi="Palatino Linotype" w:cs="Palatino Linotype"/>
          <w:b/>
          <w:u w:val="single"/>
        </w:rPr>
        <w:t>se ha optado por prevenir a la part</w:t>
      </w:r>
      <w:r>
        <w:rPr>
          <w:rFonts w:ascii="Palatino Linotype" w:eastAsia="Palatino Linotype" w:hAnsi="Palatino Linotype" w:cs="Palatino Linotype"/>
          <w:b/>
          <w:u w:val="single"/>
        </w:rPr>
        <w:t xml:space="preserve">e Recurrente para que, subsane la omisión de acreditar su identidad y/o representación, así como la identidad de la persona titular de los datos personales sobre los cuales se pretende ejercer el Derecho de acceso; </w:t>
      </w:r>
      <w:r>
        <w:rPr>
          <w:rFonts w:ascii="Palatino Linotype" w:eastAsia="Palatino Linotype" w:hAnsi="Palatino Linotype" w:cs="Palatino Linotype"/>
          <w:b/>
        </w:rPr>
        <w:t xml:space="preserve">y, </w:t>
      </w:r>
      <w:r>
        <w:rPr>
          <w:rFonts w:ascii="Palatino Linotype" w:eastAsia="Palatino Linotype" w:hAnsi="Palatino Linotype" w:cs="Palatino Linotype"/>
        </w:rPr>
        <w:t>una vez acreditado que la persona soli</w:t>
      </w:r>
      <w:r>
        <w:rPr>
          <w:rFonts w:ascii="Palatino Linotype" w:eastAsia="Palatino Linotype" w:hAnsi="Palatino Linotype" w:cs="Palatino Linotype"/>
        </w:rPr>
        <w:t>citante es el titular de los datos personales o el representante legal de éste, se proceda la vía de acceso a datos personales.</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 anterior, ya que para que proceda la vía de acceso a datos personales, el solicitante debe ser el titular de los datos perso</w:t>
      </w:r>
      <w:r>
        <w:rPr>
          <w:rFonts w:ascii="Palatino Linotype" w:eastAsia="Palatino Linotype" w:hAnsi="Palatino Linotype" w:cs="Palatino Linotype"/>
        </w:rPr>
        <w:t xml:space="preserve">nales o el representante legal de este, ya que es una condición </w:t>
      </w:r>
      <w:r>
        <w:rPr>
          <w:rFonts w:ascii="Palatino Linotype" w:eastAsia="Palatino Linotype" w:hAnsi="Palatino Linotype" w:cs="Palatino Linotype"/>
        </w:rPr>
        <w:lastRenderedPageBreak/>
        <w:t>necesaria para que se sustancie el procedimiento por esa vía y se entregue la información que se está requiriendo; pues en caso contrario, de no ser el titular o su representante legal, indepe</w:t>
      </w:r>
      <w:r>
        <w:rPr>
          <w:rFonts w:ascii="Palatino Linotype" w:eastAsia="Palatino Linotype" w:hAnsi="Palatino Linotype" w:cs="Palatino Linotype"/>
        </w:rPr>
        <w:t>ndientemente de que se soliciten datos personales, la solicitud debe reconducirse al procedimiento de acceso a la información, en el que se determinará si procede el acceso a la información como fue solicitada o bien, la clasificación de los datos personal</w:t>
      </w:r>
      <w:r>
        <w:rPr>
          <w:rFonts w:ascii="Palatino Linotype" w:eastAsia="Palatino Linotype" w:hAnsi="Palatino Linotype" w:cs="Palatino Linotype"/>
        </w:rPr>
        <w:t>es como confidenciales.</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como ocurrió en el caso que nos ocupa, la persona solicitante omitió presentar los documentos que acrediten su identidad como la persona titular de los datos personales sobre los cuales se pretende ejercer el acceso, tanto en </w:t>
      </w:r>
      <w:r>
        <w:rPr>
          <w:rFonts w:ascii="Palatino Linotype" w:eastAsia="Palatino Linotype" w:hAnsi="Palatino Linotype" w:cs="Palatino Linotype"/>
        </w:rPr>
        <w:t xml:space="preserve">el escrito de su solicitud, como en el escrito de interposición del recurso de revisión, por lo que, se insiste, en términos del artículo 97 de la Ley de Protección de Datos Personales en Posesión de Sujetos Obligados del Estado de México y Municipios, la </w:t>
      </w:r>
      <w:r>
        <w:rPr>
          <w:rFonts w:ascii="Palatino Linotype" w:eastAsia="Palatino Linotype" w:hAnsi="Palatino Linotype" w:cs="Palatino Linotype"/>
        </w:rPr>
        <w:t>procedencia de los derechos de acceso, rectificación, cancelación y oposición de datos personales, ARCO, es efectiva una vez que el titular o su representante legal acrediten su identidad o representación, respectivamente.</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ahí que, al manifestar la per</w:t>
      </w:r>
      <w:r>
        <w:rPr>
          <w:rFonts w:ascii="Palatino Linotype" w:eastAsia="Palatino Linotype" w:hAnsi="Palatino Linotype" w:cs="Palatino Linotype"/>
        </w:rPr>
        <w:t>sona solicitante que era parte de los juicios administrativos a los que se pretendía tener acceso a los expedientes, la Ponencia debió optar por la reconducción de la vía, prevenir a la persona solicitante para que acreditara su identidad y una vez hecho l</w:t>
      </w:r>
      <w:r>
        <w:rPr>
          <w:rFonts w:ascii="Palatino Linotype" w:eastAsia="Palatino Linotype" w:hAnsi="Palatino Linotype" w:cs="Palatino Linotype"/>
        </w:rPr>
        <w:t>o anterior, proceder en la vía acceso a datos personales, pues únicamente a lo que se le daría acceso, una vez acreditada la identidad y/o representación, sería a sus datos personales como a las actuaciones de las cuales ya tiene conocimiento, más no así a</w:t>
      </w:r>
      <w:r>
        <w:rPr>
          <w:rFonts w:ascii="Palatino Linotype" w:eastAsia="Palatino Linotype" w:hAnsi="Palatino Linotype" w:cs="Palatino Linotype"/>
        </w:rPr>
        <w:t xml:space="preserve"> información de terceros o que por el estado procesal que guardan los expedientes no puedan hacerse del conocimiento.</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Además, de que </w:t>
      </w:r>
      <w:r>
        <w:rPr>
          <w:rFonts w:ascii="Palatino Linotype" w:eastAsia="Palatino Linotype" w:hAnsi="Palatino Linotype" w:cs="Palatino Linotype"/>
          <w:b/>
        </w:rPr>
        <w:t>en ningún caso el acceso a los datos personales de un titular podrá afectar los derechos y libertades de otros.</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Se afirma</w:t>
      </w:r>
      <w:r>
        <w:rPr>
          <w:rFonts w:ascii="Palatino Linotype" w:eastAsia="Palatino Linotype" w:hAnsi="Palatino Linotype" w:cs="Palatino Linotype"/>
        </w:rPr>
        <w:t xml:space="preserve"> lo anterior, pues este Órgano Garante tiene claro que, si bien los titulares de los datos personales, a través del ejercicio de los derechos ARCO, tienen el control sobre su información personal que se encuentra en poder de los Sujetos Obligados; también </w:t>
      </w:r>
      <w:r>
        <w:rPr>
          <w:rFonts w:ascii="Palatino Linotype" w:eastAsia="Palatino Linotype" w:hAnsi="Palatino Linotype" w:cs="Palatino Linotype"/>
        </w:rPr>
        <w:t>lo es que, el simple pronunciamiento que se realiza sobre ser parte en un procedimiento administrativo o judicial, no basta para sustentar la titularidad del derecho, ya que para el ejercicio de los derecho ARCO, resulta necesario acreditar la identidad.</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Sin embargo, debemos recordar que, las personas solicitantes no son expertos en la materia y en ocasiones desconocen la vía para poder tener acceso a documentos en los que constan sus datos personales o el trámite procedente a realizarse para obtenerlos, p</w:t>
      </w:r>
      <w:r>
        <w:rPr>
          <w:rFonts w:ascii="Palatino Linotype" w:eastAsia="Palatino Linotype" w:hAnsi="Palatino Linotype" w:cs="Palatino Linotype"/>
        </w:rPr>
        <w:t>or lo que es deber de este Instituto dar el tratamiento correspondiente vía acceso a datos personales las solicitudes vía acceso a la información que ingresen con esa pretensión, a fin de favorecer la protección más amplia posible a favor de la persona, de</w:t>
      </w:r>
      <w:r>
        <w:rPr>
          <w:rFonts w:ascii="Palatino Linotype" w:eastAsia="Palatino Linotype" w:hAnsi="Palatino Linotype" w:cs="Palatino Linotype"/>
        </w:rPr>
        <w:t xml:space="preserve"> conformidad con los principios de universalidad, interdependencia, indivisibilidad y progresividad, así como la observancia de las subgarantías de prontitud, eficacia y expeditez al momento de realizar la conducción de la vía.</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resulta ev</w:t>
      </w:r>
      <w:r>
        <w:rPr>
          <w:rFonts w:ascii="Palatino Linotype" w:eastAsia="Palatino Linotype" w:hAnsi="Palatino Linotype" w:cs="Palatino Linotype"/>
        </w:rPr>
        <w:t>idente que la Ponencia resolutora debió resolver en términos del ejercicio del derecho de acceso a datos personales, toda vez que este Instituto, junto con otros como lo es el Instituto Nacional de Transparencia, Acceso a la Información y Protección de Dat</w:t>
      </w:r>
      <w:r>
        <w:rPr>
          <w:rFonts w:ascii="Palatino Linotype" w:eastAsia="Palatino Linotype" w:hAnsi="Palatino Linotype" w:cs="Palatino Linotype"/>
        </w:rPr>
        <w:t xml:space="preserve">os Personales (INAI) se ha pronunciado por la procedencia de los recursos de revisión según la materia de la solicitud; y, para referencia de lo anterior, se cita el criterio de </w:t>
      </w:r>
      <w:r>
        <w:rPr>
          <w:rFonts w:ascii="Palatino Linotype" w:eastAsia="Palatino Linotype" w:hAnsi="Palatino Linotype" w:cs="Palatino Linotype"/>
        </w:rPr>
        <w:lastRenderedPageBreak/>
        <w:t>interpretación para sujetos obligados reiterado histórico con clave de control</w:t>
      </w:r>
      <w:r>
        <w:rPr>
          <w:rFonts w:ascii="Palatino Linotype" w:eastAsia="Palatino Linotype" w:hAnsi="Palatino Linotype" w:cs="Palatino Linotype"/>
        </w:rPr>
        <w:t xml:space="preserve"> SO/008/2009, que es tenor literal siguiente:</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240" w:lineRule="auto"/>
        <w:ind w:left="567" w:right="616"/>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rPr>
        <w:t xml:space="preserve">“Las dependencias y entidades deberán dar trámite a las solicitudes aun cuando la vía en la que fueron presentadas -acceso a datos personales o información pública- no corresponda con la naturaleza de la materia de la misma. </w:t>
      </w:r>
      <w:r>
        <w:rPr>
          <w:rFonts w:ascii="Palatino Linotype" w:eastAsia="Palatino Linotype" w:hAnsi="Palatino Linotype" w:cs="Palatino Linotype"/>
          <w:i/>
          <w:color w:val="000000"/>
        </w:rPr>
        <w:t>Todas aquellas solicitudes cuyo</w:t>
      </w:r>
      <w:r>
        <w:rPr>
          <w:rFonts w:ascii="Palatino Linotype" w:eastAsia="Palatino Linotype" w:hAnsi="Palatino Linotype" w:cs="Palatino Linotype"/>
          <w:i/>
          <w:color w:val="000000"/>
        </w:rPr>
        <w:t xml:space="preserve"> objetivo sea allegarse de información pública y que sean ingresadas por la vía de acceso a datos personales, así como el caso contrario, deberán ser tramitadas por las dependencias y entidades de conformidad con la naturaleza de la información de que se t</w:t>
      </w:r>
      <w:r>
        <w:rPr>
          <w:rFonts w:ascii="Palatino Linotype" w:eastAsia="Palatino Linotype" w:hAnsi="Palatino Linotype" w:cs="Palatino Linotype"/>
          <w:i/>
          <w:color w:val="000000"/>
        </w:rPr>
        <w:t>rate, sin necesidad de que el particular requiera presentar una nueva solicitud. De conformidad con lo dispuesto en el artículo 1° de la Ley Federal de Transparencia y Acceso a la Información Pública Gubernamental, ésta tiene como finalidad proveer lo nece</w:t>
      </w:r>
      <w:r>
        <w:rPr>
          <w:rFonts w:ascii="Palatino Linotype" w:eastAsia="Palatino Linotype" w:hAnsi="Palatino Linotype" w:cs="Palatino Linotype"/>
          <w:i/>
          <w:color w:val="000000"/>
        </w:rPr>
        <w:t>sario para garantizar el acceso de toda persona a la información en posesión de los Poderes de la Unión, los órganos constitucionales autónomos o con autonomía legal, y cualquier otro órgano federal</w:t>
      </w:r>
      <w:r>
        <w:rPr>
          <w:rFonts w:ascii="Palatino Linotype" w:eastAsia="Palatino Linotype" w:hAnsi="Palatino Linotype" w:cs="Palatino Linotype"/>
          <w:b/>
          <w:i/>
          <w:color w:val="000000"/>
        </w:rPr>
        <w:t>. Por su parte, el artículo 4 de la Ley en cita señala que</w:t>
      </w:r>
      <w:r>
        <w:rPr>
          <w:rFonts w:ascii="Palatino Linotype" w:eastAsia="Palatino Linotype" w:hAnsi="Palatino Linotype" w:cs="Palatino Linotype"/>
          <w:b/>
          <w:i/>
          <w:color w:val="000000"/>
        </w:rPr>
        <w:t xml:space="preserve"> entre sus objetivos se encuentra el de “proveer lo necesario para que toda persona pueda tener acceso a la información mediante procedimientos sencillos y expeditos”.</w:t>
      </w:r>
      <w:r>
        <w:rPr>
          <w:rFonts w:ascii="Palatino Linotype" w:eastAsia="Palatino Linotype" w:hAnsi="Palatino Linotype" w:cs="Palatino Linotype"/>
          <w:i/>
          <w:color w:val="000000"/>
        </w:rPr>
        <w:t xml:space="preserve"> De igual forma, el artículo 6 de la Ley Federal de Transparencia y Acceso a la Informaci</w:t>
      </w:r>
      <w:r>
        <w:rPr>
          <w:rFonts w:ascii="Palatino Linotype" w:eastAsia="Palatino Linotype" w:hAnsi="Palatino Linotype" w:cs="Palatino Linotype"/>
          <w:i/>
          <w:color w:val="000000"/>
        </w:rPr>
        <w:t xml:space="preserve">ón Pública Gubernamental dispone que en la interpretación de la referida Ley y de su Reglamento “se deberá favorecer el principio de máxima publicidad y disponibilidad de la información en posesión de los sujetos obligados”. </w:t>
      </w:r>
      <w:r>
        <w:rPr>
          <w:rFonts w:ascii="Palatino Linotype" w:eastAsia="Palatino Linotype" w:hAnsi="Palatino Linotype" w:cs="Palatino Linotype"/>
          <w:b/>
          <w:i/>
          <w:color w:val="000000"/>
          <w:u w:val="single"/>
        </w:rPr>
        <w:t xml:space="preserve">Considerando lo establecido en </w:t>
      </w:r>
      <w:r>
        <w:rPr>
          <w:rFonts w:ascii="Palatino Linotype" w:eastAsia="Palatino Linotype" w:hAnsi="Palatino Linotype" w:cs="Palatino Linotype"/>
          <w:b/>
          <w:i/>
          <w:color w:val="000000"/>
          <w:u w:val="single"/>
        </w:rPr>
        <w:t>los artículos citados, este Instituto determina que, a efecto de cumplir con los objetivos de la ley de la materia y en aras de garantizar el acceso a través de procedimientos sencillos y expeditos, favoreciendo también el principio disponibilidad de la in</w:t>
      </w:r>
      <w:r>
        <w:rPr>
          <w:rFonts w:ascii="Palatino Linotype" w:eastAsia="Palatino Linotype" w:hAnsi="Palatino Linotype" w:cs="Palatino Linotype"/>
          <w:b/>
          <w:i/>
          <w:color w:val="000000"/>
          <w:u w:val="single"/>
        </w:rPr>
        <w:t>formación en posesión de los sujetos obligados, éstos deben subsanar los errores en que incurran los particulares al elegir la vía por la que los particulares presentan sus solicitudes. Por consiguiente, en el caso que los particulares ingresen solicitudes</w:t>
      </w:r>
      <w:r>
        <w:rPr>
          <w:rFonts w:ascii="Palatino Linotype" w:eastAsia="Palatino Linotype" w:hAnsi="Palatino Linotype" w:cs="Palatino Linotype"/>
          <w:b/>
          <w:i/>
          <w:color w:val="000000"/>
          <w:u w:val="single"/>
        </w:rPr>
        <w:t xml:space="preserve"> de acceso a datos personales cuando, en realidad, la información solicitada corresponde a información pública, o viceversa, las dependencias y entidades deberán darles el trámite correspondiente de conformidad con la naturaleza de la información solicitad</w:t>
      </w:r>
      <w:r>
        <w:rPr>
          <w:rFonts w:ascii="Palatino Linotype" w:eastAsia="Palatino Linotype" w:hAnsi="Palatino Linotype" w:cs="Palatino Linotype"/>
          <w:b/>
          <w:i/>
          <w:color w:val="000000"/>
          <w:u w:val="single"/>
        </w:rPr>
        <w:t>a.”</w:t>
      </w:r>
    </w:p>
    <w:p w:rsidR="00A30BD2" w:rsidRDefault="00A30BD2">
      <w:pPr>
        <w:spacing w:after="0" w:line="240" w:lineRule="auto"/>
        <w:ind w:left="567" w:right="616"/>
        <w:jc w:val="both"/>
        <w:rPr>
          <w:rFonts w:ascii="Palatino Linotype" w:eastAsia="Palatino Linotype" w:hAnsi="Palatino Linotype" w:cs="Palatino Linotype"/>
          <w:i/>
          <w:color w:val="000000"/>
        </w:rPr>
      </w:pPr>
    </w:p>
    <w:p w:rsidR="00A30BD2" w:rsidRDefault="00637868">
      <w:pPr>
        <w:spacing w:after="0" w:line="240" w:lineRule="auto"/>
        <w:ind w:left="567" w:right="616"/>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(Énfasis añadido)</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Aunado a lo anterior, y de conformidad con lo dispuesto en el numeral trigésimo noveno de los </w:t>
      </w:r>
      <w:r>
        <w:rPr>
          <w:rFonts w:ascii="Palatino Linotype" w:eastAsia="Palatino Linotype" w:hAnsi="Palatino Linotype" w:cs="Palatino Linotype"/>
          <w:b/>
        </w:rPr>
        <w:t>Lineamientos Generales en Materia de Clasificación y Desclasificación de la Información, así como para la Elaboración de Versiones Pública</w:t>
      </w:r>
      <w:r>
        <w:rPr>
          <w:rFonts w:ascii="Palatino Linotype" w:eastAsia="Palatino Linotype" w:hAnsi="Palatino Linotype" w:cs="Palatino Linotype"/>
          <w:b/>
        </w:rPr>
        <w:t>s</w:t>
      </w:r>
      <w:r>
        <w:rPr>
          <w:rFonts w:ascii="Palatino Linotype" w:eastAsia="Palatino Linotype" w:hAnsi="Palatino Linotype" w:cs="Palatino Linotype"/>
        </w:rPr>
        <w:t>, vigentes, se dispone que cuando el titular de los datos o su representante realice una solicitud de acceso a la información donde se encuentren sus datos personales, los sujetos obligados deberán reconducir la solicitud y atenderla en términos de las le</w:t>
      </w:r>
      <w:r>
        <w:rPr>
          <w:rFonts w:ascii="Palatino Linotype" w:eastAsia="Palatino Linotype" w:hAnsi="Palatino Linotype" w:cs="Palatino Linotype"/>
        </w:rPr>
        <w:t>yes aplicables al ejercicio del derecho a la protección de datos personales, concediendo el acceso a los mismos a su titular, previa acreditación de la identidad o personalidad del mismo, como se sigue:</w:t>
      </w:r>
    </w:p>
    <w:p w:rsidR="00A30BD2" w:rsidRDefault="00A30BD2">
      <w:pPr>
        <w:spacing w:after="0" w:line="360" w:lineRule="auto"/>
        <w:ind w:right="49"/>
        <w:jc w:val="both"/>
        <w:rPr>
          <w:rFonts w:ascii="Palatino Linotype" w:eastAsia="Palatino Linotype" w:hAnsi="Palatino Linotype" w:cs="Palatino Linotype"/>
        </w:rPr>
      </w:pPr>
    </w:p>
    <w:p w:rsidR="00A30BD2" w:rsidRDefault="00637868">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Trigésimo noveno. </w:t>
      </w:r>
      <w:r>
        <w:rPr>
          <w:rFonts w:ascii="Palatino Linotype" w:eastAsia="Palatino Linotype" w:hAnsi="Palatino Linotype" w:cs="Palatino Linotype"/>
          <w:i/>
        </w:rPr>
        <w:t>Los datos personales concerniente</w:t>
      </w:r>
      <w:r>
        <w:rPr>
          <w:rFonts w:ascii="Palatino Linotype" w:eastAsia="Palatino Linotype" w:hAnsi="Palatino Linotype" w:cs="Palatino Linotype"/>
          <w:i/>
        </w:rPr>
        <w:t xml:space="preserve">s a una persona física identificada o identificable, no podrán clasificarse como confidenciales ante sus titulares. </w:t>
      </w:r>
    </w:p>
    <w:p w:rsidR="00A30BD2" w:rsidRDefault="00A30BD2">
      <w:pPr>
        <w:spacing w:after="0" w:line="276" w:lineRule="auto"/>
        <w:ind w:left="567" w:right="616"/>
        <w:jc w:val="both"/>
        <w:rPr>
          <w:rFonts w:ascii="Palatino Linotype" w:eastAsia="Palatino Linotype" w:hAnsi="Palatino Linotype" w:cs="Palatino Linotype"/>
          <w:i/>
        </w:rPr>
      </w:pPr>
    </w:p>
    <w:p w:rsidR="00A30BD2" w:rsidRDefault="00637868">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En caso de que el titular de los datos o su representante realice una solicitud de acceso a la información donde se encuentren sus datos p</w:t>
      </w:r>
      <w:r>
        <w:rPr>
          <w:rFonts w:ascii="Palatino Linotype" w:eastAsia="Palatino Linotype" w:hAnsi="Palatino Linotype" w:cs="Palatino Linotype"/>
          <w:b/>
          <w:i/>
        </w:rPr>
        <w:t>ersonales, los sujetos obligados deberán reconducir la solicitud y atenderla en términos de las leyes aplicables al ejercicio del derecho a la protección de datos personales.</w:t>
      </w:r>
      <w:r>
        <w:rPr>
          <w:rFonts w:ascii="Palatino Linotype" w:eastAsia="Palatino Linotype" w:hAnsi="Palatino Linotype" w:cs="Palatino Linotype"/>
          <w:i/>
        </w:rPr>
        <w:t xml:space="preserve"> Dando acceso a los datos previa acreditación de la identidad o personalidad del m</w:t>
      </w:r>
      <w:r>
        <w:rPr>
          <w:rFonts w:ascii="Palatino Linotype" w:eastAsia="Palatino Linotype" w:hAnsi="Palatino Linotype" w:cs="Palatino Linotype"/>
          <w:i/>
        </w:rPr>
        <w:t>ismo, en términos de las disposiciones normativas aplicables.[…]</w:t>
      </w:r>
    </w:p>
    <w:p w:rsidR="00A30BD2" w:rsidRDefault="00A30BD2">
      <w:pPr>
        <w:spacing w:after="0" w:line="276" w:lineRule="auto"/>
        <w:ind w:left="567" w:right="616"/>
        <w:jc w:val="both"/>
        <w:rPr>
          <w:rFonts w:ascii="Palatino Linotype" w:eastAsia="Palatino Linotype" w:hAnsi="Palatino Linotype" w:cs="Palatino Linotype"/>
          <w:i/>
        </w:rPr>
      </w:pPr>
    </w:p>
    <w:p w:rsidR="00A30BD2" w:rsidRDefault="00637868">
      <w:pPr>
        <w:spacing w:after="0" w:line="276" w:lineRule="auto"/>
        <w:ind w:left="567" w:right="616"/>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A30BD2" w:rsidRDefault="00A30BD2">
      <w:pPr>
        <w:tabs>
          <w:tab w:val="left" w:pos="4962"/>
        </w:tabs>
        <w:spacing w:after="0" w:line="360" w:lineRule="auto"/>
        <w:jc w:val="both"/>
        <w:rPr>
          <w:rFonts w:ascii="Palatino Linotype" w:eastAsia="Palatino Linotype" w:hAnsi="Palatino Linotype" w:cs="Palatino Linotype"/>
        </w:rPr>
      </w:pPr>
    </w:p>
    <w:p w:rsidR="00A30BD2" w:rsidRDefault="00637868">
      <w:pPr>
        <w:tabs>
          <w:tab w:val="left" w:pos="4962"/>
        </w:tabs>
        <w:spacing w:after="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rPr>
        <w:t xml:space="preserve">Es por las razones antes expuestas que no comparto el sentido de la resolución dictada, y, por ende se emite el presente </w:t>
      </w:r>
      <w:r>
        <w:rPr>
          <w:rFonts w:ascii="Palatino Linotype" w:eastAsia="Palatino Linotype" w:hAnsi="Palatino Linotype" w:cs="Palatino Linotype"/>
          <w:b/>
        </w:rPr>
        <w:t>Voto Disidente pues considero que se debió realiza</w:t>
      </w:r>
      <w:r>
        <w:rPr>
          <w:rFonts w:ascii="Palatino Linotype" w:eastAsia="Palatino Linotype" w:hAnsi="Palatino Linotype" w:cs="Palatino Linotype"/>
          <w:b/>
        </w:rPr>
        <w:t xml:space="preserve">r la reconducción de la vía, y dar el tratamiento al medio de impugnación vía acceso a datos personales, para que previa acreditación de su identidad de la persona solicitante, se le concediera acceso a los mismos. </w:t>
      </w: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bookmarkStart w:id="4" w:name="_heading=h.3znysh7" w:colFirst="0" w:colLast="0"/>
      <w:bookmarkEnd w:id="4"/>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p w:rsidR="00A30BD2" w:rsidRDefault="00A30BD2">
      <w:pPr>
        <w:spacing w:after="0" w:line="360" w:lineRule="auto"/>
        <w:ind w:right="423"/>
        <w:jc w:val="both"/>
        <w:rPr>
          <w:rFonts w:ascii="Palatino Linotype" w:eastAsia="Palatino Linotype" w:hAnsi="Palatino Linotype" w:cs="Palatino Linotype"/>
        </w:rPr>
      </w:pPr>
    </w:p>
    <w:sectPr w:rsidR="00A30BD2">
      <w:headerReference w:type="default" r:id="rId11"/>
      <w:footerReference w:type="default" r:id="rId12"/>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68" w:rsidRDefault="00637868">
      <w:pPr>
        <w:spacing w:after="0" w:line="240" w:lineRule="auto"/>
      </w:pPr>
      <w:r>
        <w:separator/>
      </w:r>
    </w:p>
  </w:endnote>
  <w:endnote w:type="continuationSeparator" w:id="0">
    <w:p w:rsidR="00637868" w:rsidRDefault="006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D2" w:rsidRDefault="006378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81629B">
      <w:rPr>
        <w:b/>
        <w:color w:val="000000"/>
        <w:sz w:val="24"/>
        <w:szCs w:val="24"/>
      </w:rPr>
      <w:fldChar w:fldCharType="separate"/>
    </w:r>
    <w:r w:rsidR="0081629B">
      <w:rPr>
        <w:b/>
        <w:noProof/>
        <w:color w:val="000000"/>
        <w:sz w:val="24"/>
        <w:szCs w:val="24"/>
      </w:rPr>
      <w:t>11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81629B">
      <w:rPr>
        <w:b/>
        <w:color w:val="000000"/>
        <w:sz w:val="24"/>
        <w:szCs w:val="24"/>
      </w:rPr>
      <w:fldChar w:fldCharType="separate"/>
    </w:r>
    <w:r w:rsidR="0081629B">
      <w:rPr>
        <w:b/>
        <w:noProof/>
        <w:color w:val="000000"/>
        <w:sz w:val="24"/>
        <w:szCs w:val="24"/>
      </w:rPr>
      <w:t>12</w:t>
    </w:r>
    <w:r>
      <w:rPr>
        <w:b/>
        <w:color w:val="000000"/>
        <w:sz w:val="24"/>
        <w:szCs w:val="24"/>
      </w:rPr>
      <w:fldChar w:fldCharType="end"/>
    </w:r>
  </w:p>
  <w:p w:rsidR="00A30BD2" w:rsidRDefault="00A30B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68" w:rsidRDefault="00637868">
      <w:pPr>
        <w:spacing w:after="0" w:line="240" w:lineRule="auto"/>
      </w:pPr>
      <w:r>
        <w:separator/>
      </w:r>
    </w:p>
  </w:footnote>
  <w:footnote w:type="continuationSeparator" w:id="0">
    <w:p w:rsidR="00637868" w:rsidRDefault="006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D2" w:rsidRDefault="0063786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-1227452</wp:posOffset>
          </wp:positionH>
          <wp:positionV relativeFrom="paragraph">
            <wp:posOffset>-485137</wp:posOffset>
          </wp:positionV>
          <wp:extent cx="7510628" cy="9883775"/>
          <wp:effectExtent l="0" t="0" r="0" b="0"/>
          <wp:wrapNone/>
          <wp:docPr id="108451559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30BD2" w:rsidRDefault="0063786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DISIDENTE </w:t>
    </w:r>
  </w:p>
  <w:p w:rsidR="00A30BD2" w:rsidRDefault="00637868">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02016/INFOEM/IP/RR/2023</w:t>
    </w:r>
  </w:p>
  <w:p w:rsidR="00A30BD2" w:rsidRDefault="00A30BD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A30BD2" w:rsidRDefault="00A30BD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55D25"/>
    <w:multiLevelType w:val="multilevel"/>
    <w:tmpl w:val="46709C7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074B82"/>
    <w:multiLevelType w:val="multilevel"/>
    <w:tmpl w:val="DF30D094"/>
    <w:lvl w:ilvl="0">
      <w:start w:val="2"/>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C370E07"/>
    <w:multiLevelType w:val="multilevel"/>
    <w:tmpl w:val="8612F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D2"/>
    <w:rsid w:val="00637868"/>
    <w:rsid w:val="0081629B"/>
    <w:rsid w:val="00A30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6B9AF-2829-40D1-8CE4-E27D9549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F3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98D"/>
  </w:style>
  <w:style w:type="paragraph" w:styleId="Piedepgina">
    <w:name w:val="footer"/>
    <w:basedOn w:val="Normal"/>
    <w:link w:val="PiedepginaCar"/>
    <w:uiPriority w:val="99"/>
    <w:unhideWhenUsed/>
    <w:rsid w:val="00AF3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98D"/>
  </w:style>
  <w:style w:type="paragraph" w:styleId="Prrafodelista">
    <w:name w:val="List Paragraph"/>
    <w:basedOn w:val="Normal"/>
    <w:uiPriority w:val="34"/>
    <w:qFormat/>
    <w:rsid w:val="00823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DA75pgPkG4CHDBPpkZUz9QwIQ==">CgMxLjAyCGguZ2pkZ3hzMgloLjFmb2I5dGUyCGgudHlqY3d0MgloLjN6bnlzaDc4AHIhMTh6WUxhaGNKRm1ld1p0cERxcUl5TEFuVDNMUGlBZERS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2610</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cp:lastPrinted>2024-03-19T20:16:00Z</cp:lastPrinted>
  <dcterms:created xsi:type="dcterms:W3CDTF">2024-03-18T15:30:00Z</dcterms:created>
  <dcterms:modified xsi:type="dcterms:W3CDTF">2024-03-19T20:16:00Z</dcterms:modified>
</cp:coreProperties>
</file>