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DF" w:rsidRDefault="00D612B6">
      <w:pPr>
        <w:spacing w:after="0" w:line="360" w:lineRule="auto"/>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SEGUNDA SESIÓN ORDINARIA DEL VEINTICUATRO DE ENERO DE DOS MIL VEINTICUATRO, EN EL RECURSO DE REVISIÓN 00851/INFOEM/IP/RR/2023 Y ACUMULADOS.</w:t>
      </w:r>
    </w:p>
    <w:p w:rsidR="008133DF" w:rsidRDefault="008133DF">
      <w:pPr>
        <w:spacing w:after="0" w:line="360" w:lineRule="auto"/>
        <w:jc w:val="both"/>
        <w:rPr>
          <w:rFonts w:ascii="Palatino Linotype" w:eastAsia="Palatino Linotype" w:hAnsi="Palatino Linotype" w:cs="Palatino Linotype"/>
          <w:b/>
          <w:sz w:val="24"/>
          <w:szCs w:val="24"/>
        </w:rPr>
      </w:pPr>
    </w:p>
    <w:p w:rsidR="008133DF" w:rsidRDefault="00D612B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w:t>
      </w:r>
      <w:r>
        <w:rPr>
          <w:rFonts w:ascii="Palatino Linotype" w:eastAsia="Palatino Linotype" w:hAnsi="Palatino Linotype" w:cs="Palatino Linotype"/>
          <w:b/>
          <w:sz w:val="24"/>
          <w:szCs w:val="24"/>
        </w:rPr>
        <w:t>Comisionada</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respecto a la resolución dictada en el recurso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 xml:space="preserve">de revisión número </w:t>
      </w:r>
      <w:r>
        <w:rPr>
          <w:rFonts w:ascii="Palatino Linotype" w:eastAsia="Palatino Linotype" w:hAnsi="Palatino Linotype" w:cs="Palatino Linotype"/>
          <w:b/>
          <w:sz w:val="24"/>
          <w:szCs w:val="24"/>
        </w:rPr>
        <w:t>00851/INFOEM/IP/RR/2023 y Acumulados</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pronunciada por el Pleno de este Instituto ante el proyecto presentado por el </w:t>
      </w:r>
      <w:r>
        <w:rPr>
          <w:rFonts w:ascii="Palatino Linotype" w:eastAsia="Palatino Linotype" w:hAnsi="Palatino Linotype" w:cs="Palatino Linotype"/>
          <w:b/>
          <w:sz w:val="24"/>
          <w:szCs w:val="24"/>
        </w:rPr>
        <w:t>Comisionado Luis Gustavo Parra Noriega</w:t>
      </w:r>
      <w:r>
        <w:rPr>
          <w:rFonts w:ascii="Palatino Linotype" w:eastAsia="Palatino Linotype" w:hAnsi="Palatino Linotype" w:cs="Palatino Linotype"/>
          <w:sz w:val="24"/>
          <w:szCs w:val="24"/>
        </w:rPr>
        <w:t>, el cual se formuló, conforme al tenor siguiente:</w:t>
      </w:r>
    </w:p>
    <w:p w:rsidR="008133DF" w:rsidRDefault="008133DF">
      <w:pPr>
        <w:spacing w:after="0" w:line="360" w:lineRule="auto"/>
        <w:jc w:val="both"/>
        <w:rPr>
          <w:rFonts w:ascii="Palatino Linotype" w:eastAsia="Palatino Linotype" w:hAnsi="Palatino Linotype" w:cs="Palatino Linotype"/>
          <w:sz w:val="24"/>
          <w:szCs w:val="24"/>
        </w:rPr>
      </w:pPr>
    </w:p>
    <w:p w:rsidR="008133DF" w:rsidRDefault="00D612B6">
      <w:pPr>
        <w:numPr>
          <w:ilvl w:val="0"/>
          <w:numId w:val="1"/>
        </w:numPr>
        <w:spacing w:after="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8133DF" w:rsidRDefault="008133DF">
      <w:pPr>
        <w:spacing w:after="0" w:line="360" w:lineRule="auto"/>
        <w:ind w:left="567"/>
        <w:jc w:val="both"/>
        <w:rPr>
          <w:rFonts w:ascii="Palatino Linotype" w:eastAsia="Palatino Linotype" w:hAnsi="Palatino Linotype" w:cs="Palatino Linotype"/>
          <w:b/>
          <w:sz w:val="24"/>
          <w:szCs w:val="24"/>
        </w:rPr>
      </w:pPr>
    </w:p>
    <w:p w:rsidR="008133DF" w:rsidRDefault="00D612B6">
      <w:pPr>
        <w:spacing w:after="12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el asunto que nos ocupa, la parte Recurrente solicitó al </w:t>
      </w:r>
      <w:r>
        <w:rPr>
          <w:rFonts w:ascii="Palatino Linotype" w:eastAsia="Palatino Linotype" w:hAnsi="Palatino Linotype" w:cs="Palatino Linotype"/>
          <w:b/>
          <w:sz w:val="24"/>
          <w:szCs w:val="24"/>
        </w:rPr>
        <w:t xml:space="preserve">Ayuntamiento </w:t>
      </w:r>
      <w:proofErr w:type="spellStart"/>
      <w:r>
        <w:rPr>
          <w:rFonts w:ascii="Palatino Linotype" w:eastAsia="Palatino Linotype" w:hAnsi="Palatino Linotype" w:cs="Palatino Linotype"/>
          <w:b/>
          <w:sz w:val="24"/>
          <w:szCs w:val="24"/>
        </w:rPr>
        <w:t>Tequixquiac</w:t>
      </w:r>
      <w:proofErr w:type="spellEnd"/>
      <w:r>
        <w:rPr>
          <w:rFonts w:ascii="Palatino Linotype" w:eastAsia="Palatino Linotype" w:hAnsi="Palatino Linotype" w:cs="Palatino Linotype"/>
          <w:sz w:val="24"/>
          <w:szCs w:val="24"/>
        </w:rPr>
        <w:t xml:space="preserve">, en su carácter de Sujeto Obligado, le proporcionara: </w:t>
      </w:r>
    </w:p>
    <w:tbl>
      <w:tblPr>
        <w:tblStyle w:val="a"/>
        <w:tblW w:w="8918" w:type="dxa"/>
        <w:tblInd w:w="0" w:type="dxa"/>
        <w:tblLayout w:type="fixed"/>
        <w:tblLook w:val="0400" w:firstRow="0" w:lastRow="0" w:firstColumn="0" w:lastColumn="0" w:noHBand="0" w:noVBand="1"/>
      </w:tblPr>
      <w:tblGrid>
        <w:gridCol w:w="8918"/>
      </w:tblGrid>
      <w:tr w:rsidR="008133DF">
        <w:tc>
          <w:tcPr>
            <w:tcW w:w="8918" w:type="dxa"/>
          </w:tcPr>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r w:rsidR="00F01F70">
              <w:rPr>
                <w:rFonts w:ascii="Palatino Linotype" w:eastAsia="Palatino Linotype" w:hAnsi="Palatino Linotype" w:cs="Palatino Linotype"/>
                <w:color w:val="000000"/>
                <w:sz w:val="24"/>
                <w:szCs w:val="24"/>
              </w:rPr>
              <w:t>, 2, 3, 4, 5</w:t>
            </w:r>
            <w:r>
              <w:rPr>
                <w:rFonts w:ascii="Palatino Linotype" w:eastAsia="Palatino Linotype" w:hAnsi="Palatino Linotype" w:cs="Palatino Linotype"/>
                <w:color w:val="000000"/>
                <w:sz w:val="24"/>
                <w:szCs w:val="24"/>
              </w:rPr>
              <w:t>, 6, 7, 8 Regidurías de febrero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MARZO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ABRIL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MAYO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JUNIO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JULIO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AGOSTO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1,2,3,4,5, 6, 7, 8 Regidurías de SEPTIEMBRE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OCTUBRE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NOVIEMBRE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recibidos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DICIEMBRE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ENERO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febrero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marzo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abril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mayo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junio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julio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agosto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septiembre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octubre de 2022.</w:t>
            </w:r>
          </w:p>
          <w:p w:rsidR="008133DF" w:rsidRDefault="00D612B6">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noviembre de 2022.</w:t>
            </w:r>
          </w:p>
          <w:p w:rsidR="008133DF" w:rsidRDefault="00D612B6">
            <w:pPr>
              <w:numPr>
                <w:ilvl w:val="0"/>
                <w:numId w:val="4"/>
              </w:numPr>
              <w:pBdr>
                <w:top w:val="nil"/>
                <w:left w:val="nil"/>
                <w:bottom w:val="nil"/>
                <w:right w:val="nil"/>
                <w:between w:val="nil"/>
              </w:pBdr>
              <w:spacing w:after="12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Copia simple de los oficios enviados por la 1</w:t>
            </w:r>
            <w:proofErr w:type="gramStart"/>
            <w:r>
              <w:rPr>
                <w:rFonts w:ascii="Palatino Linotype" w:eastAsia="Palatino Linotype" w:hAnsi="Palatino Linotype" w:cs="Palatino Linotype"/>
                <w:color w:val="000000"/>
                <w:sz w:val="24"/>
                <w:szCs w:val="24"/>
              </w:rPr>
              <w:t>,2,3,4,5</w:t>
            </w:r>
            <w:proofErr w:type="gramEnd"/>
            <w:r>
              <w:rPr>
                <w:rFonts w:ascii="Palatino Linotype" w:eastAsia="Palatino Linotype" w:hAnsi="Palatino Linotype" w:cs="Palatino Linotype"/>
                <w:color w:val="000000"/>
                <w:sz w:val="24"/>
                <w:szCs w:val="24"/>
              </w:rPr>
              <w:t>, 6, 7, 8 Regidurías de diciembre de 2022.</w:t>
            </w:r>
          </w:p>
        </w:tc>
      </w:tr>
    </w:tbl>
    <w:p w:rsidR="00E50CB9" w:rsidRDefault="00D612B6">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En respuesta</w:t>
      </w:r>
      <w:r w:rsidR="00DB3B32">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el Sujeto Obligado por medio del Área de Regidurías y a través del Titular de la Unidad de Transparencia y Acceso a la Info</w:t>
      </w:r>
      <w:r w:rsidR="00E50CB9">
        <w:rPr>
          <w:rFonts w:ascii="Palatino Linotype" w:eastAsia="Palatino Linotype" w:hAnsi="Palatino Linotype" w:cs="Palatino Linotype"/>
          <w:sz w:val="24"/>
          <w:szCs w:val="24"/>
        </w:rPr>
        <w:t>rmación del Ayuntamiento, informó, en cada una de las solicitudes de acceso a la información  pública,</w:t>
      </w:r>
      <w:r>
        <w:rPr>
          <w:rFonts w:ascii="Palatino Linotype" w:eastAsia="Palatino Linotype" w:hAnsi="Palatino Linotype" w:cs="Palatino Linotype"/>
          <w:sz w:val="24"/>
          <w:szCs w:val="24"/>
        </w:rPr>
        <w:t xml:space="preserve"> </w:t>
      </w:r>
      <w:r w:rsidR="00E50CB9">
        <w:rPr>
          <w:rFonts w:ascii="Palatino Linotype" w:eastAsia="Palatino Linotype" w:hAnsi="Palatino Linotype" w:cs="Palatino Linotype"/>
          <w:sz w:val="24"/>
          <w:szCs w:val="24"/>
        </w:rPr>
        <w:t>lo siguiente:</w:t>
      </w:r>
    </w:p>
    <w:p w:rsidR="00E50CB9" w:rsidRDefault="00E50CB9">
      <w:pPr>
        <w:tabs>
          <w:tab w:val="left" w:pos="7513"/>
        </w:tabs>
        <w:spacing w:before="120" w:after="120" w:line="360" w:lineRule="auto"/>
        <w:ind w:right="-3"/>
        <w:jc w:val="both"/>
        <w:rPr>
          <w:rFonts w:ascii="Palatino Linotype" w:eastAsia="Palatino Linotype" w:hAnsi="Palatino Linotype" w:cs="Palatino Linotype"/>
          <w:sz w:val="24"/>
          <w:szCs w:val="24"/>
        </w:rPr>
      </w:pPr>
    </w:p>
    <w:p w:rsidR="00E50CB9" w:rsidRPr="00E50CB9" w:rsidRDefault="00E50CB9" w:rsidP="00E50CB9">
      <w:pPr>
        <w:spacing w:line="240" w:lineRule="auto"/>
        <w:ind w:left="708"/>
        <w:contextualSpacing/>
        <w:jc w:val="both"/>
        <w:rPr>
          <w:rFonts w:ascii="Palatino Linotype" w:hAnsi="Palatino Linotype"/>
          <w:i/>
          <w:u w:val="single"/>
        </w:rPr>
      </w:pPr>
      <w:r w:rsidRPr="00E50CB9">
        <w:rPr>
          <w:rFonts w:ascii="Palatino Linotype" w:hAnsi="Palatino Linotype"/>
          <w:i/>
        </w:rPr>
        <w:t xml:space="preserve">“…esta área de Regiduría quien es la responsable de administrar y/o resguardar la información requerida, determina el </w:t>
      </w:r>
      <w:r w:rsidRPr="00E50CB9">
        <w:rPr>
          <w:rFonts w:ascii="Palatino Linotype" w:hAnsi="Palatino Linotype"/>
          <w:b/>
          <w:i/>
          <w:u w:val="single"/>
        </w:rPr>
        <w:t>cambio de modalidad de entrega de la información a “Consulta Directa</w:t>
      </w:r>
      <w:r w:rsidRPr="00E50CB9">
        <w:rPr>
          <w:rFonts w:ascii="Palatino Linotype" w:hAnsi="Palatino Linotype"/>
          <w:i/>
          <w:u w:val="single"/>
        </w:rPr>
        <w:t>”…</w:t>
      </w:r>
    </w:p>
    <w:p w:rsidR="00E50CB9" w:rsidRPr="00E50CB9" w:rsidRDefault="00E50CB9" w:rsidP="00E50CB9">
      <w:pPr>
        <w:spacing w:line="240" w:lineRule="auto"/>
        <w:ind w:left="708"/>
        <w:contextualSpacing/>
        <w:jc w:val="both"/>
        <w:rPr>
          <w:rFonts w:ascii="Palatino Linotype" w:hAnsi="Palatino Linotype"/>
          <w:i/>
        </w:rPr>
      </w:pPr>
      <w:r w:rsidRPr="00E50CB9">
        <w:rPr>
          <w:rFonts w:ascii="Palatino Linotype" w:hAnsi="Palatino Linotype"/>
          <w:i/>
        </w:rPr>
        <w:t xml:space="preserve">…considerando la capacidad de información </w:t>
      </w:r>
      <w:r w:rsidRPr="00E50CB9">
        <w:rPr>
          <w:rFonts w:ascii="Palatino Linotype" w:hAnsi="Palatino Linotype"/>
          <w:b/>
          <w:i/>
          <w:u w:val="single"/>
        </w:rPr>
        <w:t>a ser procesada y para ser proporcionada en versión publica, sobre pasa las capacidades técnicas administrativas y su procesamiento toda vez que se trata de alrededor de 20 GB.</w:t>
      </w:r>
      <w:r w:rsidRPr="00E50CB9">
        <w:rPr>
          <w:rFonts w:ascii="Palatino Linotype" w:hAnsi="Palatino Linotype"/>
          <w:i/>
        </w:rPr>
        <w:t xml:space="preserve"> Superando la capacidad del sistema SAIMEX para ser entregada por esta </w:t>
      </w:r>
      <w:proofErr w:type="spellStart"/>
      <w:r w:rsidRPr="00E50CB9">
        <w:rPr>
          <w:rFonts w:ascii="Palatino Linotype" w:hAnsi="Palatino Linotype"/>
          <w:i/>
        </w:rPr>
        <w:t>via</w:t>
      </w:r>
      <w:proofErr w:type="spellEnd"/>
      <w:r w:rsidRPr="00E50CB9">
        <w:rPr>
          <w:rFonts w:ascii="Palatino Linotype" w:hAnsi="Palatino Linotype"/>
          <w:i/>
        </w:rPr>
        <w:t>…</w:t>
      </w:r>
    </w:p>
    <w:p w:rsidR="00E50CB9" w:rsidRDefault="00E50CB9" w:rsidP="00E50CB9">
      <w:pPr>
        <w:spacing w:line="240" w:lineRule="auto"/>
        <w:ind w:left="708"/>
        <w:contextualSpacing/>
        <w:jc w:val="both"/>
        <w:rPr>
          <w:rFonts w:ascii="Palatino Linotype" w:hAnsi="Palatino Linotype"/>
          <w:i/>
        </w:rPr>
      </w:pPr>
      <w:proofErr w:type="spellStart"/>
      <w:r w:rsidRPr="00E50CB9">
        <w:rPr>
          <w:rFonts w:ascii="Palatino Linotype" w:hAnsi="Palatino Linotype"/>
          <w:i/>
        </w:rPr>
        <w:t>Asi</w:t>
      </w:r>
      <w:proofErr w:type="spellEnd"/>
      <w:r w:rsidRPr="00E50CB9">
        <w:rPr>
          <w:rFonts w:ascii="Palatino Linotype" w:hAnsi="Palatino Linotype"/>
          <w:i/>
        </w:rPr>
        <w:t xml:space="preserve"> mismo se señala el </w:t>
      </w:r>
      <w:proofErr w:type="spellStart"/>
      <w:r w:rsidRPr="00E50CB9">
        <w:rPr>
          <w:rFonts w:ascii="Palatino Linotype" w:hAnsi="Palatino Linotype"/>
          <w:i/>
        </w:rPr>
        <w:t>dia</w:t>
      </w:r>
      <w:proofErr w:type="spellEnd"/>
      <w:r w:rsidRPr="00E50CB9">
        <w:rPr>
          <w:rFonts w:ascii="Palatino Linotype" w:hAnsi="Palatino Linotype"/>
          <w:i/>
        </w:rPr>
        <w:t xml:space="preserve"> 30 de enero del año en curso para la consulta directa de la información en un horario de 9:00 a 12:00 horas, en las oficinas que ocupa esta área de Regiduría ubicada en el segundo piso del Palacio Municipal en la plaza Cuauhtémoc 1, Colonia Centro, C.P. 55650, </w:t>
      </w:r>
      <w:proofErr w:type="spellStart"/>
      <w:r w:rsidRPr="00E50CB9">
        <w:rPr>
          <w:rFonts w:ascii="Palatino Linotype" w:hAnsi="Palatino Linotype"/>
          <w:i/>
        </w:rPr>
        <w:t>Tequixquiac</w:t>
      </w:r>
      <w:proofErr w:type="spellEnd"/>
      <w:r w:rsidRPr="00E50CB9">
        <w:rPr>
          <w:rFonts w:ascii="Palatino Linotype" w:hAnsi="Palatino Linotype"/>
          <w:i/>
        </w:rPr>
        <w:t>, Estado de México…”</w:t>
      </w:r>
    </w:p>
    <w:p w:rsidR="00E50CB9" w:rsidRDefault="00E50CB9" w:rsidP="00E50CB9">
      <w:pPr>
        <w:spacing w:line="240" w:lineRule="auto"/>
        <w:ind w:left="708"/>
        <w:contextualSpacing/>
        <w:jc w:val="both"/>
        <w:rPr>
          <w:rFonts w:ascii="Palatino Linotype" w:hAnsi="Palatino Linotype"/>
          <w:i/>
        </w:rPr>
      </w:pPr>
    </w:p>
    <w:p w:rsidR="00E50CB9" w:rsidRDefault="00E50CB9" w:rsidP="00E50CB9">
      <w:pPr>
        <w:spacing w:line="240" w:lineRule="auto"/>
        <w:ind w:left="708"/>
        <w:contextualSpacing/>
        <w:jc w:val="both"/>
        <w:rPr>
          <w:rFonts w:ascii="Palatino Linotype" w:hAnsi="Palatino Linotype"/>
          <w:i/>
        </w:rPr>
      </w:pPr>
      <w:r w:rsidRPr="00E50CB9">
        <w:rPr>
          <w:rFonts w:ascii="Palatino Linotype" w:hAnsi="Palatino Linotype"/>
          <w:i/>
        </w:rPr>
        <w:t xml:space="preserve">Oficio número…., del dieciséis de enero de dos mil veintitrés, suscrito por el área de Regiduría y dirigido a la Titular de la Unidad de Transparencia, por medio del cual mencionan lo siguiente: </w:t>
      </w:r>
    </w:p>
    <w:p w:rsidR="00E50CB9" w:rsidRDefault="00E50CB9" w:rsidP="00E50CB9">
      <w:pPr>
        <w:spacing w:line="240" w:lineRule="auto"/>
        <w:ind w:left="708"/>
        <w:contextualSpacing/>
        <w:jc w:val="both"/>
        <w:rPr>
          <w:rFonts w:ascii="Palatino Linotype" w:hAnsi="Palatino Linotype"/>
          <w:i/>
        </w:rPr>
      </w:pPr>
    </w:p>
    <w:p w:rsidR="00E50CB9" w:rsidRPr="00E50CB9" w:rsidRDefault="00E50CB9" w:rsidP="00E50CB9">
      <w:pPr>
        <w:spacing w:line="240" w:lineRule="auto"/>
        <w:ind w:left="708"/>
        <w:contextualSpacing/>
        <w:jc w:val="both"/>
        <w:rPr>
          <w:rFonts w:ascii="Palatino Linotype" w:hAnsi="Palatino Linotype"/>
          <w:i/>
        </w:rPr>
      </w:pPr>
      <w:r w:rsidRPr="00E50CB9">
        <w:rPr>
          <w:rFonts w:ascii="Palatino Linotype" w:hAnsi="Palatino Linotype"/>
          <w:i/>
        </w:rPr>
        <w:t>“…el procesamiento de la información sobrepasa las capacidades técnicas y de almacenamiento informático, toda vez que el volumen de información sobre pasa los veinte gigabits, es decir, más del peso máximo de archivos soportados por el SAIMEX, por lo que solicita a usted el cambio de modalidad de la entrega de información.</w:t>
      </w:r>
    </w:p>
    <w:p w:rsidR="00E50CB9" w:rsidRPr="00E50CB9" w:rsidRDefault="00E50CB9" w:rsidP="00E50CB9">
      <w:pPr>
        <w:spacing w:line="240" w:lineRule="auto"/>
        <w:ind w:left="708"/>
        <w:contextualSpacing/>
        <w:jc w:val="both"/>
        <w:rPr>
          <w:rFonts w:ascii="Palatino Linotype" w:hAnsi="Palatino Linotype"/>
          <w:i/>
        </w:rPr>
      </w:pPr>
      <w:r w:rsidRPr="00E50CB9">
        <w:rPr>
          <w:rFonts w:ascii="Palatino Linotype" w:hAnsi="Palatino Linotype"/>
          <w:i/>
        </w:rPr>
        <w:t>…”</w:t>
      </w:r>
    </w:p>
    <w:p w:rsidR="00E50CB9" w:rsidRPr="00E50CB9" w:rsidRDefault="00E50CB9" w:rsidP="00E50CB9">
      <w:pPr>
        <w:spacing w:line="240" w:lineRule="auto"/>
        <w:contextualSpacing/>
        <w:jc w:val="both"/>
        <w:rPr>
          <w:rFonts w:ascii="Palatino Linotype" w:hAnsi="Palatino Linotype"/>
          <w:i/>
        </w:rPr>
      </w:pPr>
    </w:p>
    <w:p w:rsidR="00E50CB9" w:rsidRPr="00E50CB9" w:rsidRDefault="00E50CB9" w:rsidP="00DB3B32">
      <w:pPr>
        <w:spacing w:line="240" w:lineRule="auto"/>
        <w:ind w:left="709"/>
        <w:contextualSpacing/>
        <w:jc w:val="both"/>
        <w:rPr>
          <w:rFonts w:ascii="Palatino Linotype" w:hAnsi="Palatino Linotype"/>
          <w:i/>
        </w:rPr>
      </w:pPr>
      <w:r w:rsidRPr="00E50CB9">
        <w:rPr>
          <w:rFonts w:ascii="Palatino Linotype" w:hAnsi="Palatino Linotype"/>
          <w:i/>
        </w:rPr>
        <w:t>iii) Acta de la Vigésima Tercera Sesión Extraordinaria número TRANSPARENCIA/CT/ACTA-EXTRA-23/2023, del veintisiete de enero de dos mil veintitrés, por medio de la cual mencionan lo siguiente:</w:t>
      </w:r>
    </w:p>
    <w:p w:rsidR="00E50CB9" w:rsidRPr="00E50CB9" w:rsidRDefault="00E50CB9" w:rsidP="00E50CB9">
      <w:pPr>
        <w:spacing w:line="240" w:lineRule="auto"/>
        <w:contextualSpacing/>
        <w:jc w:val="both"/>
        <w:rPr>
          <w:rFonts w:ascii="Palatino Linotype" w:hAnsi="Palatino Linotype"/>
          <w:i/>
        </w:rPr>
      </w:pP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lastRenderedPageBreak/>
        <w:t>“…los integrantes de este Comité de Transparencia aprecian que la información requerida en las solicitudes de acceso a la información pública…, sobrepasa las capacidades técnicas del Sistema de Acceso a la Información Pública (SAIMEX).</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En esa tesitura, los integrantes de este Comité de Transparencia determinan que, resulta procedente poner a disposición del solicitante, la información que requiere, mediante CONSULTA DIRECTA (In situ), como un procedimiento interno que asegure la mayor eficacia en la gestión de la solicitud de acceso a la información pública de referencia.</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…el mecanismo oportuno para lograr la efectividad, </w:t>
      </w:r>
      <w:proofErr w:type="spellStart"/>
      <w:r w:rsidRPr="00E50CB9">
        <w:rPr>
          <w:rFonts w:ascii="Palatino Linotype" w:eastAsia="Palatino Linotype" w:hAnsi="Palatino Linotype" w:cs="Palatino Linotype"/>
          <w:i/>
          <w:color w:val="000000"/>
        </w:rPr>
        <w:t>asi</w:t>
      </w:r>
      <w:proofErr w:type="spellEnd"/>
      <w:r w:rsidRPr="00E50CB9">
        <w:rPr>
          <w:rFonts w:ascii="Palatino Linotype" w:eastAsia="Palatino Linotype" w:hAnsi="Palatino Linotype" w:cs="Palatino Linotype"/>
          <w:i/>
          <w:color w:val="000000"/>
        </w:rPr>
        <w:t xml:space="preserve"> como para asegurar con ello el acceso a la información correspondiente al particular, se desarrollará de la siguiente manera:</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1. La Consulta Directa de la Información se llevará a cabo en las Regidurías, situada en la planta alta del Municipio de </w:t>
      </w:r>
      <w:proofErr w:type="spellStart"/>
      <w:r w:rsidRPr="00E50CB9">
        <w:rPr>
          <w:rFonts w:ascii="Palatino Linotype" w:eastAsia="Palatino Linotype" w:hAnsi="Palatino Linotype" w:cs="Palatino Linotype"/>
          <w:i/>
          <w:color w:val="000000"/>
        </w:rPr>
        <w:t>Tequixquiac</w:t>
      </w:r>
      <w:proofErr w:type="spellEnd"/>
      <w:r w:rsidRPr="00E50CB9">
        <w:rPr>
          <w:rFonts w:ascii="Palatino Linotype" w:eastAsia="Palatino Linotype" w:hAnsi="Palatino Linotype" w:cs="Palatino Linotype"/>
          <w:i/>
          <w:color w:val="000000"/>
        </w:rPr>
        <w:t xml:space="preserve">, en Plaza Cuauhtémoc número 1, Colonia Centro, </w:t>
      </w:r>
      <w:proofErr w:type="spellStart"/>
      <w:r w:rsidRPr="00E50CB9">
        <w:rPr>
          <w:rFonts w:ascii="Palatino Linotype" w:eastAsia="Palatino Linotype" w:hAnsi="Palatino Linotype" w:cs="Palatino Linotype"/>
          <w:i/>
          <w:color w:val="000000"/>
        </w:rPr>
        <w:t>Tequixquiac</w:t>
      </w:r>
      <w:proofErr w:type="spellEnd"/>
      <w:r w:rsidRPr="00E50CB9">
        <w:rPr>
          <w:rFonts w:ascii="Palatino Linotype" w:eastAsia="Palatino Linotype" w:hAnsi="Palatino Linotype" w:cs="Palatino Linotype"/>
          <w:i/>
          <w:color w:val="000000"/>
        </w:rPr>
        <w:t xml:space="preserve">, Estado de México.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2. El Solicitante deberá presentarse en las REGIDURIAS de este Ayuntamiento de </w:t>
      </w:r>
      <w:proofErr w:type="spellStart"/>
      <w:r w:rsidRPr="00E50CB9">
        <w:rPr>
          <w:rFonts w:ascii="Palatino Linotype" w:eastAsia="Palatino Linotype" w:hAnsi="Palatino Linotype" w:cs="Palatino Linotype"/>
          <w:i/>
          <w:color w:val="000000"/>
        </w:rPr>
        <w:t>Tequixquiac</w:t>
      </w:r>
      <w:proofErr w:type="spellEnd"/>
      <w:r w:rsidRPr="00E50CB9">
        <w:rPr>
          <w:rFonts w:ascii="Palatino Linotype" w:eastAsia="Palatino Linotype" w:hAnsi="Palatino Linotype" w:cs="Palatino Linotype"/>
          <w:i/>
          <w:color w:val="000000"/>
        </w:rPr>
        <w:t xml:space="preserve"> el día TREINTA DE ENERO DEL AÑO EN CURSO D E 09:00 A 12:00 HRS.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3. La Unidad de Transparencia le requiere al Solicitante para que, al ingresar al edificio de este Municipio, se presente con una identificación oficial vigente, con el propósito de realizar su registro, donde le proporcionarán un gafete de visitante, que deberá portar para acceder a nuestras oficinas.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4. Se le hace saber al Solicitante que, al momento en que realice la consulta de la información requerida, será asistido por una persona que se encuentre adscrita a la Unidad de Transparencia de este municipio.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 xml:space="preserve">5. Por otro lado, se le informa al Solicitante que existen diversas medidas técnicas, físicas y administrativas, las cuales resultan necesarias para garantizar la integridad de la información a consultar, de conformidad con las características específicas del documento solicitado; dichas medidas consisten en las siguientes: a) Contar con instalaciones y mobiliario adecuado para asegurar tanto la integridad de los documentos a consultar,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proofErr w:type="gramStart"/>
      <w:r w:rsidRPr="00E50CB9">
        <w:rPr>
          <w:rFonts w:ascii="Palatino Linotype" w:eastAsia="Palatino Linotype" w:hAnsi="Palatino Linotype" w:cs="Palatino Linotype"/>
          <w:i/>
          <w:color w:val="000000"/>
        </w:rPr>
        <w:t>6.De</w:t>
      </w:r>
      <w:proofErr w:type="gramEnd"/>
      <w:r w:rsidRPr="00E50CB9">
        <w:rPr>
          <w:rFonts w:ascii="Palatino Linotype" w:eastAsia="Palatino Linotype" w:hAnsi="Palatino Linotype" w:cs="Palatino Linotype"/>
          <w:i/>
          <w:color w:val="000000"/>
        </w:rPr>
        <w:t xml:space="preserve"> igual manera, se le indica al Solicitante que, no debe introducir ningún objeto al área dispuesta para la consulta de la información, que pueda poner en riesgo la integridad de la misma, tales como alimentos, líquidos u otros similares, así como, sustancias o dispositivos inflamables. </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proofErr w:type="gramStart"/>
      <w:r w:rsidRPr="00E50CB9">
        <w:rPr>
          <w:rFonts w:ascii="Palatino Linotype" w:eastAsia="Palatino Linotype" w:hAnsi="Palatino Linotype" w:cs="Palatino Linotype"/>
          <w:i/>
          <w:color w:val="000000"/>
        </w:rPr>
        <w:lastRenderedPageBreak/>
        <w:t>7.Resulta</w:t>
      </w:r>
      <w:proofErr w:type="gramEnd"/>
      <w:r w:rsidRPr="00E50CB9">
        <w:rPr>
          <w:rFonts w:ascii="Palatino Linotype" w:eastAsia="Palatino Linotype" w:hAnsi="Palatino Linotype" w:cs="Palatino Linotype"/>
          <w:i/>
          <w:color w:val="000000"/>
        </w:rPr>
        <w:t xml:space="preserve"> indispensable puntualizarle al Solicitante que el área de consulta contará con material de papelería, es decir, bolígrafos, lápices y papel, en caso de que el Solicitante lo requiera.</w:t>
      </w:r>
    </w:p>
    <w:p w:rsidR="00E50CB9" w:rsidRPr="00E50CB9" w:rsidRDefault="00E50CB9" w:rsidP="00E50CB9">
      <w:pPr>
        <w:pBdr>
          <w:top w:val="nil"/>
          <w:left w:val="nil"/>
          <w:bottom w:val="nil"/>
          <w:right w:val="nil"/>
          <w:between w:val="nil"/>
        </w:pBdr>
        <w:spacing w:line="240" w:lineRule="auto"/>
        <w:ind w:left="567" w:right="567"/>
        <w:contextualSpacing/>
        <w:jc w:val="both"/>
        <w:rPr>
          <w:rFonts w:ascii="Palatino Linotype" w:eastAsia="Palatino Linotype" w:hAnsi="Palatino Linotype" w:cs="Palatino Linotype"/>
          <w:i/>
          <w:color w:val="000000"/>
        </w:rPr>
      </w:pPr>
      <w:r w:rsidRPr="00E50CB9">
        <w:rPr>
          <w:rFonts w:ascii="Palatino Linotype" w:eastAsia="Palatino Linotype" w:hAnsi="Palatino Linotype" w:cs="Palatino Linotype"/>
          <w:i/>
          <w:color w:val="000000"/>
        </w:rPr>
        <w:t>No omito mencionar, que de acuerdo con el artículo 166 de la Ley de Transparencia y Acceso a la Información Pública del Estado de México y Municipios, la Unidad de Transparencia tendrá disponible la información respectiva, durante un plazo mínimo de 60 días hábiles, transcurrido dicho plazo, se dará por concluida la solicitud y se procederá, de ser el caso, a la destrucción del material en el que se reprodujo la información…”</w:t>
      </w:r>
    </w:p>
    <w:p w:rsidR="00E50CB9" w:rsidRDefault="00E50CB9">
      <w:pPr>
        <w:tabs>
          <w:tab w:val="left" w:pos="7513"/>
        </w:tabs>
        <w:spacing w:before="120" w:after="120" w:line="360" w:lineRule="auto"/>
        <w:ind w:right="-3"/>
        <w:jc w:val="both"/>
        <w:rPr>
          <w:rFonts w:ascii="Palatino Linotype" w:eastAsia="Palatino Linotype" w:hAnsi="Palatino Linotype" w:cs="Palatino Linotype"/>
          <w:sz w:val="24"/>
          <w:szCs w:val="24"/>
        </w:rPr>
      </w:pPr>
    </w:p>
    <w:p w:rsidR="00DB3B32" w:rsidRDefault="00DB3B32" w:rsidP="00DB3B32">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la que se resalta que el Sujeto Obligado, puso a disposición de la parte Recurrente la información que solicitó,  mediante consulta directa; en razón que la información requerida </w:t>
      </w:r>
      <w:r w:rsidRPr="00DB3B32">
        <w:rPr>
          <w:rFonts w:ascii="Palatino Linotype" w:eastAsia="Palatino Linotype" w:hAnsi="Palatino Linotype" w:cs="Palatino Linotype"/>
          <w:sz w:val="24"/>
          <w:szCs w:val="24"/>
        </w:rPr>
        <w:t xml:space="preserve">sobrepasa las capacidades técnicas y de almacenamiento informático, toda vez que </w:t>
      </w:r>
      <w:r>
        <w:rPr>
          <w:rFonts w:ascii="Palatino Linotype" w:eastAsia="Palatino Linotype" w:hAnsi="Palatino Linotype" w:cs="Palatino Linotype"/>
          <w:sz w:val="24"/>
          <w:szCs w:val="24"/>
        </w:rPr>
        <w:t>el volumen de información sobre</w:t>
      </w:r>
      <w:r w:rsidRPr="00DB3B32">
        <w:rPr>
          <w:rFonts w:ascii="Palatino Linotype" w:eastAsia="Palatino Linotype" w:hAnsi="Palatino Linotype" w:cs="Palatino Linotype"/>
          <w:sz w:val="24"/>
          <w:szCs w:val="24"/>
        </w:rPr>
        <w:t>pasa los veinte gigabits, es decir, más del peso máximo de archivos soportados por el SAIMEX, por lo que s</w:t>
      </w:r>
      <w:r>
        <w:rPr>
          <w:rFonts w:ascii="Palatino Linotype" w:eastAsia="Palatino Linotype" w:hAnsi="Palatino Linotype" w:cs="Palatino Linotype"/>
          <w:sz w:val="24"/>
          <w:szCs w:val="24"/>
        </w:rPr>
        <w:t xml:space="preserve">olicitó al Titular de la Unidad de Transparencia hiciera </w:t>
      </w:r>
      <w:r w:rsidRPr="00DB3B32">
        <w:rPr>
          <w:rFonts w:ascii="Palatino Linotype" w:eastAsia="Palatino Linotype" w:hAnsi="Palatino Linotype" w:cs="Palatino Linotype"/>
          <w:sz w:val="24"/>
          <w:szCs w:val="24"/>
        </w:rPr>
        <w:t>el cambio de modalidad</w:t>
      </w:r>
      <w:r>
        <w:rPr>
          <w:rFonts w:ascii="Palatino Linotype" w:eastAsia="Palatino Linotype" w:hAnsi="Palatino Linotype" w:cs="Palatino Linotype"/>
          <w:sz w:val="24"/>
          <w:szCs w:val="24"/>
        </w:rPr>
        <w:t xml:space="preserve"> consulta directa, adjuntando para tal efecto el Acta número TRANPARENCIA/CT/ACTA-EXTRA-23/2023 de la Vigésima Tercera Sesión Extraordinaria donde el Comité de Transparencia confirma el cambio de modalidad debido al peso de la información.</w:t>
      </w:r>
    </w:p>
    <w:p w:rsidR="00DB3B32" w:rsidRDefault="00DB3B32">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destacar que en cada una de las respuestas el Sujeto Obligado, señaló que se recibieron oficios que ascienden a 20 GB y que de igual forma que en cada mes los Regidores emitieron oficios que asciende a ese mismo peso. </w:t>
      </w:r>
    </w:p>
    <w:p w:rsidR="008133DF" w:rsidRDefault="00D612B6">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Una vez conocida las respuestas del Sujeto Obligado, el ahora Recurrente interpuso los medios de impugnación, mediante el cual se inconformó en lo medular porque no le entregaron la información.</w:t>
      </w:r>
    </w:p>
    <w:p w:rsidR="008133DF" w:rsidRDefault="00D612B6">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Una vez interpuestos los recursos de revisión, de las constancias que obran en los expedientes en el Sistema de Acceso a la Información Mexiquense, se advierte que el Sujeto Obligado rindió su informe justificado mediante el cual ratificó su respuesta inicial.</w:t>
      </w:r>
    </w:p>
    <w:p w:rsidR="008133DF" w:rsidRDefault="00D612B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tal sentido, derivado del análisis efectuado, la Ponenc</w:t>
      </w:r>
      <w:r w:rsidR="00F4606E">
        <w:rPr>
          <w:rFonts w:ascii="Palatino Linotype" w:eastAsia="Palatino Linotype" w:hAnsi="Palatino Linotype" w:cs="Palatino Linotype"/>
          <w:sz w:val="24"/>
          <w:szCs w:val="24"/>
        </w:rPr>
        <w:t xml:space="preserve">ia que resolvió consideró que </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sidRPr="00343A0C">
        <w:rPr>
          <w:rFonts w:ascii="Palatino Linotype" w:eastAsia="Palatino Linotype" w:hAnsi="Palatino Linotype" w:cs="Palatino Linotype"/>
          <w:i/>
        </w:rPr>
        <w:t>el Ente Recurrido precisó en respuesta que ponía a disposición del ahora Recurrente la documentación peticionada en consulta directa, bajo las siguientes consideraciones:</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bookmarkStart w:id="1" w:name="_3rdcrjn" w:colFirst="0" w:colLast="0"/>
      <w:bookmarkEnd w:id="1"/>
      <w:r w:rsidRPr="00343A0C">
        <w:rPr>
          <w:rFonts w:ascii="Palatino Linotype" w:eastAsia="Palatino Linotype" w:hAnsi="Palatino Linotype" w:cs="Palatino Linotype"/>
          <w:i/>
        </w:rPr>
        <w:t xml:space="preserve">Que la información sobrepasaba las capacidades técnicas, humanas y administrativas del área, para poder procesar la información, y, </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sidRPr="00343A0C">
        <w:rPr>
          <w:rFonts w:ascii="Palatino Linotype" w:eastAsia="Palatino Linotype" w:hAnsi="Palatino Linotype" w:cs="Palatino Linotype"/>
          <w:i/>
        </w:rPr>
        <w:t>Que la información solicitada se trata de alrededor de veinte Gigabytes aproximadamente, por lo que el peso de la misma superaba las capacidades técnicas para cargar la información en el Sistema de Acceso a la Información Mexiquense.</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bookmarkStart w:id="2" w:name="_26in1rg" w:colFirst="0" w:colLast="0"/>
      <w:bookmarkEnd w:id="2"/>
      <w:r w:rsidRPr="00343A0C">
        <w:rPr>
          <w:rFonts w:ascii="Palatino Linotype" w:eastAsia="Palatino Linotype" w:hAnsi="Palatino Linotype" w:cs="Palatino Linotype"/>
          <w:i/>
        </w:rPr>
        <w:t>Sobre dicha circunstancia, resulta necesario analizar si se sobrepasan las capacidades del Sistema de Acceso a la Información Mexiquense (SAIMEX); sobre dicha situación, cabe traer a colación la Resolución del Recurso de Revisión con número 01006/INFOEM/IP/RR/2021, en la cual la Dirección General de Informática de este Instituto, informó que la capacidad máxima para adjuntar un archivo en dicho sistema, es de aproximadamente de quinientos megabytes, o un equivalente ocho mil fojas.</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sidRPr="00343A0C">
        <w:rPr>
          <w:rFonts w:ascii="Palatino Linotype" w:eastAsia="Palatino Linotype" w:hAnsi="Palatino Linotype" w:cs="Palatino Linotype"/>
          <w:i/>
        </w:rPr>
        <w:t>Lo 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b/>
          <w:i/>
        </w:rPr>
      </w:pPr>
      <w:r w:rsidRPr="00343A0C">
        <w:rPr>
          <w:rFonts w:ascii="Palatino Linotype" w:eastAsia="Palatino Linotype" w:hAnsi="Palatino Linotype" w:cs="Palatino Linotype"/>
          <w:b/>
          <w:i/>
        </w:rPr>
        <w:lastRenderedPageBreak/>
        <w:t>Conforme a lo anterior, se logra vislumbrar que la información solicitada, sobrepasaba las capacidades técnicas del Sistema de Acceso a la Información Mexiquense (SAIMEX), pues son alrededor de veinte Gigabytes; lo anterior, se acredita por el Comité de Transparencia y Acceso a la Información Pública, mediante el Acta número TRANSPARENCIA/CT/ACTA-EXTRA-23/2023, de la Vigésima Tercera Sesión Extraordinaria, en donde confirma el cambio de modalidad a consulta directa, pues la información sobrepasaba los veinte Gigabytes.</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b/>
          <w:i/>
        </w:rPr>
      </w:pPr>
      <w:r w:rsidRPr="00343A0C">
        <w:rPr>
          <w:rFonts w:ascii="Palatino Linotype" w:eastAsia="Palatino Linotype" w:hAnsi="Palatino Linotype" w:cs="Palatino Linotype"/>
          <w:b/>
          <w:i/>
        </w:rPr>
        <w:t>Conforme a lo anterior, se logra vislumbrar que el Sujeto Obligado señaló el impedimento para proporcionar la información, en la modalidad elegida por la parte Recurrente, a saber, el Sistema de Acceso a la Información Mexiquense (SAIMEX); por lo que, resulta procedente el cambio de modalidad.</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sidRPr="00343A0C">
        <w:rPr>
          <w:rFonts w:ascii="Palatino Linotype" w:eastAsia="Palatino Linotype" w:hAnsi="Palatino Linotype" w:cs="Palatino Linotype"/>
          <w:i/>
        </w:rPr>
        <w:t xml:space="preserve">Ahora bien, de las constancias que obran en el expediente se logra vislumbrar que el Sujeto Obligado únicamente puso a disposición del Recurrente la información en consulta directa; sobre dicha circunstancia, es de señalar que el Organismo Garante Nacional, a través de diversas resoluciones de los Recursos de Inconformidad, entre las cuales se encuentran el RIA 136/20, RIA 140/20, RIA 153/20 RIA 237/20, RIA 257/20, RIA 258/20, entre otras, ha considerado que no resulta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sidRPr="00343A0C">
        <w:rPr>
          <w:rFonts w:ascii="Palatino Linotype" w:eastAsia="Palatino Linotype" w:hAnsi="Palatino Linotype" w:cs="Palatino Linotype"/>
          <w:i/>
        </w:rPr>
        <w:t>Además, precisan que no se debe ceñir el cambio de modalidad, directamente a consulta directa, sino que los sujetos obligados, deben de buscar la posibilidad de proporcionarla en las otras formas que establecen en la Ley, ya sean electrónicas o físicas.</w:t>
      </w: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p>
    <w:p w:rsidR="00343A0C" w:rsidRPr="00343A0C" w:rsidRDefault="00343A0C" w:rsidP="00343A0C">
      <w:pPr>
        <w:spacing w:before="240" w:after="240" w:line="240" w:lineRule="auto"/>
        <w:ind w:left="567" w:right="564"/>
        <w:contextualSpacing/>
        <w:jc w:val="both"/>
        <w:rPr>
          <w:rFonts w:ascii="Palatino Linotype" w:eastAsia="Palatino Linotype" w:hAnsi="Palatino Linotype" w:cs="Palatino Linotype"/>
          <w:i/>
        </w:rPr>
      </w:pPr>
      <w:r w:rsidRPr="00343A0C">
        <w:rPr>
          <w:rFonts w:ascii="Palatino Linotype" w:eastAsia="Palatino Linotype" w:hAnsi="Palatino Linotype" w:cs="Palatino Linotype"/>
          <w:i/>
        </w:rPr>
        <w:t xml:space="preserve">Conforme a lo anterior, el Ayuntamiento de </w:t>
      </w:r>
      <w:proofErr w:type="spellStart"/>
      <w:r w:rsidRPr="00343A0C">
        <w:rPr>
          <w:rFonts w:ascii="Palatino Linotype" w:eastAsia="Palatino Linotype" w:hAnsi="Palatino Linotype" w:cs="Palatino Linotype"/>
          <w:i/>
        </w:rPr>
        <w:t>Tequixquiac</w:t>
      </w:r>
      <w:proofErr w:type="spellEnd"/>
      <w:r w:rsidRPr="00343A0C">
        <w:rPr>
          <w:rFonts w:ascii="Palatino Linotype" w:eastAsia="Palatino Linotype" w:hAnsi="Palatino Linotype" w:cs="Palatino Linotype"/>
          <w:i/>
        </w:rPr>
        <w:t>, si bien acreditó la imposibilidad para proporcionar la información a través del Sistema de Acceso a la Información Mexiquense, omitió ponerla a disposición en todas las modalidades posibles, lo cual da como resultado que el agravió resulte PARCIALMENTE FUNDADO.</w:t>
      </w:r>
      <w:r>
        <w:rPr>
          <w:rFonts w:ascii="Palatino Linotype" w:eastAsia="Palatino Linotype" w:hAnsi="Palatino Linotype" w:cs="Palatino Linotype"/>
          <w:i/>
        </w:rPr>
        <w:t>” (Sic)</w:t>
      </w:r>
    </w:p>
    <w:p w:rsidR="008133DF" w:rsidRDefault="008133DF">
      <w:pPr>
        <w:spacing w:before="240" w:after="240" w:line="360" w:lineRule="auto"/>
        <w:jc w:val="both"/>
        <w:rPr>
          <w:rFonts w:ascii="Palatino Linotype" w:eastAsia="Palatino Linotype" w:hAnsi="Palatino Linotype" w:cs="Palatino Linotype"/>
          <w:sz w:val="24"/>
          <w:szCs w:val="24"/>
        </w:rPr>
      </w:pPr>
    </w:p>
    <w:p w:rsidR="008133DF" w:rsidRDefault="00343A0C">
      <w:pPr>
        <w:spacing w:before="240" w:after="24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lastRenderedPageBreak/>
        <w:t xml:space="preserve">De ahí que, determinó </w:t>
      </w:r>
      <w:r w:rsidR="00D612B6">
        <w:rPr>
          <w:rFonts w:ascii="Palatino Linotype" w:eastAsia="Palatino Linotype" w:hAnsi="Palatino Linotype" w:cs="Palatino Linotype"/>
          <w:sz w:val="24"/>
          <w:szCs w:val="24"/>
        </w:rPr>
        <w:t xml:space="preserve"> </w:t>
      </w:r>
      <w:r w:rsidR="00D612B6">
        <w:rPr>
          <w:rFonts w:ascii="Palatino Linotype" w:eastAsia="Palatino Linotype" w:hAnsi="Palatino Linotype" w:cs="Palatino Linotype"/>
          <w:b/>
          <w:color w:val="000000"/>
          <w:sz w:val="24"/>
          <w:szCs w:val="24"/>
        </w:rPr>
        <w:t xml:space="preserve">MODIFICAR </w:t>
      </w:r>
      <w:r w:rsidR="00D612B6">
        <w:rPr>
          <w:rFonts w:ascii="Palatino Linotype" w:eastAsia="Palatino Linotype" w:hAnsi="Palatino Linotype" w:cs="Palatino Linotype"/>
          <w:color w:val="000000"/>
          <w:sz w:val="24"/>
          <w:szCs w:val="24"/>
        </w:rPr>
        <w:t xml:space="preserve">la respuesta del Ayuntamiento de </w:t>
      </w:r>
      <w:proofErr w:type="spellStart"/>
      <w:r w:rsidR="00D612B6">
        <w:rPr>
          <w:rFonts w:ascii="Palatino Linotype" w:eastAsia="Palatino Linotype" w:hAnsi="Palatino Linotype" w:cs="Palatino Linotype"/>
          <w:color w:val="000000"/>
          <w:sz w:val="24"/>
          <w:szCs w:val="24"/>
        </w:rPr>
        <w:t>Tequixquiac</w:t>
      </w:r>
      <w:proofErr w:type="spellEnd"/>
      <w:r w:rsidR="00D612B6">
        <w:rPr>
          <w:rFonts w:ascii="Palatino Linotype" w:eastAsia="Palatino Linotype" w:hAnsi="Palatino Linotype" w:cs="Palatino Linotype"/>
          <w:b/>
          <w:color w:val="000000"/>
          <w:sz w:val="24"/>
          <w:szCs w:val="24"/>
        </w:rPr>
        <w:t xml:space="preserve">, </w:t>
      </w:r>
      <w:r w:rsidR="00D612B6">
        <w:rPr>
          <w:rFonts w:ascii="Palatino Linotype" w:eastAsia="Palatino Linotype" w:hAnsi="Palatino Linotype" w:cs="Palatino Linotype"/>
          <w:color w:val="000000"/>
          <w:sz w:val="24"/>
          <w:szCs w:val="24"/>
        </w:rPr>
        <w:t>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en versión pública de las siete regidurías lo siguiente:</w:t>
      </w:r>
    </w:p>
    <w:p w:rsidR="008133DF" w:rsidRDefault="00D612B6">
      <w:pPr>
        <w:numPr>
          <w:ilvl w:val="0"/>
          <w:numId w:val="5"/>
        </w:numPr>
        <w:pBdr>
          <w:top w:val="nil"/>
          <w:left w:val="nil"/>
          <w:bottom w:val="nil"/>
          <w:right w:val="nil"/>
          <w:between w:val="nil"/>
        </w:pBdr>
        <w:spacing w:after="0" w:line="360" w:lineRule="auto"/>
        <w:jc w:val="both"/>
        <w:rPr>
          <w:color w:val="000000"/>
          <w:sz w:val="24"/>
          <w:szCs w:val="24"/>
        </w:rPr>
      </w:pPr>
      <w:r>
        <w:rPr>
          <w:rFonts w:ascii="Palatino Linotype" w:eastAsia="Palatino Linotype" w:hAnsi="Palatino Linotype" w:cs="Palatino Linotype"/>
          <w:color w:val="000000"/>
          <w:sz w:val="24"/>
          <w:szCs w:val="24"/>
        </w:rPr>
        <w:t>Los oficios recibidos, del primero de febrero al treinta y uno de diciembre de dos mil veintidós, y</w:t>
      </w:r>
    </w:p>
    <w:p w:rsidR="008133DF" w:rsidRDefault="00D612B6">
      <w:pPr>
        <w:numPr>
          <w:ilvl w:val="0"/>
          <w:numId w:val="5"/>
        </w:numPr>
        <w:pBdr>
          <w:top w:val="nil"/>
          <w:left w:val="nil"/>
          <w:bottom w:val="nil"/>
          <w:right w:val="nil"/>
          <w:between w:val="nil"/>
        </w:pBdr>
        <w:spacing w:after="0" w:line="360" w:lineRule="auto"/>
        <w:jc w:val="both"/>
        <w:rPr>
          <w:color w:val="000000"/>
          <w:sz w:val="24"/>
          <w:szCs w:val="24"/>
        </w:rPr>
      </w:pPr>
      <w:r>
        <w:rPr>
          <w:rFonts w:ascii="Palatino Linotype" w:eastAsia="Palatino Linotype" w:hAnsi="Palatino Linotype" w:cs="Palatino Linotype"/>
          <w:color w:val="000000"/>
          <w:sz w:val="24"/>
          <w:szCs w:val="24"/>
        </w:rPr>
        <w:t>Los oficios enviados, del primero de enero al treinta y uno de diciembre de dos mil veintidós.</w:t>
      </w:r>
    </w:p>
    <w:p w:rsidR="008133DF" w:rsidRDefault="008133DF">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rsidR="008133DF" w:rsidRDefault="00D612B6">
      <w:pPr>
        <w:numPr>
          <w:ilvl w:val="0"/>
          <w:numId w:val="1"/>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Razones del Voto Disidente. </w:t>
      </w:r>
    </w:p>
    <w:p w:rsidR="008133DF" w:rsidRDefault="00D612B6">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Para iniciar la emisión del presente voto, conviene mencionar, que, de manera respetuosa, la suscrita </w:t>
      </w:r>
      <w:r>
        <w:rPr>
          <w:rFonts w:ascii="Palatino Linotype" w:eastAsia="Palatino Linotype" w:hAnsi="Palatino Linotype" w:cs="Palatino Linotype"/>
          <w:b/>
          <w:sz w:val="24"/>
          <w:szCs w:val="24"/>
        </w:rPr>
        <w:t>no comparte en su totalidad las consideraciones que fueron vertidas en la presente resolución, particularmente respecto al cambio de modalidad a consulta directa,</w:t>
      </w:r>
      <w:r>
        <w:rPr>
          <w:rFonts w:ascii="Palatino Linotype" w:eastAsia="Palatino Linotype" w:hAnsi="Palatino Linotype" w:cs="Palatino Linotype"/>
          <w:sz w:val="24"/>
          <w:szCs w:val="24"/>
        </w:rPr>
        <w:t xml:space="preserve"> en virtud de que, para la emisora del voto en el presente caso, </w:t>
      </w:r>
      <w:r>
        <w:rPr>
          <w:rFonts w:ascii="Palatino Linotype" w:eastAsia="Palatino Linotype" w:hAnsi="Palatino Linotype" w:cs="Palatino Linotype"/>
          <w:b/>
          <w:sz w:val="24"/>
          <w:szCs w:val="24"/>
        </w:rPr>
        <w:t>contrario a lo argumentado por la ponencia que resolvió, el Sujeto Obligado no acreditó la imposibilidad técnica para efectuar el cambio de modalidad.</w:t>
      </w:r>
    </w:p>
    <w:p w:rsidR="008133DF" w:rsidRDefault="00D612B6">
      <w:pPr>
        <w:spacing w:line="360" w:lineRule="auto"/>
        <w:ind w:right="-2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al cambio de modalidad  conviene mencionar que </w:t>
      </w: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artículo 155, fracción V, de la Ley de Transparencia y Acceso a la Información Pública del Estado de México </w:t>
      </w:r>
      <w:r>
        <w:rPr>
          <w:rFonts w:ascii="Palatino Linotype" w:eastAsia="Palatino Linotype" w:hAnsi="Palatino Linotype" w:cs="Palatino Linotype"/>
          <w:sz w:val="24"/>
          <w:szCs w:val="24"/>
        </w:rPr>
        <w:lastRenderedPageBreak/>
        <w:t xml:space="preserve">y Municipios, precisa que para presentar una solicitud, el particular podrá señalar </w:t>
      </w:r>
      <w:r>
        <w:rPr>
          <w:rFonts w:ascii="Palatino Linotype" w:eastAsia="Palatino Linotype" w:hAnsi="Palatino Linotype" w:cs="Palatino Linotype"/>
          <w:b/>
          <w:sz w:val="24"/>
          <w:szCs w:val="24"/>
        </w:rPr>
        <w:t>la modalidad en la que prefiere se otorgue el acceso a la información</w:t>
      </w:r>
      <w:r>
        <w:rPr>
          <w:rFonts w:ascii="Palatino Linotype" w:eastAsia="Palatino Linotype" w:hAnsi="Palatino Linotype" w:cs="Palatino Linotype"/>
          <w:sz w:val="24"/>
          <w:szCs w:val="24"/>
        </w:rPr>
        <w:t>, la cual podrá ser verbal, siempre y cuando sea para fines de orientación, mediante consulta directa, mediante la expedición de copias simples o certificadas o la reproducción en cualquier otro medio, incluidos los electrónicos.</w:t>
      </w:r>
    </w:p>
    <w:p w:rsidR="008133DF" w:rsidRDefault="00D612B6">
      <w:pPr>
        <w:spacing w:line="360" w:lineRule="auto"/>
        <w:ind w:right="-28"/>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158, dispone que, de manera excepcional, cuando de manera fundada y motivada lo determine el Sujeto Obligado, </w:t>
      </w:r>
      <w:r>
        <w:rPr>
          <w:rFonts w:ascii="Palatino Linotype" w:eastAsia="Palatino Linotype" w:hAnsi="Palatino Linotype" w:cs="Palatino Linotype"/>
          <w:b/>
          <w:sz w:val="24"/>
          <w:szCs w:val="24"/>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8133DF" w:rsidRDefault="00D612B6">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orden de ideas, el artículo 164 de dicho ordenamiento jurídico, prevé que el acceso se dará en la modalidad de entrega y, en su caso, de envío elegidos por el solicitante. </w:t>
      </w:r>
      <w:r>
        <w:rPr>
          <w:rFonts w:ascii="Palatino Linotype" w:eastAsia="Palatino Linotype" w:hAnsi="Palatino Linotype" w:cs="Palatino Linotype"/>
          <w:b/>
          <w:sz w:val="24"/>
          <w:szCs w:val="24"/>
        </w:rPr>
        <w:t>Cuando la información no pueda entregarse o enviarse en la modalidad elegida, el sujeto obligado deberá ofrecer otra u otras modalidades de entrega.</w:t>
      </w:r>
      <w:r>
        <w:rPr>
          <w:rFonts w:ascii="Palatino Linotype" w:eastAsia="Palatino Linotype" w:hAnsi="Palatino Linotype" w:cs="Palatino Linotype"/>
          <w:sz w:val="24"/>
          <w:szCs w:val="24"/>
        </w:rPr>
        <w:t xml:space="preserve"> En cualquier caso, </w:t>
      </w:r>
      <w:r>
        <w:rPr>
          <w:rFonts w:ascii="Palatino Linotype" w:eastAsia="Palatino Linotype" w:hAnsi="Palatino Linotype" w:cs="Palatino Linotype"/>
          <w:b/>
          <w:sz w:val="24"/>
          <w:szCs w:val="24"/>
        </w:rPr>
        <w:t>se deberá fundar y motivar</w:t>
      </w:r>
      <w:r>
        <w:rPr>
          <w:rFonts w:ascii="Palatino Linotype" w:eastAsia="Palatino Linotype" w:hAnsi="Palatino Linotype" w:cs="Palatino Linotype"/>
          <w:sz w:val="24"/>
          <w:szCs w:val="24"/>
        </w:rPr>
        <w:t xml:space="preserve"> la necesidad de ofrecer otras modalidades.</w:t>
      </w:r>
    </w:p>
    <w:p w:rsidR="008133DF" w:rsidRDefault="00D612B6">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Pr>
          <w:rFonts w:ascii="Palatino Linotype" w:eastAsia="Palatino Linotype" w:hAnsi="Palatino Linotype" w:cs="Palatino Linotype"/>
          <w:sz w:val="24"/>
          <w:szCs w:val="24"/>
        </w:rPr>
        <w:t xml:space="preserve">, en cuyo caso, deberán exponerse las razones por las </w:t>
      </w:r>
      <w:r>
        <w:rPr>
          <w:rFonts w:ascii="Palatino Linotype" w:eastAsia="Palatino Linotype" w:hAnsi="Palatino Linotype" w:cs="Palatino Linotype"/>
          <w:sz w:val="24"/>
          <w:szCs w:val="24"/>
        </w:rPr>
        <w:lastRenderedPageBreak/>
        <w:t xml:space="preserve">cuales no es posible utilizar el medio de reproducción solicitado; en este sentido, la entrega de la información en una modalidad distinta a la elegida por la particular </w:t>
      </w:r>
      <w:r>
        <w:rPr>
          <w:rFonts w:ascii="Palatino Linotype" w:eastAsia="Palatino Linotype" w:hAnsi="Palatino Linotype" w:cs="Palatino Linotype"/>
          <w:b/>
          <w:sz w:val="24"/>
          <w:szCs w:val="24"/>
        </w:rPr>
        <w:t>sólo procede, en caso de que se acredite la imposibilidad de atenderla.</w:t>
      </w:r>
      <w:r>
        <w:rPr>
          <w:rFonts w:ascii="Palatino Linotype" w:eastAsia="Palatino Linotype" w:hAnsi="Palatino Linotype" w:cs="Palatino Linotype"/>
          <w:sz w:val="24"/>
          <w:szCs w:val="24"/>
        </w:rPr>
        <w:t xml:space="preserve"> </w:t>
      </w:r>
    </w:p>
    <w:p w:rsidR="008133DF" w:rsidRDefault="00D612B6">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cuando se justifique el impedimento, </w:t>
      </w:r>
      <w:r>
        <w:rPr>
          <w:rFonts w:ascii="Palatino Linotype" w:eastAsia="Palatino Linotype" w:hAnsi="Palatino Linotype" w:cs="Palatino Linotype"/>
          <w:b/>
          <w:sz w:val="24"/>
          <w:szCs w:val="24"/>
        </w:rPr>
        <w:t>los Sujetos Obligados deberán ofrecer al particular otras modalidades de entrega que permita la información</w:t>
      </w:r>
      <w:r>
        <w:rPr>
          <w:rFonts w:ascii="Palatino Linotype" w:eastAsia="Palatino Linotype" w:hAnsi="Palatino Linotype" w:cs="Palatino Linotype"/>
          <w:sz w:val="24"/>
          <w:szCs w:val="24"/>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8133DF" w:rsidRDefault="00D612B6">
      <w:pPr>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 Procedencia de proporcionar la información solicitada en una diversa a la elegida por el solicitante.</w:t>
      </w:r>
      <w:r>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8133DF" w:rsidRDefault="008133DF">
      <w:pPr>
        <w:spacing w:after="0" w:line="360" w:lineRule="auto"/>
        <w:jc w:val="both"/>
        <w:rPr>
          <w:rFonts w:ascii="Palatino Linotype" w:eastAsia="Palatino Linotype" w:hAnsi="Palatino Linotype" w:cs="Palatino Linotype"/>
          <w:i/>
          <w:sz w:val="24"/>
          <w:szCs w:val="24"/>
        </w:rPr>
      </w:pPr>
    </w:p>
    <w:p w:rsidR="008133DF" w:rsidRDefault="00D612B6">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Del citado criterio, se desprende que cuando no sea posible atender la modalidad elegida por los solicitantes, la obligación de acceso a la información se tendrá por cumplida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justifique el impedimento para atender la misma y se notifique al particular la puesta a disposición de la </w:t>
      </w:r>
      <w:r>
        <w:rPr>
          <w:rFonts w:ascii="Palatino Linotype" w:eastAsia="Palatino Linotype" w:hAnsi="Palatino Linotype" w:cs="Palatino Linotype"/>
          <w:b/>
          <w:sz w:val="24"/>
          <w:szCs w:val="24"/>
        </w:rPr>
        <w:t>información en todas las modalidades que lo permitan, procurando reducir los costos de entrega.</w:t>
      </w:r>
    </w:p>
    <w:p w:rsidR="008133DF" w:rsidRDefault="008133DF">
      <w:pPr>
        <w:spacing w:after="0" w:line="360" w:lineRule="auto"/>
        <w:jc w:val="both"/>
        <w:rPr>
          <w:rFonts w:ascii="Palatino Linotype" w:eastAsia="Palatino Linotype" w:hAnsi="Palatino Linotype" w:cs="Palatino Linotype"/>
          <w:b/>
          <w:sz w:val="24"/>
          <w:szCs w:val="24"/>
        </w:rPr>
      </w:pPr>
    </w:p>
    <w:p w:rsidR="008133DF" w:rsidRDefault="00D612B6">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8133DF" w:rsidRDefault="00D612B6">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razones por las cuales la información implicaba un análisis, estudio o procesamiento de datos;</w:t>
      </w:r>
    </w:p>
    <w:p w:rsidR="008133DF" w:rsidRDefault="00D612B6">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suficiente, y</w:t>
      </w:r>
    </w:p>
    <w:p w:rsidR="008133DF" w:rsidRDefault="00D612B6">
      <w:pPr>
        <w:numPr>
          <w:ilvl w:val="0"/>
          <w:numId w:val="2"/>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cantidad de recursos humanos y materiales con los que cuenta el Sujeto Obligado son insuficientes.</w:t>
      </w:r>
    </w:p>
    <w:p w:rsidR="008133DF" w:rsidRDefault="008133DF">
      <w:pPr>
        <w:spacing w:after="0" w:line="360" w:lineRule="auto"/>
        <w:ind w:right="-28"/>
        <w:jc w:val="both"/>
        <w:rPr>
          <w:color w:val="000000"/>
          <w:sz w:val="24"/>
          <w:szCs w:val="24"/>
          <w:highlight w:val="yellow"/>
        </w:rPr>
      </w:pPr>
    </w:p>
    <w:p w:rsidR="008133DF" w:rsidRDefault="00D612B6">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Conforme a lo anterior, podemos advertir que de las respuestas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 ningún momento se acreditó por parte del Ayuntamiento de </w:t>
      </w:r>
      <w:proofErr w:type="spellStart"/>
      <w:r>
        <w:rPr>
          <w:rFonts w:ascii="Palatino Linotype" w:eastAsia="Palatino Linotype" w:hAnsi="Palatino Linotype" w:cs="Palatino Linotype"/>
          <w:color w:val="000000"/>
          <w:sz w:val="24"/>
          <w:szCs w:val="24"/>
        </w:rPr>
        <w:t>Tequixquiac</w:t>
      </w:r>
      <w:proofErr w:type="spellEnd"/>
      <w:r>
        <w:rPr>
          <w:rFonts w:ascii="Palatino Linotype" w:eastAsia="Palatino Linotype" w:hAnsi="Palatino Linotype" w:cs="Palatino Linotype"/>
          <w:color w:val="000000"/>
          <w:sz w:val="24"/>
          <w:szCs w:val="24"/>
        </w:rPr>
        <w:t xml:space="preserve">, el cambio de modalidad a consulta directa; en razón de que no acreditó </w:t>
      </w:r>
      <w:r>
        <w:rPr>
          <w:rFonts w:ascii="Palatino Linotype" w:eastAsia="Palatino Linotype" w:hAnsi="Palatino Linotype" w:cs="Palatino Linotype"/>
          <w:b/>
          <w:color w:val="000000"/>
          <w:sz w:val="24"/>
          <w:szCs w:val="24"/>
        </w:rPr>
        <w:t>por cada una de las solicitudes de acceso a la información</w:t>
      </w:r>
      <w:r>
        <w:rPr>
          <w:rFonts w:ascii="Palatino Linotype" w:eastAsia="Palatino Linotype" w:hAnsi="Palatino Linotype" w:cs="Palatino Linotype"/>
          <w:color w:val="000000"/>
          <w:sz w:val="24"/>
          <w:szCs w:val="24"/>
        </w:rPr>
        <w:t>, lo siguiente:</w:t>
      </w:r>
    </w:p>
    <w:p w:rsidR="008133DF" w:rsidRDefault="00D612B6">
      <w:pPr>
        <w:numPr>
          <w:ilvl w:val="0"/>
          <w:numId w:val="3"/>
        </w:num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razones y fundamentos suficientes para no entregar la información a través del SAIMEX.</w:t>
      </w:r>
    </w:p>
    <w:p w:rsidR="008133DF" w:rsidRDefault="00D612B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bookmarkStart w:id="3" w:name="_heading=h.3znysh7" w:colFirst="0" w:colLast="0"/>
      <w:bookmarkEnd w:id="3"/>
      <w:r>
        <w:rPr>
          <w:rFonts w:ascii="Palatino Linotype" w:eastAsia="Palatino Linotype" w:hAnsi="Palatino Linotype" w:cs="Palatino Linotype"/>
          <w:sz w:val="24"/>
          <w:szCs w:val="24"/>
        </w:rPr>
        <w:t>El número de hojas del cual se pudiera conocer de manera clara cuántos documentos había generado o bien, cuando menos un aproximado</w:t>
      </w:r>
      <w:r>
        <w:rPr>
          <w:rFonts w:ascii="Palatino Linotype" w:eastAsia="Palatino Linotype" w:hAnsi="Palatino Linotype" w:cs="Palatino Linotype"/>
          <w:color w:val="000000"/>
          <w:sz w:val="24"/>
          <w:szCs w:val="24"/>
        </w:rPr>
        <w:t>.</w:t>
      </w:r>
    </w:p>
    <w:p w:rsidR="008133DF" w:rsidRDefault="00D612B6">
      <w:pPr>
        <w:numPr>
          <w:ilvl w:val="0"/>
          <w:numId w:val="3"/>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Que lo peticionado implicaba un análisis, procesamiento o estudio de documentos cuya reproducción sobrepasará las capacidades técnicas, administrativas y humanas del Sujeto Obligado, pues no precisó el número de personas que se encontraban en las áreas competentes, ni el formato, ni número de hojas aproximadas de lo solicitado, o bien, si lo peticionado, se encontraba en uno o varios expedientes.</w:t>
      </w:r>
      <w:r w:rsidR="00A20C26">
        <w:rPr>
          <w:rFonts w:ascii="Palatino Linotype" w:eastAsia="Palatino Linotype" w:hAnsi="Palatino Linotype" w:cs="Palatino Linotype"/>
          <w:sz w:val="24"/>
          <w:szCs w:val="24"/>
        </w:rPr>
        <w:t xml:space="preserve"> </w:t>
      </w:r>
    </w:p>
    <w:p w:rsidR="00211FF5" w:rsidRDefault="00D612B6">
      <w:pPr>
        <w:spacing w:before="240"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 anterior se estima así, ya que </w:t>
      </w:r>
      <w:r w:rsidR="00723C09">
        <w:rPr>
          <w:rFonts w:ascii="Palatino Linotype" w:eastAsia="Palatino Linotype" w:hAnsi="Palatino Linotype" w:cs="Palatino Linotype"/>
          <w:b/>
          <w:sz w:val="24"/>
          <w:szCs w:val="24"/>
        </w:rPr>
        <w:t>el</w:t>
      </w:r>
      <w:r w:rsidR="00723C09">
        <w:rPr>
          <w:rFonts w:ascii="Palatino Linotype" w:eastAsia="Palatino Linotype" w:hAnsi="Palatino Linotype" w:cs="Palatino Linotype"/>
          <w:sz w:val="24"/>
          <w:szCs w:val="24"/>
        </w:rPr>
        <w:t xml:space="preserve"> </w:t>
      </w:r>
      <w:r w:rsidR="00723C09">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se limitó a referir </w:t>
      </w:r>
      <w:r w:rsidR="00343A0C" w:rsidRPr="00343A0C">
        <w:rPr>
          <w:rFonts w:ascii="Palatino Linotype" w:eastAsia="Palatino Linotype" w:hAnsi="Palatino Linotype" w:cs="Palatino Linotype"/>
          <w:sz w:val="24"/>
          <w:szCs w:val="24"/>
        </w:rPr>
        <w:t>en respuesta a cada una de las solicitudes</w:t>
      </w:r>
      <w:r w:rsidR="00211FF5">
        <w:rPr>
          <w:rFonts w:ascii="Palatino Linotype" w:eastAsia="Palatino Linotype" w:hAnsi="Palatino Linotype" w:cs="Palatino Linotype"/>
          <w:sz w:val="24"/>
          <w:szCs w:val="24"/>
        </w:rPr>
        <w:t>,</w:t>
      </w:r>
      <w:r w:rsidR="00343A0C" w:rsidRPr="00343A0C">
        <w:rPr>
          <w:rFonts w:ascii="Palatino Linotype" w:eastAsia="Palatino Linotype" w:hAnsi="Palatino Linotype" w:cs="Palatino Linotype"/>
          <w:sz w:val="24"/>
          <w:szCs w:val="24"/>
        </w:rPr>
        <w:t xml:space="preserve"> que recibió y emitió en cada mes una cantidad </w:t>
      </w:r>
      <w:r w:rsidR="00343A0C">
        <w:rPr>
          <w:rFonts w:ascii="Palatino Linotype" w:eastAsia="Palatino Linotype" w:hAnsi="Palatino Linotype" w:cs="Palatino Linotype"/>
          <w:sz w:val="24"/>
          <w:szCs w:val="24"/>
        </w:rPr>
        <w:t xml:space="preserve"> de oficios que supera </w:t>
      </w:r>
      <w:r w:rsidR="00211FF5">
        <w:rPr>
          <w:rFonts w:ascii="Palatino Linotype" w:eastAsia="Palatino Linotype" w:hAnsi="Palatino Linotype" w:cs="Palatino Linotype"/>
          <w:sz w:val="24"/>
          <w:szCs w:val="24"/>
        </w:rPr>
        <w:t xml:space="preserve">alrededor de </w:t>
      </w:r>
      <w:r w:rsidR="00343A0C">
        <w:rPr>
          <w:rFonts w:ascii="Palatino Linotype" w:eastAsia="Palatino Linotype" w:hAnsi="Palatino Linotype" w:cs="Palatino Linotype"/>
          <w:sz w:val="24"/>
          <w:szCs w:val="24"/>
        </w:rPr>
        <w:t>los 20 GB</w:t>
      </w:r>
      <w:r w:rsidR="00343A0C" w:rsidRPr="00343A0C">
        <w:rPr>
          <w:rFonts w:ascii="Palatino Linotype" w:eastAsia="Palatino Linotype" w:hAnsi="Palatino Linotype" w:cs="Palatino Linotype"/>
          <w:sz w:val="24"/>
          <w:szCs w:val="24"/>
        </w:rPr>
        <w:t xml:space="preserve"> lo</w:t>
      </w:r>
      <w:r>
        <w:rPr>
          <w:rFonts w:ascii="Palatino Linotype" w:eastAsia="Palatino Linotype" w:hAnsi="Palatino Linotype" w:cs="Palatino Linotype"/>
          <w:sz w:val="24"/>
          <w:szCs w:val="24"/>
        </w:rPr>
        <w:t xml:space="preserve"> cual</w:t>
      </w:r>
      <w:r w:rsidR="00211FF5">
        <w:rPr>
          <w:rFonts w:ascii="Palatino Linotype" w:eastAsia="Palatino Linotype" w:hAnsi="Palatino Linotype" w:cs="Palatino Linotype"/>
          <w:sz w:val="24"/>
          <w:szCs w:val="24"/>
        </w:rPr>
        <w:t xml:space="preserve"> equivale en términos de lo informado por la Dirección de Informática de este Organismo Garante, a través del correo oficial, a un aprox</w:t>
      </w:r>
      <w:r w:rsidR="00283355">
        <w:rPr>
          <w:rFonts w:ascii="Palatino Linotype" w:eastAsia="Palatino Linotype" w:hAnsi="Palatino Linotype" w:cs="Palatino Linotype"/>
          <w:sz w:val="24"/>
          <w:szCs w:val="24"/>
        </w:rPr>
        <w:t>imado de 327, 680 fojas</w:t>
      </w:r>
      <w:r w:rsidR="00211FF5">
        <w:rPr>
          <w:rFonts w:ascii="Palatino Linotype" w:eastAsia="Palatino Linotype" w:hAnsi="Palatino Linotype" w:cs="Palatino Linotype"/>
          <w:sz w:val="24"/>
          <w:szCs w:val="24"/>
        </w:rPr>
        <w:t>, como se observa en la siguiente imagen:</w:t>
      </w:r>
    </w:p>
    <w:p w:rsidR="00211FF5" w:rsidRDefault="00211FF5">
      <w:pPr>
        <w:spacing w:before="240" w:after="0" w:line="360" w:lineRule="auto"/>
        <w:jc w:val="both"/>
        <w:rPr>
          <w:rFonts w:ascii="Palatino Linotype" w:eastAsia="Palatino Linotype" w:hAnsi="Palatino Linotype" w:cs="Palatino Linotype"/>
          <w:sz w:val="24"/>
          <w:szCs w:val="24"/>
        </w:rPr>
      </w:pPr>
      <w:bookmarkStart w:id="4" w:name="_GoBack"/>
      <w:r w:rsidRPr="00211FF5">
        <w:rPr>
          <w:rFonts w:ascii="Palatino Linotype" w:eastAsia="Palatino Linotype" w:hAnsi="Palatino Linotype" w:cs="Palatino Linotype"/>
          <w:noProof/>
          <w:sz w:val="24"/>
          <w:szCs w:val="24"/>
        </w:rPr>
        <w:drawing>
          <wp:inline distT="0" distB="0" distL="0" distR="0" wp14:anchorId="1C62ABD8" wp14:editId="26BCBB76">
            <wp:extent cx="5669280" cy="488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9280" cy="488315"/>
                    </a:xfrm>
                    <a:prstGeom prst="rect">
                      <a:avLst/>
                    </a:prstGeom>
                  </pic:spPr>
                </pic:pic>
              </a:graphicData>
            </a:graphic>
          </wp:inline>
        </w:drawing>
      </w:r>
      <w:bookmarkEnd w:id="4"/>
    </w:p>
    <w:p w:rsidR="008133DF" w:rsidRDefault="008133DF">
      <w:pPr>
        <w:spacing w:after="0" w:line="360" w:lineRule="auto"/>
        <w:jc w:val="both"/>
        <w:rPr>
          <w:rFonts w:ascii="Palatino Linotype" w:eastAsia="Palatino Linotype" w:hAnsi="Palatino Linotype" w:cs="Palatino Linotype"/>
          <w:sz w:val="24"/>
          <w:szCs w:val="24"/>
        </w:rPr>
      </w:pPr>
    </w:p>
    <w:p w:rsidR="008133DF" w:rsidRDefault="00D612B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si bien  </w:t>
      </w:r>
      <w:r w:rsidR="00343A0C">
        <w:rPr>
          <w:rFonts w:ascii="Palatino Linotype" w:eastAsia="Palatino Linotype" w:hAnsi="Palatino Linotype" w:cs="Palatino Linotype"/>
          <w:b/>
          <w:sz w:val="24"/>
          <w:szCs w:val="24"/>
        </w:rPr>
        <w:t>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mandó su acuerdo través del cual su Comité de Información aprueba el cambio de modalidad, no existe evidencia de que dicha ci</w:t>
      </w:r>
      <w:r w:rsidR="00211FF5">
        <w:rPr>
          <w:rFonts w:ascii="Palatino Linotype" w:eastAsia="Palatino Linotype" w:hAnsi="Palatino Linotype" w:cs="Palatino Linotype"/>
          <w:sz w:val="24"/>
          <w:szCs w:val="24"/>
        </w:rPr>
        <w:t>rcunstancia se actualice para la</w:t>
      </w:r>
      <w:r>
        <w:rPr>
          <w:rFonts w:ascii="Palatino Linotype" w:eastAsia="Palatino Linotype" w:hAnsi="Palatino Linotype" w:cs="Palatino Linotype"/>
          <w:sz w:val="24"/>
          <w:szCs w:val="24"/>
        </w:rPr>
        <w:t xml:space="preserve"> emisión y recepción de oficios de las </w:t>
      </w:r>
      <w:r w:rsidR="00F01F70">
        <w:rPr>
          <w:rFonts w:ascii="Palatino Linotype" w:eastAsia="Palatino Linotype" w:hAnsi="Palatino Linotype" w:cs="Palatino Linotype"/>
          <w:sz w:val="24"/>
          <w:szCs w:val="24"/>
        </w:rPr>
        <w:t>regidurías</w:t>
      </w:r>
      <w:r>
        <w:rPr>
          <w:rFonts w:ascii="Palatino Linotype" w:eastAsia="Palatino Linotype" w:hAnsi="Palatino Linotype" w:cs="Palatino Linotype"/>
          <w:sz w:val="24"/>
          <w:szCs w:val="24"/>
        </w:rPr>
        <w:t xml:space="preserve">, </w:t>
      </w:r>
      <w:r w:rsidR="00F01F70">
        <w:rPr>
          <w:rFonts w:ascii="Palatino Linotype" w:eastAsia="Palatino Linotype" w:hAnsi="Palatino Linotype" w:cs="Palatino Linotype"/>
          <w:sz w:val="24"/>
          <w:szCs w:val="24"/>
        </w:rPr>
        <w:t>correspondiente</w:t>
      </w:r>
      <w:r>
        <w:rPr>
          <w:rFonts w:ascii="Palatino Linotype" w:eastAsia="Palatino Linotype" w:hAnsi="Palatino Linotype" w:cs="Palatino Linotype"/>
          <w:sz w:val="24"/>
          <w:szCs w:val="24"/>
        </w:rPr>
        <w:t xml:space="preserve"> a  la temporalidad indicada por el particular. </w:t>
      </w:r>
    </w:p>
    <w:p w:rsidR="00F01F70" w:rsidRDefault="00F01F70">
      <w:pPr>
        <w:spacing w:after="0" w:line="360" w:lineRule="auto"/>
        <w:jc w:val="both"/>
        <w:rPr>
          <w:rFonts w:ascii="Palatino Linotype" w:eastAsia="Palatino Linotype" w:hAnsi="Palatino Linotype" w:cs="Palatino Linotype"/>
          <w:sz w:val="24"/>
          <w:szCs w:val="24"/>
        </w:rPr>
      </w:pPr>
    </w:p>
    <w:p w:rsidR="008133DF" w:rsidRDefault="00D612B6">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mayor abundamiento,  es necesario mencionar, en primer lugar, que, si bien, por economía procesal y con la finalidad de evitar resoluciones contradictorias, el Pleno de este Instituto determinó acumular los Recursos de Revisión a rubro citado, no debe </w:t>
      </w:r>
      <w:r>
        <w:rPr>
          <w:rFonts w:ascii="Palatino Linotype" w:eastAsia="Palatino Linotype" w:hAnsi="Palatino Linotype" w:cs="Palatino Linotype"/>
          <w:sz w:val="24"/>
          <w:szCs w:val="24"/>
        </w:rPr>
        <w:lastRenderedPageBreak/>
        <w:t>perderse de vista que las solicitudes de información que les dieron origen ingresaron por separado, por lo tanto la respuesta que se brinde a cada una de ellas debe emitirse de manera individual.</w:t>
      </w:r>
    </w:p>
    <w:p w:rsidR="008133DF" w:rsidRDefault="00D612B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Derivado de los argumentos expuestos, la suscrita considera que los documentos que contienen la información que es del interés de la persona solicitante, no cuentan con las características para sobrepasar las capacidades técnicas del sistema SAIMEX, por lo tanto, no comparto que en la resolución de los recursos de revisión al rubro citados, se hubiera validado el cambio de modalidad en la entrega de la información propuesto por </w:t>
      </w:r>
      <w:r>
        <w:rPr>
          <w:rFonts w:ascii="Palatino Linotype" w:eastAsia="Palatino Linotype" w:hAnsi="Palatino Linotype" w:cs="Palatino Linotype"/>
          <w:b/>
          <w:sz w:val="24"/>
          <w:szCs w:val="24"/>
        </w:rPr>
        <w:t>EL SUJETO OBLIGADO.</w:t>
      </w:r>
    </w:p>
    <w:p w:rsidR="008133DF" w:rsidRDefault="00723C09">
      <w:pPr>
        <w:spacing w:before="120" w:after="12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102709</wp:posOffset>
                </wp:positionH>
                <wp:positionV relativeFrom="paragraph">
                  <wp:posOffset>101561</wp:posOffset>
                </wp:positionV>
                <wp:extent cx="5340545" cy="4022238"/>
                <wp:effectExtent l="0" t="0" r="31750" b="35560"/>
                <wp:wrapNone/>
                <wp:docPr id="2" name="Conector recto 2"/>
                <wp:cNvGraphicFramePr/>
                <a:graphic xmlns:a="http://schemas.openxmlformats.org/drawingml/2006/main">
                  <a:graphicData uri="http://schemas.microsoft.com/office/word/2010/wordprocessingShape">
                    <wps:wsp>
                      <wps:cNvCnPr/>
                      <wps:spPr>
                        <a:xfrm>
                          <a:off x="0" y="0"/>
                          <a:ext cx="5340545" cy="4022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9CB6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8pt" to="428.6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" strokecolor="black [3200]" strokeweight=".5pt">
                <v:stroke joinstyle="miter"/>
              </v:line>
            </w:pict>
          </mc:Fallback>
        </mc:AlternateContent>
      </w:r>
    </w:p>
    <w:p w:rsidR="008133DF" w:rsidRDefault="008133DF">
      <w:pPr>
        <w:spacing w:after="0" w:line="360" w:lineRule="auto"/>
        <w:jc w:val="both"/>
        <w:rPr>
          <w:rFonts w:ascii="Palatino Linotype" w:eastAsia="Palatino Linotype" w:hAnsi="Palatino Linotype" w:cs="Palatino Linotype"/>
          <w:b/>
          <w:sz w:val="24"/>
          <w:szCs w:val="24"/>
        </w:rPr>
      </w:pPr>
    </w:p>
    <w:p w:rsidR="008133DF" w:rsidRDefault="008133DF">
      <w:pPr>
        <w:spacing w:before="120" w:after="120" w:line="360" w:lineRule="auto"/>
        <w:jc w:val="both"/>
        <w:rPr>
          <w:rFonts w:ascii="Palatino Linotype" w:eastAsia="Palatino Linotype" w:hAnsi="Palatino Linotype" w:cs="Palatino Linotype"/>
          <w:b/>
          <w:sz w:val="24"/>
          <w:szCs w:val="24"/>
        </w:rPr>
        <w:sectPr w:rsidR="008133DF">
          <w:headerReference w:type="default" r:id="rId9"/>
          <w:pgSz w:w="12240" w:h="15840"/>
          <w:pgMar w:top="1871" w:right="1327" w:bottom="2836" w:left="1985" w:header="709" w:footer="586" w:gutter="0"/>
          <w:pgNumType w:start="1"/>
          <w:cols w:space="720"/>
        </w:sectPr>
      </w:pPr>
    </w:p>
    <w:p w:rsidR="008133DF" w:rsidRDefault="008133DF">
      <w:pPr>
        <w:spacing w:before="120" w:after="120" w:line="360" w:lineRule="auto"/>
        <w:jc w:val="both"/>
        <w:rPr>
          <w:rFonts w:ascii="Palatino Linotype" w:eastAsia="Palatino Linotype" w:hAnsi="Palatino Linotype" w:cs="Palatino Linotype"/>
          <w:b/>
          <w:sz w:val="24"/>
          <w:szCs w:val="24"/>
        </w:rPr>
      </w:pPr>
    </w:p>
    <w:sectPr w:rsidR="008133DF">
      <w:headerReference w:type="default" r:id="rId10"/>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11" w:rsidRDefault="00834611">
      <w:pPr>
        <w:spacing w:after="0" w:line="240" w:lineRule="auto"/>
      </w:pPr>
      <w:r>
        <w:separator/>
      </w:r>
    </w:p>
  </w:endnote>
  <w:endnote w:type="continuationSeparator" w:id="0">
    <w:p w:rsidR="00834611" w:rsidRDefault="0083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11" w:rsidRDefault="00834611">
      <w:pPr>
        <w:spacing w:after="0" w:line="240" w:lineRule="auto"/>
      </w:pPr>
      <w:r>
        <w:separator/>
      </w:r>
    </w:p>
  </w:footnote>
  <w:footnote w:type="continuationSeparator" w:id="0">
    <w:p w:rsidR="00834611" w:rsidRDefault="0083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DF" w:rsidRDefault="00D612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-952495</wp:posOffset>
          </wp:positionH>
          <wp:positionV relativeFrom="paragraph">
            <wp:posOffset>-568956</wp:posOffset>
          </wp:positionV>
          <wp:extent cx="7510628" cy="9883775"/>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simplePos x="0" y="0"/>
              <wp:positionH relativeFrom="column">
                <wp:posOffset>-6464299</wp:posOffset>
              </wp:positionH>
              <wp:positionV relativeFrom="paragraph">
                <wp:posOffset>-5168899</wp:posOffset>
              </wp:positionV>
              <wp:extent cx="17566292" cy="17532772"/>
              <wp:effectExtent l="0" t="0" r="0" b="0"/>
              <wp:wrapNone/>
              <wp:docPr id="31" name="Rectángulo 31"/>
              <wp:cNvGraphicFramePr/>
              <a:graphic xmlns:a="http://schemas.openxmlformats.org/drawingml/2006/main">
                <a:graphicData uri="http://schemas.microsoft.com/office/word/2010/wordprocessingShape">
                  <wps:wsp>
                    <wps:cNvSpPr/>
                    <wps:spPr>
                      <a:xfrm rot="-2966911">
                        <a:off x="429109" y="-20520"/>
                        <a:ext cx="9833784" cy="7601041"/>
                      </a:xfrm>
                      <a:prstGeom prst="rect">
                        <a:avLst/>
                      </a:prstGeom>
                      <a:noFill/>
                      <a:ln>
                        <a:noFill/>
                      </a:ln>
                    </wps:spPr>
                    <wps:txbx>
                      <w:txbxContent>
                        <w:p w:rsidR="008133DF" w:rsidRDefault="00D612B6">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wps:txbx>
                    <wps:bodyPr spcFirstLastPara="1" wrap="square" lIns="91425" tIns="45700" rIns="91425" bIns="45700" anchor="ctr" anchorCtr="0">
                      <a:noAutofit/>
                    </wps:bodyPr>
                  </wps:wsp>
                </a:graphicData>
              </a:graphic>
            </wp:anchor>
          </w:drawing>
        </mc:Choice>
        <mc:Fallback>
          <w:pict>
            <v:rect id="Rectángulo 31" o:spid="_x0000_s1026" style="position:absolute;left:0;text-align:left;margin-left:-509pt;margin-top:-407pt;width:1383.15pt;height:1380.55pt;rotation:-3240658fd;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" filled="f" stroked="f">
              <v:textbox inset="2.53958mm,1.2694mm,2.53958mm,1.2694mm">
                <w:txbxContent>
                  <w:p w:rsidR="008133DF" w:rsidRDefault="00D612B6">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v:textbox>
            </v:rect>
          </w:pict>
        </mc:Fallback>
      </mc:AlternateContent>
    </w:r>
  </w:p>
  <w:p w:rsidR="008133DF" w:rsidRDefault="00D612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00851/INFOEM/IP/RR/2023 Y ACUMULADOS. </w:t>
    </w:r>
  </w:p>
  <w:p w:rsidR="008133DF" w:rsidRDefault="008133D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8133DF" w:rsidRDefault="008133DF">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8133DF" w:rsidRDefault="008133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DF" w:rsidRDefault="008133DF">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8133DF" w:rsidRDefault="008133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826"/>
    <w:multiLevelType w:val="multilevel"/>
    <w:tmpl w:val="846A3C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A75B4"/>
    <w:multiLevelType w:val="multilevel"/>
    <w:tmpl w:val="941E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46356A"/>
    <w:multiLevelType w:val="multilevel"/>
    <w:tmpl w:val="A2A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86A9A"/>
    <w:multiLevelType w:val="multilevel"/>
    <w:tmpl w:val="B5A0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0675F7"/>
    <w:multiLevelType w:val="multilevel"/>
    <w:tmpl w:val="9ED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40453F"/>
    <w:multiLevelType w:val="multilevel"/>
    <w:tmpl w:val="6D5CF1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DF"/>
    <w:rsid w:val="00211FF5"/>
    <w:rsid w:val="00283355"/>
    <w:rsid w:val="00343A0C"/>
    <w:rsid w:val="004A5375"/>
    <w:rsid w:val="00723C09"/>
    <w:rsid w:val="008133DF"/>
    <w:rsid w:val="00834611"/>
    <w:rsid w:val="00A20C26"/>
    <w:rsid w:val="00D612B6"/>
    <w:rsid w:val="00DB3B32"/>
    <w:rsid w:val="00E50CB9"/>
    <w:rsid w:val="00F01F70"/>
    <w:rsid w:val="00F4606E"/>
    <w:rsid w:val="00F75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A66C1-8023-42CC-872A-46DDCD1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6E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38PFuQLTh2Lm/R9gaWySiP5A==">CgMxLjAyCGguZ2pkZ3hzMgloLjN6bnlzaDc4AHIhMUdaRkg0S3BSUmUzNHZDOExtVUZPZ3ZVektwZEhoNDdT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3380</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2024-01-29T22:15:00Z</cp:lastPrinted>
  <dcterms:created xsi:type="dcterms:W3CDTF">2024-01-29T22:09:00Z</dcterms:created>
  <dcterms:modified xsi:type="dcterms:W3CDTF">2024-01-29T22:17:00Z</dcterms:modified>
</cp:coreProperties>
</file>