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bookmarkStart w:id="0" w:name="_heading=h.tyjcwt" w:colFirst="0" w:colLast="0"/>
      <w:bookmarkEnd w:id="0"/>
      <w:r w:rsidRPr="00AB69C2">
        <w:rPr>
          <w:rFonts w:ascii="Palatino Linotype" w:eastAsia="Palatino Linotype" w:hAnsi="Palatino Linotype" w:cs="Palatino Linotype"/>
          <w:b/>
        </w:rPr>
        <w:t xml:space="preserve">VOTO 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>DISIDENTE</w:t>
      </w:r>
      <w:r w:rsidRPr="00AB69C2">
        <w:rPr>
          <w:rFonts w:ascii="Palatino Linotype" w:eastAsia="Palatino Linotype" w:hAnsi="Palatino Linotype" w:cs="Palatino Linotype"/>
          <w:b/>
        </w:rPr>
        <w:t xml:space="preserve"> QUE FORMULA LA COMISIONADA GUADALUPE RAMÍREZ PEÑA, EN RELACIÓN CON LA RESOLUCIÓN DICTADA POR EL PLENO DEL INSTITUTO DE TRANSPARENCIA, ACCESO A LA INFORMACIÓN PÚBLICA Y PROTECCIÓN DE DATOS PERSONALES DEL ESTADO DE MÉXICO Y MUNICIPIOS, EN LA OCTAVA SESIÓN O</w:t>
      </w:r>
      <w:r w:rsidRPr="00AB69C2">
        <w:rPr>
          <w:rFonts w:ascii="Palatino Linotype" w:eastAsia="Palatino Linotype" w:hAnsi="Palatino Linotype" w:cs="Palatino Linotype"/>
          <w:b/>
        </w:rPr>
        <w:t>RDINARIA DEL SEIS DE MARZO DE DOS MIL VEINTICINCO, EN EL RECURSO DE REVISIÓN 00610/INFOEM/IP/RR/2025.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5207E5" w:rsidRPr="00AB69C2" w:rsidRDefault="00AB69C2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Con fundamento en lo dispuesto por el artículo 14, fracciones X y XI, del Reglamento del Instituto de Transparencia, Acceso a la Información Pública y Pr</w:t>
      </w:r>
      <w:r w:rsidRPr="00AB69C2">
        <w:rPr>
          <w:rFonts w:ascii="Palatino Linotype" w:eastAsia="Palatino Linotype" w:hAnsi="Palatino Linotype" w:cs="Palatino Linotype"/>
        </w:rPr>
        <w:t xml:space="preserve">otección de Datos Personales del Estado de México, la que suscribe emite </w:t>
      </w:r>
      <w:r w:rsidRPr="00AB69C2">
        <w:rPr>
          <w:rFonts w:ascii="Palatino Linotype" w:eastAsia="Palatino Linotype" w:hAnsi="Palatino Linotype" w:cs="Palatino Linotype"/>
          <w:b/>
        </w:rPr>
        <w:t>VOTO DISIDENTE</w:t>
      </w:r>
      <w:r w:rsidRPr="00AB69C2">
        <w:rPr>
          <w:rFonts w:ascii="Palatino Linotype" w:eastAsia="Palatino Linotype" w:hAnsi="Palatino Linotype" w:cs="Palatino Linotype"/>
          <w:b/>
        </w:rPr>
        <w:t xml:space="preserve"> </w:t>
      </w:r>
      <w:r w:rsidRPr="00AB69C2">
        <w:rPr>
          <w:rFonts w:ascii="Palatino Linotype" w:eastAsia="Palatino Linotype" w:hAnsi="Palatino Linotype" w:cs="Palatino Linotype"/>
        </w:rPr>
        <w:t xml:space="preserve">respecto a la resolución dictada en el recurso de revisión número </w:t>
      </w:r>
      <w:r w:rsidRPr="00AB69C2">
        <w:rPr>
          <w:rFonts w:ascii="Palatino Linotype" w:eastAsia="Palatino Linotype" w:hAnsi="Palatino Linotype" w:cs="Palatino Linotype"/>
          <w:b/>
        </w:rPr>
        <w:t xml:space="preserve">00610/INFOEM/IP/RR/2025, </w:t>
      </w:r>
      <w:r w:rsidRPr="00AB69C2">
        <w:rPr>
          <w:rFonts w:ascii="Palatino Linotype" w:eastAsia="Palatino Linotype" w:hAnsi="Palatino Linotype" w:cs="Palatino Linotype"/>
        </w:rPr>
        <w:t>pronunciada por el Pleno de este Instituto ante el proyecto presentado por el</w:t>
      </w:r>
      <w:r w:rsidRPr="00AB69C2">
        <w:rPr>
          <w:rFonts w:ascii="Palatino Linotype" w:eastAsia="Palatino Linotype" w:hAnsi="Palatino Linotype" w:cs="Palatino Linotype"/>
        </w:rPr>
        <w:t xml:space="preserve"> Comisionado  José Martínez Vilchis, el cual se formuló, conforme al tenor siguiente:</w:t>
      </w:r>
    </w:p>
    <w:p w:rsidR="005207E5" w:rsidRPr="00AB69C2" w:rsidRDefault="005207E5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ind w:left="567" w:right="142"/>
        <w:jc w:val="both"/>
        <w:rPr>
          <w:rFonts w:ascii="Palatino Linotype" w:eastAsia="Palatino Linotype" w:hAnsi="Palatino Linotype" w:cs="Palatino Linotype"/>
          <w:b/>
        </w:rPr>
      </w:pPr>
      <w:r w:rsidRPr="00AB69C2">
        <w:rPr>
          <w:rFonts w:ascii="Palatino Linotype" w:eastAsia="Palatino Linotype" w:hAnsi="Palatino Linotype" w:cs="Palatino Linotype"/>
          <w:b/>
        </w:rPr>
        <w:t>I. Antecedentes.</w:t>
      </w:r>
    </w:p>
    <w:p w:rsidR="005207E5" w:rsidRPr="00AB69C2" w:rsidRDefault="005207E5">
      <w:pPr>
        <w:spacing w:after="0" w:line="360" w:lineRule="auto"/>
        <w:ind w:left="567" w:right="142"/>
        <w:jc w:val="both"/>
        <w:rPr>
          <w:rFonts w:ascii="Palatino Linotype" w:eastAsia="Palatino Linotype" w:hAnsi="Palatino Linotype" w:cs="Palatino Linotype"/>
          <w:b/>
        </w:rPr>
      </w:pPr>
    </w:p>
    <w:p w:rsidR="005207E5" w:rsidRPr="00AB69C2" w:rsidRDefault="00AB69C2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 xml:space="preserve">Como quedó debidamente asentado en la resolución, materia del presente voto la persona solicitante 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requirió, el soporte </w:t>
      </w:r>
      <w:r w:rsidRPr="00AB69C2">
        <w:rPr>
          <w:rFonts w:ascii="Palatino Linotype" w:eastAsia="Palatino Linotype" w:hAnsi="Palatino Linotype" w:cs="Palatino Linotype"/>
        </w:rPr>
        <w:t xml:space="preserve">documental de lo siguiente: </w:t>
      </w:r>
    </w:p>
    <w:p w:rsidR="005207E5" w:rsidRPr="00AB69C2" w:rsidRDefault="005207E5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AB69C2">
        <w:rPr>
          <w:rFonts w:ascii="Palatino Linotype" w:eastAsia="Palatino Linotype" w:hAnsi="Palatino Linotype" w:cs="Palatino Linotype"/>
          <w:color w:val="000000"/>
        </w:rPr>
        <w:lastRenderedPageBreak/>
        <w:t>T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ítulo de concesión para la prestación del servicio público de transporte masivo de pasajeros de los </w:t>
      </w:r>
      <w:r w:rsidRPr="00AB69C2">
        <w:rPr>
          <w:rFonts w:ascii="Palatino Linotype" w:eastAsia="Palatino Linotype" w:hAnsi="Palatino Linotype" w:cs="Palatino Linotype"/>
        </w:rPr>
        <w:t>sistemas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 mexibús, línea 1, línea 2, línea 3 y línea 4. </w:t>
      </w:r>
    </w:p>
    <w:p w:rsidR="005207E5" w:rsidRPr="00AB69C2" w:rsidRDefault="005207E5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AB69C2">
        <w:rPr>
          <w:rFonts w:ascii="Palatino Linotype" w:eastAsia="Palatino Linotype" w:hAnsi="Palatino Linotype" w:cs="Palatino Linotype"/>
          <w:color w:val="000000"/>
        </w:rPr>
        <w:t>Consecuentemente, el Sujeto Obligado en fecha treinta y uno de enero de dos mil veinticinco, emitió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 su respuesta a través de los archivos electrónicos de nombre y contenido siguiente: </w:t>
      </w:r>
    </w:p>
    <w:p w:rsidR="005207E5" w:rsidRPr="00AB69C2" w:rsidRDefault="005207E5">
      <w:pPr>
        <w:spacing w:after="24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41"/>
        <w:jc w:val="both"/>
        <w:rPr>
          <w:rFonts w:ascii="Palatino Linotype" w:eastAsia="Palatino Linotype" w:hAnsi="Palatino Linotype" w:cs="Palatino Linotype"/>
          <w:color w:val="000000"/>
        </w:rPr>
      </w:pP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“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>Titulo línea 1 transporte.pdf”, “Titulo línea 2 transporte.pdf”, “Titulo línea 3 transporte.pdf” y “Título línea 4 transporte.pdf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”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 xml:space="preserve">: </w:t>
      </w:r>
      <w:r w:rsidRPr="00AB69C2">
        <w:rPr>
          <w:rFonts w:ascii="Palatino Linotype" w:eastAsia="Palatino Linotype" w:hAnsi="Palatino Linotype" w:cs="Palatino Linotype"/>
          <w:color w:val="000000"/>
        </w:rPr>
        <w:t>Documentos electrónicos que contienen los Títulos de Concesiones para la prestación del servicio público de Transporte Masivo de Pasajeros con Autobuses de Alta Capacidad en los corredores ciudad de “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>Azteca–Tecámac”, “Coacalco-Plaza las Américas”, “</w:t>
      </w:r>
      <w:bookmarkStart w:id="1" w:name="_GoBack"/>
      <w:bookmarkEnd w:id="1"/>
      <w:r w:rsidRPr="00AB69C2">
        <w:rPr>
          <w:rFonts w:ascii="Palatino Linotype" w:eastAsia="Palatino Linotype" w:hAnsi="Palatino Linotype" w:cs="Palatino Linotype"/>
          <w:b/>
          <w:color w:val="000000"/>
        </w:rPr>
        <w:t>Chimalh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 xml:space="preserve">uacán-Nezahualcóyotl-Pantitlán” </w:t>
      </w:r>
      <w:r w:rsidRPr="00AB69C2">
        <w:rPr>
          <w:rFonts w:ascii="Palatino Linotype" w:eastAsia="Palatino Linotype" w:hAnsi="Palatino Linotype" w:cs="Palatino Linotype"/>
          <w:color w:val="000000"/>
        </w:rPr>
        <w:t>e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 xml:space="preserve"> “Indios Verdes-Tlalnepantla-Ecatepec-Tecámac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”. </w:t>
      </w:r>
    </w:p>
    <w:p w:rsidR="005207E5" w:rsidRPr="00AB69C2" w:rsidRDefault="005207E5">
      <w:pPr>
        <w:spacing w:after="0" w:line="360" w:lineRule="auto"/>
        <w:ind w:right="-9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ind w:right="-93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 xml:space="preserve">Bajo tales argumentos, </w:t>
      </w:r>
      <w:r w:rsidRPr="00AB69C2">
        <w:rPr>
          <w:rFonts w:ascii="Palatino Linotype" w:eastAsia="Palatino Linotype" w:hAnsi="Palatino Linotype" w:cs="Palatino Linotype"/>
          <w:b/>
        </w:rPr>
        <w:t>LA PARTE RECURRENTE</w:t>
      </w:r>
      <w:r w:rsidRPr="00AB69C2">
        <w:rPr>
          <w:rFonts w:ascii="Palatino Linotype" w:eastAsia="Palatino Linotype" w:hAnsi="Palatino Linotype" w:cs="Palatino Linotype"/>
        </w:rPr>
        <w:t xml:space="preserve"> interpuso el medio de impugnación de la siguiente forma:</w:t>
      </w:r>
    </w:p>
    <w:p w:rsidR="005207E5" w:rsidRPr="00AB69C2" w:rsidRDefault="005207E5">
      <w:pPr>
        <w:spacing w:after="0" w:line="360" w:lineRule="auto"/>
        <w:ind w:right="-234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5207E5" w:rsidRPr="00AB69C2" w:rsidRDefault="00AB69C2">
      <w:pPr>
        <w:numPr>
          <w:ilvl w:val="0"/>
          <w:numId w:val="4"/>
        </w:numPr>
        <w:spacing w:after="0"/>
        <w:jc w:val="both"/>
        <w:rPr>
          <w:rFonts w:ascii="Palatino Linotype" w:eastAsia="Palatino Linotype" w:hAnsi="Palatino Linotype" w:cs="Palatino Linotype"/>
          <w:b/>
        </w:rPr>
      </w:pPr>
      <w:r w:rsidRPr="00AB69C2">
        <w:rPr>
          <w:rFonts w:ascii="Palatino Linotype" w:eastAsia="Palatino Linotype" w:hAnsi="Palatino Linotype" w:cs="Palatino Linotype"/>
          <w:b/>
        </w:rPr>
        <w:t xml:space="preserve">Acto Impugnado: 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“ENTREGA DE INFORMACION INCOMPLETA” (Sic).</w:t>
      </w:r>
    </w:p>
    <w:p w:rsidR="005207E5" w:rsidRPr="00AB69C2" w:rsidRDefault="005207E5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:rsidR="005207E5" w:rsidRPr="00AB69C2" w:rsidRDefault="00AB69C2">
      <w:pPr>
        <w:numPr>
          <w:ilvl w:val="0"/>
          <w:numId w:val="4"/>
        </w:numPr>
        <w:spacing w:after="0"/>
        <w:jc w:val="both"/>
        <w:rPr>
          <w:rFonts w:ascii="Palatino Linotype" w:eastAsia="Palatino Linotype" w:hAnsi="Palatino Linotype" w:cs="Palatino Linotype"/>
          <w:b/>
        </w:rPr>
      </w:pPr>
      <w:r w:rsidRPr="00AB69C2">
        <w:rPr>
          <w:rFonts w:ascii="Palatino Linotype" w:eastAsia="Palatino Linotype" w:hAnsi="Palatino Linotype" w:cs="Palatino Linotype"/>
          <w:b/>
        </w:rPr>
        <w:t>Razones o Motivos de Inconformidad</w:t>
      </w:r>
      <w:r w:rsidRPr="00AB69C2">
        <w:rPr>
          <w:rFonts w:ascii="Palatino Linotype" w:eastAsia="Palatino Linotype" w:hAnsi="Palatino Linotype" w:cs="Palatino Linotype"/>
        </w:rPr>
        <w:t xml:space="preserve">: 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“LA ENTREGA DE INFORMACION ESTA INCOMPLETA, SE SOLICITARON LOS TITULOS DE CONCESION DE LOS DIFERENTES SISTEMAS DE MEXIBUS, 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  <w:u w:val="single"/>
        </w:rPr>
        <w:t>LOS ANEXOS SON PARTE INTEGRANTE DEL TITULO CONCESION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, EN LA PRESENTE REMISIÓN DE INFORMACIÓN NO M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ANDARON LOS ANEXOS QUE CONFORMAN CADA UNO DE LOS TITULOS CONCESIÓN. 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  <w:u w:val="single"/>
        </w:rPr>
        <w:t>SE SOLICITA LA INFORMACIÓN COMPLETA DE CADA UNO DE LOS TITULOS CONCESION, CON TODOS Y CADA UNO DE LOS ANEXOS QUE LOS CONFORMAN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, DE LOS SISTEMAS DE MEXIBUS I, II, III Y IV.” (Sic).</w:t>
      </w:r>
    </w:p>
    <w:p w:rsidR="005207E5" w:rsidRPr="00AB69C2" w:rsidRDefault="005207E5">
      <w:pPr>
        <w:spacing w:after="0" w:line="360" w:lineRule="auto"/>
        <w:ind w:right="-9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Durante</w:t>
      </w:r>
      <w:r w:rsidRPr="00AB69C2">
        <w:rPr>
          <w:rFonts w:ascii="Palatino Linotype" w:eastAsia="Palatino Linotype" w:hAnsi="Palatino Linotype" w:cs="Palatino Linotype"/>
        </w:rPr>
        <w:t xml:space="preserve"> la etapa de manifestaciones, </w:t>
      </w:r>
      <w:r w:rsidRPr="00AB69C2">
        <w:rPr>
          <w:rFonts w:ascii="Palatino Linotype" w:eastAsia="Palatino Linotype" w:hAnsi="Palatino Linotype" w:cs="Palatino Linotype"/>
          <w:b/>
        </w:rPr>
        <w:t xml:space="preserve">EL SUJETO OBLIGADO </w:t>
      </w:r>
      <w:r w:rsidRPr="00AB69C2">
        <w:rPr>
          <w:rFonts w:ascii="Palatino Linotype" w:eastAsia="Palatino Linotype" w:hAnsi="Palatino Linotype" w:cs="Palatino Linotype"/>
        </w:rPr>
        <w:t xml:space="preserve">emitió su Informe Justificado en donde medularmente ratificó su respuesta inicial. 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En esta tesitura, derivado del análisis efectuado, el instituto</w:t>
      </w:r>
      <w:r w:rsidRPr="00AB69C2">
        <w:t xml:space="preserve"> </w:t>
      </w:r>
      <w:r w:rsidRPr="00AB69C2">
        <w:rPr>
          <w:rFonts w:ascii="Palatino Linotype" w:eastAsia="Palatino Linotype" w:hAnsi="Palatino Linotype" w:cs="Palatino Linotype"/>
        </w:rPr>
        <w:t>determinó MODIFICAR  la respuesta y ORDENAR lo siguiente:</w:t>
      </w:r>
    </w:p>
    <w:p w:rsidR="005207E5" w:rsidRPr="00AB69C2" w:rsidRDefault="005207E5">
      <w:pPr>
        <w:spacing w:after="0" w:line="276" w:lineRule="auto"/>
        <w:ind w:left="567" w:right="567"/>
        <w:rPr>
          <w:rFonts w:ascii="Palatino Linotype" w:eastAsia="Palatino Linotype" w:hAnsi="Palatino Linotype" w:cs="Palatino Linotype"/>
          <w:i/>
        </w:rPr>
      </w:pPr>
    </w:p>
    <w:p w:rsidR="005207E5" w:rsidRPr="00AB69C2" w:rsidRDefault="00AB69C2">
      <w:pP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</w:rPr>
      </w:pPr>
      <w:r w:rsidRPr="00AB69C2">
        <w:rPr>
          <w:rFonts w:ascii="Palatino Linotype" w:eastAsia="Palatino Linotype" w:hAnsi="Palatino Linotype" w:cs="Palatino Linotype"/>
          <w:b/>
          <w:i/>
        </w:rPr>
        <w:t>PRIMERO.</w:t>
      </w:r>
      <w:r w:rsidRPr="00AB69C2">
        <w:rPr>
          <w:rFonts w:ascii="Palatino Linotype" w:eastAsia="Palatino Linotype" w:hAnsi="Palatino Linotype" w:cs="Palatino Linotype"/>
          <w:i/>
        </w:rPr>
        <w:t xml:space="preserve"> Se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 MODIFICA </w:t>
      </w:r>
      <w:r w:rsidRPr="00AB69C2">
        <w:rPr>
          <w:rFonts w:ascii="Palatino Linotype" w:eastAsia="Palatino Linotype" w:hAnsi="Palatino Linotype" w:cs="Palatino Linotype"/>
          <w:i/>
        </w:rPr>
        <w:t xml:space="preserve">la respuesta entregada por 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El Sujeto Obligado </w:t>
      </w:r>
      <w:r w:rsidRPr="00AB69C2">
        <w:rPr>
          <w:rFonts w:ascii="Palatino Linotype" w:eastAsia="Palatino Linotype" w:hAnsi="Palatino Linotype" w:cs="Palatino Linotype"/>
          <w:i/>
        </w:rPr>
        <w:t xml:space="preserve">a la solicitud de información número </w:t>
      </w:r>
      <w:r w:rsidRPr="00AB69C2">
        <w:rPr>
          <w:rFonts w:ascii="Palatino Linotype" w:eastAsia="Palatino Linotype" w:hAnsi="Palatino Linotype" w:cs="Palatino Linotype"/>
          <w:b/>
          <w:i/>
        </w:rPr>
        <w:t>00906/SMOV/IP/2024</w:t>
      </w:r>
      <w:r w:rsidRPr="00AB69C2">
        <w:rPr>
          <w:rFonts w:ascii="Palatino Linotype" w:eastAsia="Palatino Linotype" w:hAnsi="Palatino Linotype" w:cs="Palatino Linotype"/>
          <w:i/>
        </w:rPr>
        <w:t>, por resultar parcialmente fundados los motivos de inconformidad vertidos por el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 Recurrente</w:t>
      </w:r>
      <w:r w:rsidRPr="00AB69C2">
        <w:rPr>
          <w:rFonts w:ascii="Palatino Linotype" w:eastAsia="Palatino Linotype" w:hAnsi="Palatino Linotype" w:cs="Palatino Linotype"/>
          <w:i/>
        </w:rPr>
        <w:t xml:space="preserve">, en términos del Considerando </w:t>
      </w:r>
      <w:r w:rsidRPr="00AB69C2">
        <w:rPr>
          <w:rFonts w:ascii="Palatino Linotype" w:eastAsia="Palatino Linotype" w:hAnsi="Palatino Linotype" w:cs="Palatino Linotype"/>
          <w:b/>
          <w:i/>
        </w:rPr>
        <w:t>CUARTO</w:t>
      </w:r>
      <w:r w:rsidRPr="00AB69C2">
        <w:rPr>
          <w:rFonts w:ascii="Palatino Linotype" w:eastAsia="Palatino Linotype" w:hAnsi="Palatino Linotype" w:cs="Palatino Linotype"/>
          <w:i/>
        </w:rPr>
        <w:t xml:space="preserve"> de esta resolución.</w:t>
      </w:r>
    </w:p>
    <w:p w:rsidR="005207E5" w:rsidRPr="00AB69C2" w:rsidRDefault="005207E5">
      <w:pP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</w:rPr>
      </w:pPr>
    </w:p>
    <w:p w:rsidR="005207E5" w:rsidRPr="00AB69C2" w:rsidRDefault="00AB69C2">
      <w:pP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</w:rPr>
      </w:pPr>
      <w:r w:rsidRPr="00AB69C2">
        <w:rPr>
          <w:rFonts w:ascii="Palatino Linotype" w:eastAsia="Palatino Linotype" w:hAnsi="Palatino Linotype" w:cs="Palatino Linotype"/>
          <w:b/>
          <w:i/>
        </w:rPr>
        <w:t>SEGUNDO.</w:t>
      </w:r>
      <w:r w:rsidRPr="00AB69C2">
        <w:rPr>
          <w:rFonts w:ascii="Palatino Linotype" w:eastAsia="Palatino Linotype" w:hAnsi="Palatino Linotype" w:cs="Palatino Linotype"/>
          <w:i/>
        </w:rPr>
        <w:t xml:space="preserve"> Se </w:t>
      </w:r>
      <w:r w:rsidRPr="00AB69C2">
        <w:rPr>
          <w:rFonts w:ascii="Palatino Linotype" w:eastAsia="Palatino Linotype" w:hAnsi="Palatino Linotype" w:cs="Palatino Linotype"/>
          <w:b/>
          <w:i/>
        </w:rPr>
        <w:t>ORDENA</w:t>
      </w:r>
      <w:r w:rsidRPr="00AB69C2">
        <w:rPr>
          <w:rFonts w:ascii="Palatino Linotype" w:eastAsia="Palatino Linotype" w:hAnsi="Palatino Linotype" w:cs="Palatino Linotype"/>
          <w:i/>
        </w:rPr>
        <w:t xml:space="preserve"> al 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Sujeto Obligado </w:t>
      </w:r>
      <w:r w:rsidRPr="00AB69C2">
        <w:rPr>
          <w:rFonts w:ascii="Palatino Linotype" w:eastAsia="Palatino Linotype" w:hAnsi="Palatino Linotype" w:cs="Palatino Linotype"/>
          <w:i/>
        </w:rPr>
        <w:t xml:space="preserve">haga entrega al 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Recurrente, </w:t>
      </w:r>
      <w:r w:rsidRPr="00AB69C2">
        <w:rPr>
          <w:rFonts w:ascii="Palatino Linotype" w:eastAsia="Palatino Linotype" w:hAnsi="Palatino Linotype" w:cs="Palatino Linotype"/>
          <w:i/>
        </w:rPr>
        <w:t xml:space="preserve">en términos del Considerando 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CUARTO </w:t>
      </w:r>
      <w:r w:rsidRPr="00AB69C2">
        <w:rPr>
          <w:rFonts w:ascii="Palatino Linotype" w:eastAsia="Palatino Linotype" w:hAnsi="Palatino Linotype" w:cs="Palatino Linotype"/>
          <w:i/>
        </w:rPr>
        <w:t>de esta resolución, a través del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 </w:t>
      </w:r>
      <w:r w:rsidRPr="00AB69C2">
        <w:rPr>
          <w:rFonts w:ascii="Palatino Linotype" w:eastAsia="Palatino Linotype" w:hAnsi="Palatino Linotype" w:cs="Palatino Linotype"/>
          <w:i/>
        </w:rPr>
        <w:t xml:space="preserve">Sistema de Acceso a la Información Mexiquense </w:t>
      </w:r>
      <w:r w:rsidRPr="00AB69C2">
        <w:rPr>
          <w:rFonts w:ascii="Palatino Linotype" w:eastAsia="Palatino Linotype" w:hAnsi="Palatino Linotype" w:cs="Palatino Linotype"/>
          <w:b/>
          <w:i/>
        </w:rPr>
        <w:t>(SAIMEX)</w:t>
      </w:r>
      <w:r w:rsidRPr="00AB69C2">
        <w:rPr>
          <w:rFonts w:ascii="Palatino Linotype" w:eastAsia="Palatino Linotype" w:hAnsi="Palatino Linotype" w:cs="Palatino Linotype"/>
          <w:i/>
        </w:rPr>
        <w:t xml:space="preserve">, previa búsqueda exhaustiva y razonable, de </w:t>
      </w:r>
      <w:r w:rsidRPr="00AB69C2">
        <w:rPr>
          <w:rFonts w:ascii="Palatino Linotype" w:eastAsia="Palatino Linotype" w:hAnsi="Palatino Linotype" w:cs="Palatino Linotype"/>
          <w:i/>
        </w:rPr>
        <w:t>ser procedente en versión pública, de lo siguiente:</w:t>
      </w:r>
    </w:p>
    <w:p w:rsidR="005207E5" w:rsidRPr="00AB69C2" w:rsidRDefault="005207E5">
      <w:pP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</w:rPr>
      </w:pPr>
    </w:p>
    <w:p w:rsidR="005207E5" w:rsidRPr="00AB69C2" w:rsidRDefault="00AB69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  <w:color w:val="000000"/>
        </w:rPr>
      </w:pP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Anexos de los Títulos de Concesión para la prestación del servicio público de transporte masivo de pasajeros de los sistemas Mexibús, entregados en respuesta a la solicitud de información número 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00906/SM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OV/IP/2024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.</w:t>
      </w:r>
    </w:p>
    <w:p w:rsidR="005207E5" w:rsidRPr="00AB69C2" w:rsidRDefault="005207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rPr>
          <w:rFonts w:ascii="Times New Roman" w:eastAsia="Times New Roman" w:hAnsi="Times New Roman" w:cs="Times New Roman"/>
          <w:i/>
          <w:color w:val="000000"/>
        </w:rPr>
      </w:pPr>
    </w:p>
    <w:p w:rsidR="005207E5" w:rsidRPr="00AB69C2" w:rsidRDefault="00AB69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Palatino Linotype" w:eastAsia="Palatino Linotype" w:hAnsi="Palatino Linotype" w:cs="Palatino Linotype"/>
          <w:i/>
          <w:color w:val="000000"/>
        </w:rPr>
      </w:pPr>
      <w:r w:rsidRPr="00AB69C2">
        <w:rPr>
          <w:rFonts w:ascii="Palatino Linotype" w:eastAsia="Palatino Linotype" w:hAnsi="Palatino Linotype" w:cs="Palatino Linotype"/>
          <w:i/>
          <w:color w:val="000000"/>
        </w:rPr>
        <w:t>Como sustento de la versión pública que se ordena su entrega, se deberá entregar el Acuerdo del Comité de Transparencia correspondiente, en términos del artículo 49, fracción VIII y 132 fracción II, de la Ley de Transparencia y Acceso a la Información Públ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ica del Estado de México y Municipios, en el que funde y motive las razones sobre los datos que se supriman o eliminen dentro del soporte documental respectivo y se ponga a disposición de la parte 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Recurrente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.</w:t>
      </w:r>
    </w:p>
    <w:p w:rsidR="005207E5" w:rsidRPr="00AB69C2" w:rsidRDefault="005207E5">
      <w:pPr>
        <w:spacing w:after="0" w:line="360" w:lineRule="auto"/>
        <w:ind w:right="-9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AB69C2">
        <w:rPr>
          <w:rFonts w:ascii="Palatino Linotype" w:eastAsia="Palatino Linotype" w:hAnsi="Palatino Linotype" w:cs="Palatino Linotype"/>
          <w:b/>
          <w:color w:val="000000"/>
        </w:rPr>
        <w:t>Razones del Voto Disidente.</w:t>
      </w:r>
    </w:p>
    <w:p w:rsidR="005207E5" w:rsidRPr="00AB69C2" w:rsidRDefault="005207E5">
      <w:pPr>
        <w:spacing w:after="0" w:line="360" w:lineRule="auto"/>
        <w:ind w:right="142"/>
        <w:jc w:val="both"/>
        <w:rPr>
          <w:rFonts w:ascii="Palatino Linotype" w:eastAsia="Palatino Linotype" w:hAnsi="Palatino Linotype" w:cs="Palatino Linotype"/>
          <w:b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 xml:space="preserve">Para iniciar la emisión del presente voto, conviene mencionar, que la suscrita no comparte que se hayan ordenado los anexos de los títulos de concesión por las razones que a continuación se exponen. 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En primer lugar, de los documentos que obran en el expe</w:t>
      </w:r>
      <w:r w:rsidRPr="00AB69C2">
        <w:rPr>
          <w:rFonts w:ascii="Palatino Linotype" w:eastAsia="Palatino Linotype" w:hAnsi="Palatino Linotype" w:cs="Palatino Linotype"/>
        </w:rPr>
        <w:t xml:space="preserve">diente electrónico, se advierte que el Sujeto Obligado hizo entrega de los títulos de concesión solicitados por la parte Recurrente, situación que colma en su totalidad el requerimiento de información. 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No obstante, la Ponencia Resolutora determinó ordena</w:t>
      </w:r>
      <w:r w:rsidRPr="00AB69C2">
        <w:rPr>
          <w:rFonts w:ascii="Palatino Linotype" w:eastAsia="Palatino Linotype" w:hAnsi="Palatino Linotype" w:cs="Palatino Linotype"/>
        </w:rPr>
        <w:t>r información que no se había solicitado en un primer momento.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En ese sentido, del análisis de los motivos de inconformidad que constan en el Recurso de Revisión se advierte que estos se tratan de una ampliación a su solicitud inicial, esto es, constituye</w:t>
      </w:r>
      <w:r w:rsidRPr="00AB69C2">
        <w:rPr>
          <w:rFonts w:ascii="Palatino Linotype" w:eastAsia="Palatino Linotype" w:hAnsi="Palatino Linotype" w:cs="Palatino Linotype"/>
        </w:rPr>
        <w:t xml:space="preserve">n nuevos requerimientos de información, configurándose así lo que se conoce como </w:t>
      </w:r>
      <w:r w:rsidRPr="00AB69C2">
        <w:rPr>
          <w:rFonts w:ascii="Palatino Linotype" w:eastAsia="Palatino Linotype" w:hAnsi="Palatino Linotype" w:cs="Palatino Linotype"/>
          <w:i/>
        </w:rPr>
        <w:t>plus petitio</w:t>
      </w:r>
      <w:r w:rsidRPr="00AB69C2">
        <w:rPr>
          <w:rFonts w:ascii="Palatino Linotype" w:eastAsia="Palatino Linotype" w:hAnsi="Palatino Linotype" w:cs="Palatino Linotype"/>
          <w:b/>
          <w:i/>
        </w:rPr>
        <w:t xml:space="preserve">, </w:t>
      </w:r>
      <w:r w:rsidRPr="00AB69C2">
        <w:rPr>
          <w:rFonts w:ascii="Palatino Linotype" w:eastAsia="Palatino Linotype" w:hAnsi="Palatino Linotype" w:cs="Palatino Linotype"/>
        </w:rPr>
        <w:t>que consiste en una ampliación a su requerimiento informativo, argumentos que no son susceptibles de ser valorados en términos de la fracción VII del Artículo 19</w:t>
      </w:r>
      <w:r w:rsidRPr="00AB69C2">
        <w:rPr>
          <w:rFonts w:ascii="Palatino Linotype" w:eastAsia="Palatino Linotype" w:hAnsi="Palatino Linotype" w:cs="Palatino Linotype"/>
        </w:rPr>
        <w:t xml:space="preserve">1 de la Ley de Transparencia y Acceso a la Información Pública del Estado de México y Municipios,  pues la parte </w:t>
      </w:r>
      <w:r w:rsidRPr="00AB69C2">
        <w:rPr>
          <w:rFonts w:ascii="Palatino Linotype" w:eastAsia="Palatino Linotype" w:hAnsi="Palatino Linotype" w:cs="Palatino Linotype"/>
          <w:b/>
        </w:rPr>
        <w:t>RECURRENTE</w:t>
      </w:r>
      <w:r w:rsidRPr="00AB69C2">
        <w:rPr>
          <w:rFonts w:ascii="Palatino Linotype" w:eastAsia="Palatino Linotype" w:hAnsi="Palatino Linotype" w:cs="Palatino Linotype"/>
        </w:rPr>
        <w:t xml:space="preserve"> formuló nuevos cuestionamientos, en los que solicitó información que no formó parte de su solicitud inicial y por lo tanto son inate</w:t>
      </w:r>
      <w:r w:rsidRPr="00AB69C2">
        <w:rPr>
          <w:rFonts w:ascii="Palatino Linotype" w:eastAsia="Palatino Linotype" w:hAnsi="Palatino Linotype" w:cs="Palatino Linotype"/>
        </w:rPr>
        <w:t xml:space="preserve">ndibles a través del recurso de revisión. 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240" w:line="360" w:lineRule="auto"/>
        <w:jc w:val="both"/>
        <w:rPr>
          <w:rFonts w:ascii="Palatino Linotype" w:eastAsia="Palatino Linotype" w:hAnsi="Palatino Linotype" w:cs="Palatino Linotype"/>
        </w:rPr>
      </w:pPr>
      <w:r w:rsidRPr="00AB69C2">
        <w:rPr>
          <w:rFonts w:ascii="Palatino Linotype" w:eastAsia="Palatino Linotype" w:hAnsi="Palatino Linotype" w:cs="Palatino Linotype"/>
        </w:rPr>
        <w:t>En este tenor, es posible determinar que para el caso que nos ocupa, los argumentos formulados como motivos o razones de inconformidad son una ampliación a la solicitud inicial y corresponden a nuevos requerimien</w:t>
      </w:r>
      <w:r w:rsidRPr="00AB69C2">
        <w:rPr>
          <w:rFonts w:ascii="Palatino Linotype" w:eastAsia="Palatino Linotype" w:hAnsi="Palatino Linotype" w:cs="Palatino Linotype"/>
        </w:rPr>
        <w:t>tos de información, que no se encuentran relacionados con lo solicitado en un primer momento.</w:t>
      </w:r>
    </w:p>
    <w:p w:rsidR="005207E5" w:rsidRPr="00AB69C2" w:rsidRDefault="00AB69C2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AB69C2">
        <w:rPr>
          <w:rFonts w:ascii="Palatino Linotype" w:eastAsia="Palatino Linotype" w:hAnsi="Palatino Linotype" w:cs="Palatino Linotype"/>
        </w:rPr>
        <w:t>En este orden de ideas, una vez formulada su solicitud inicial,</w:t>
      </w:r>
      <w:r w:rsidRPr="00AB69C2">
        <w:rPr>
          <w:rFonts w:ascii="Palatino Linotype" w:eastAsia="Palatino Linotype" w:hAnsi="Palatino Linotype" w:cs="Palatino Linotype"/>
          <w:i/>
        </w:rPr>
        <w:t xml:space="preserve"> </w:t>
      </w:r>
      <w:r w:rsidRPr="00AB69C2">
        <w:rPr>
          <w:rFonts w:ascii="Palatino Linotype" w:eastAsia="Palatino Linotype" w:hAnsi="Palatino Linotype" w:cs="Palatino Linotype"/>
        </w:rPr>
        <w:t>los particulares no pueden modificarla o ampliarla a través de posteriores promociones o en el mom</w:t>
      </w:r>
      <w:r w:rsidRPr="00AB69C2">
        <w:rPr>
          <w:rFonts w:ascii="Palatino Linotype" w:eastAsia="Palatino Linotype" w:hAnsi="Palatino Linotype" w:cs="Palatino Linotype"/>
        </w:rPr>
        <w:t>ento de ingresar su recurso de revisión; por tanto, la materia de las solicitudes de información se circunscribe a que se permita el acceso a los documentos inicialmente solicitados y en su caso a los aclarados o corregidos.</w:t>
      </w: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 w:rsidRPr="00AB69C2">
        <w:rPr>
          <w:rFonts w:ascii="Palatino Linotype" w:eastAsia="Palatino Linotype" w:hAnsi="Palatino Linotype" w:cs="Palatino Linotype"/>
          <w:color w:val="000000"/>
        </w:rPr>
        <w:t>Robustece lo anterior lo plasma</w:t>
      </w:r>
      <w:r w:rsidRPr="00AB69C2">
        <w:rPr>
          <w:rFonts w:ascii="Palatino Linotype" w:eastAsia="Palatino Linotype" w:hAnsi="Palatino Linotype" w:cs="Palatino Linotype"/>
          <w:color w:val="000000"/>
        </w:rPr>
        <w:t>do en el criterio orientador número 01/17 emitido por el Instituto Nacional de Transparencia, Acceso a la Información y Protección de Datos Personales, INAI, que lleva por rubro y texto lo que a continuación se transcribe:</w:t>
      </w:r>
    </w:p>
    <w:p w:rsidR="005207E5" w:rsidRPr="00AB69C2" w:rsidRDefault="005207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207E5" w:rsidRPr="00AB69C2" w:rsidRDefault="00AB69C2">
      <w:pPr>
        <w:spacing w:after="0" w:line="276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</w:rPr>
      </w:pPr>
      <w:r w:rsidRPr="00AB69C2">
        <w:rPr>
          <w:rFonts w:ascii="Palatino Linotype" w:eastAsia="Palatino Linotype" w:hAnsi="Palatino Linotype" w:cs="Palatino Linotype"/>
          <w:i/>
          <w:color w:val="000000"/>
        </w:rPr>
        <w:t>“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 xml:space="preserve">Es improcedente ampliar las solicitudes de acceso a información, a través de la interposición del recurso de revisión. 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En términos de los artículos 155, fracción VII de la Ley General de Transparencia y Acceso a la Información Pública, y 161, fracción VII 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de la Ley Federal de Transparencia y Acceso a la Información Pública, en aquellos casos en que los recurrentes, mediante su recurso de revisión, amplíen los alcances de la solicitud de información inicial, los nuevos contenidos no podrán constituir materia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 xml:space="preserve"> del procedimiento a sustanciarse por el Instituto Nacional de Transparencia, Acceso a la Información y Protección de Datos Personales; actualizándose la hipótesis de improcedencia respectiva</w:t>
      </w:r>
      <w:r w:rsidRPr="00AB69C2">
        <w:rPr>
          <w:rFonts w:ascii="Palatino Linotype" w:eastAsia="Palatino Linotype" w:hAnsi="Palatino Linotype" w:cs="Palatino Linotype"/>
          <w:b/>
          <w:i/>
          <w:color w:val="000000"/>
        </w:rPr>
        <w:t>.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”</w:t>
      </w:r>
    </w:p>
    <w:p w:rsidR="005207E5" w:rsidRPr="00AB69C2" w:rsidRDefault="005207E5">
      <w:pPr>
        <w:spacing w:after="240" w:line="240" w:lineRule="auto"/>
        <w:rPr>
          <w:rFonts w:ascii="Palatino Linotype" w:eastAsia="Palatino Linotype" w:hAnsi="Palatino Linotype" w:cs="Palatino Linotype"/>
          <w:color w:val="000000"/>
        </w:rPr>
      </w:pPr>
    </w:p>
    <w:p w:rsidR="005207E5" w:rsidRPr="00AB69C2" w:rsidRDefault="00AB69C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B69C2">
        <w:rPr>
          <w:rFonts w:ascii="Palatino Linotype" w:eastAsia="Palatino Linotype" w:hAnsi="Palatino Linotype" w:cs="Palatino Linotype"/>
          <w:color w:val="000000"/>
        </w:rPr>
        <w:t>De tal forma que, en el presente asunto, si bien, resultaba p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rocedente el análisis de la controversia, debido a que, la parte Recurrente alegó en su medio de impugnación </w:t>
      </w:r>
      <w:r w:rsidRPr="00AB69C2">
        <w:rPr>
          <w:rFonts w:ascii="Palatino Linotype" w:eastAsia="Palatino Linotype" w:hAnsi="Palatino Linotype" w:cs="Palatino Linotype"/>
          <w:i/>
          <w:color w:val="000000"/>
        </w:rPr>
        <w:t>“respuesta incompleta”,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 también lo es que, se considera que la Ponencia Resolutora debió </w:t>
      </w:r>
      <w:r w:rsidRPr="00AB69C2">
        <w:rPr>
          <w:rFonts w:ascii="Palatino Linotype" w:eastAsia="Palatino Linotype" w:hAnsi="Palatino Linotype" w:cs="Palatino Linotype"/>
          <w:b/>
          <w:color w:val="000000"/>
        </w:rPr>
        <w:t>CONFIRMAR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 la respuesta inicial, ya que como se precisó en 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párrafos anteriores, los anexos de los títulos de </w:t>
      </w:r>
      <w:r w:rsidRPr="00AB69C2">
        <w:rPr>
          <w:rFonts w:ascii="Palatino Linotype" w:eastAsia="Palatino Linotype" w:hAnsi="Palatino Linotype" w:cs="Palatino Linotype"/>
        </w:rPr>
        <w:t>concesión</w:t>
      </w:r>
      <w:r w:rsidRPr="00AB69C2">
        <w:rPr>
          <w:rFonts w:ascii="Palatino Linotype" w:eastAsia="Palatino Linotype" w:hAnsi="Palatino Linotype" w:cs="Palatino Linotype"/>
          <w:color w:val="000000"/>
        </w:rPr>
        <w:t xml:space="preserve"> se tratan de una ampliación a su solicitud inicial.</w:t>
      </w:r>
    </w:p>
    <w:p w:rsidR="005207E5" w:rsidRPr="00AB69C2" w:rsidRDefault="005207E5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AB69C2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bookmarkStart w:id="2" w:name="_heading=h.gjdgxs" w:colFirst="0" w:colLast="0"/>
      <w:bookmarkEnd w:id="2"/>
      <w:r w:rsidRPr="00AB69C2">
        <w:rPr>
          <w:rFonts w:ascii="Palatino Linotype" w:eastAsia="Palatino Linotype" w:hAnsi="Palatino Linotype" w:cs="Palatino Linotype"/>
        </w:rPr>
        <w:t xml:space="preserve">Es por todo lo vertido en líneas argumentativas anteriores que la suscrita no comparte el sentido de la resolución, razón por la cual se emite </w:t>
      </w:r>
      <w:r w:rsidRPr="00AB69C2">
        <w:rPr>
          <w:rFonts w:ascii="Palatino Linotype" w:eastAsia="Palatino Linotype" w:hAnsi="Palatino Linotype" w:cs="Palatino Linotype"/>
        </w:rPr>
        <w:t xml:space="preserve">el presente </w:t>
      </w:r>
      <w:r w:rsidRPr="00AB69C2">
        <w:rPr>
          <w:rFonts w:ascii="Palatino Linotype" w:eastAsia="Palatino Linotype" w:hAnsi="Palatino Linotype" w:cs="Palatino Linotype"/>
          <w:b/>
        </w:rPr>
        <w:t>Voto disidente</w:t>
      </w:r>
      <w:r w:rsidRPr="00AB69C2">
        <w:rPr>
          <w:rFonts w:ascii="Palatino Linotype" w:eastAsia="Palatino Linotype" w:hAnsi="Palatino Linotype" w:cs="Palatino Linotype"/>
        </w:rPr>
        <w:t>.</w:t>
      </w: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  <w:highlight w:val="red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  <w:bookmarkStart w:id="3" w:name="_heading=h.3znysh7" w:colFirst="0" w:colLast="0"/>
      <w:bookmarkEnd w:id="3"/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  <w:bookmarkStart w:id="4" w:name="_heading=h.30j0zll" w:colFirst="0" w:colLast="0"/>
      <w:bookmarkEnd w:id="4"/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>
      <w:pPr>
        <w:spacing w:after="0" w:line="360" w:lineRule="auto"/>
        <w:ind w:right="423"/>
        <w:jc w:val="both"/>
        <w:rPr>
          <w:rFonts w:ascii="Palatino Linotype" w:eastAsia="Palatino Linotype" w:hAnsi="Palatino Linotype" w:cs="Palatino Linotype"/>
        </w:rPr>
      </w:pPr>
    </w:p>
    <w:p w:rsidR="005207E5" w:rsidRPr="00AB69C2" w:rsidRDefault="005207E5"/>
    <w:p w:rsidR="005207E5" w:rsidRPr="00AB69C2" w:rsidRDefault="005207E5"/>
    <w:p w:rsidR="005207E5" w:rsidRPr="00AB69C2" w:rsidRDefault="005207E5"/>
    <w:p w:rsidR="005207E5" w:rsidRPr="00AB69C2" w:rsidRDefault="005207E5"/>
    <w:p w:rsidR="005207E5" w:rsidRPr="00AB69C2" w:rsidRDefault="005207E5"/>
    <w:p w:rsidR="005207E5" w:rsidRPr="00AB69C2" w:rsidRDefault="005207E5"/>
    <w:p w:rsidR="005207E5" w:rsidRPr="00AB69C2" w:rsidRDefault="005207E5"/>
    <w:sectPr w:rsidR="005207E5" w:rsidRPr="00AB69C2">
      <w:headerReference w:type="default" r:id="rId8"/>
      <w:footerReference w:type="default" r:id="rId9"/>
      <w:pgSz w:w="12240" w:h="15840"/>
      <w:pgMar w:top="1871" w:right="2317" w:bottom="2836" w:left="1985" w:header="709" w:footer="5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69C2">
      <w:pPr>
        <w:spacing w:after="0" w:line="240" w:lineRule="auto"/>
      </w:pPr>
      <w:r>
        <w:separator/>
      </w:r>
    </w:p>
  </w:endnote>
  <w:endnote w:type="continuationSeparator" w:id="0">
    <w:p w:rsidR="00000000" w:rsidRDefault="00AB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E5" w:rsidRDefault="00AB69C2">
    <w:pPr>
      <w:jc w:val="right"/>
      <w:rPr>
        <w:rFonts w:ascii="Palatino Linotype" w:eastAsia="Palatino Linotype" w:hAnsi="Palatino Linotype" w:cs="Palatino Linotype"/>
      </w:rPr>
    </w:pPr>
    <w:r>
      <w:rPr>
        <w:rFonts w:ascii="Palatino Linotype" w:eastAsia="Palatino Linotype" w:hAnsi="Palatino Linotype" w:cs="Palatino Linotype"/>
      </w:rPr>
      <w:t xml:space="preserve">Página </w:t>
    </w:r>
    <w:r>
      <w:rPr>
        <w:rFonts w:ascii="Palatino Linotype" w:eastAsia="Palatino Linotype" w:hAnsi="Palatino Linotype" w:cs="Palatino Linotype"/>
      </w:rPr>
      <w:fldChar w:fldCharType="begin"/>
    </w:r>
    <w:r>
      <w:rPr>
        <w:rFonts w:ascii="Palatino Linotype" w:eastAsia="Palatino Linotype" w:hAnsi="Palatino Linotype" w:cs="Palatino Linotype"/>
      </w:rPr>
      <w:instrText>PAGE</w:instrText>
    </w:r>
    <w:r>
      <w:rPr>
        <w:rFonts w:ascii="Palatino Linotype" w:eastAsia="Palatino Linotype" w:hAnsi="Palatino Linotype" w:cs="Palatino Linotype"/>
      </w:rPr>
      <w:fldChar w:fldCharType="separate"/>
    </w:r>
    <w:r>
      <w:rPr>
        <w:rFonts w:ascii="Palatino Linotype" w:eastAsia="Palatino Linotype" w:hAnsi="Palatino Linotype" w:cs="Palatino Linotype"/>
        <w:noProof/>
      </w:rPr>
      <w:t>7</w:t>
    </w:r>
    <w:r>
      <w:rPr>
        <w:rFonts w:ascii="Palatino Linotype" w:eastAsia="Palatino Linotype" w:hAnsi="Palatino Linotype" w:cs="Palatino Linotype"/>
      </w:rPr>
      <w:fldChar w:fldCharType="end"/>
    </w:r>
    <w:r>
      <w:rPr>
        <w:rFonts w:ascii="Palatino Linotype" w:eastAsia="Palatino Linotype" w:hAnsi="Palatino Linotype" w:cs="Palatino Linotype"/>
      </w:rPr>
      <w:t xml:space="preserve"> de </w:t>
    </w:r>
    <w:r>
      <w:rPr>
        <w:rFonts w:ascii="Palatino Linotype" w:eastAsia="Palatino Linotype" w:hAnsi="Palatino Linotype" w:cs="Palatino Linotype"/>
      </w:rPr>
      <w:fldChar w:fldCharType="begin"/>
    </w:r>
    <w:r>
      <w:rPr>
        <w:rFonts w:ascii="Palatino Linotype" w:eastAsia="Palatino Linotype" w:hAnsi="Palatino Linotype" w:cs="Palatino Linotype"/>
      </w:rPr>
      <w:instrText>NUMPAGES</w:instrText>
    </w:r>
    <w:r>
      <w:rPr>
        <w:rFonts w:ascii="Palatino Linotype" w:eastAsia="Palatino Linotype" w:hAnsi="Palatino Linotype" w:cs="Palatino Linotype"/>
      </w:rPr>
      <w:fldChar w:fldCharType="separate"/>
    </w:r>
    <w:r>
      <w:rPr>
        <w:rFonts w:ascii="Palatino Linotype" w:eastAsia="Palatino Linotype" w:hAnsi="Palatino Linotype" w:cs="Palatino Linotype"/>
        <w:noProof/>
      </w:rPr>
      <w:t>7</w:t>
    </w:r>
    <w:r>
      <w:rPr>
        <w:rFonts w:ascii="Palatino Linotype" w:eastAsia="Palatino Linotype" w:hAnsi="Palatino Linotype" w:cs="Palatino Linotype"/>
      </w:rPr>
      <w:fldChar w:fldCharType="end"/>
    </w:r>
  </w:p>
  <w:p w:rsidR="005207E5" w:rsidRDefault="005207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latino Linotype" w:eastAsia="Palatino Linotype" w:hAnsi="Palatino Linotype" w:cs="Palatino Linotyp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69C2">
      <w:pPr>
        <w:spacing w:after="0" w:line="240" w:lineRule="auto"/>
      </w:pPr>
      <w:r>
        <w:separator/>
      </w:r>
    </w:p>
  </w:footnote>
  <w:footnote w:type="continuationSeparator" w:id="0">
    <w:p w:rsidR="00000000" w:rsidRDefault="00AB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E5" w:rsidRDefault="00AB6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-683259</wp:posOffset>
          </wp:positionH>
          <wp:positionV relativeFrom="paragraph">
            <wp:posOffset>-454658</wp:posOffset>
          </wp:positionV>
          <wp:extent cx="7510628" cy="988377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628" cy="988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07E5" w:rsidRDefault="00AB6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VOTO DISIDENTE </w:t>
    </w:r>
  </w:p>
  <w:p w:rsidR="005207E5" w:rsidRDefault="00AB6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   Recurso de Revisión: 00610/INFOEM/IP/RR/2025</w:t>
    </w:r>
  </w:p>
  <w:p w:rsidR="005207E5" w:rsidRDefault="00AB6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b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>Sujeto Obligado: Secretaría de Movilidad</w:t>
    </w:r>
  </w:p>
  <w:p w:rsidR="005207E5" w:rsidRDefault="00AB6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552"/>
      <w:jc w:val="right"/>
      <w:rPr>
        <w:rFonts w:ascii="Palatino Linotype" w:eastAsia="Palatino Linotype" w:hAnsi="Palatino Linotype" w:cs="Palatino Linotype"/>
        <w:sz w:val="20"/>
        <w:szCs w:val="20"/>
      </w:rPr>
    </w:pP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>Comisionado Ponente:</w:t>
    </w:r>
    <w:r>
      <w:t xml:space="preserve"> </w:t>
    </w:r>
    <w:r>
      <w:rPr>
        <w:rFonts w:ascii="Palatino Linotype" w:eastAsia="Palatino Linotype" w:hAnsi="Palatino Linotype" w:cs="Palatino Linotype"/>
        <w:b/>
        <w:color w:val="000000"/>
        <w:sz w:val="20"/>
        <w:szCs w:val="20"/>
      </w:rPr>
      <w:t xml:space="preserve">José Martínez Vilchis </w:t>
    </w:r>
  </w:p>
  <w:p w:rsidR="005207E5" w:rsidRDefault="005207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latino Linotype" w:eastAsia="Palatino Linotype" w:hAnsi="Palatino Linotype" w:cs="Palatino Linotyp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BBF"/>
    <w:multiLevelType w:val="multilevel"/>
    <w:tmpl w:val="4DA875BE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8A3"/>
    <w:multiLevelType w:val="multilevel"/>
    <w:tmpl w:val="A4745EF2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CDC"/>
    <w:multiLevelType w:val="multilevel"/>
    <w:tmpl w:val="6C7070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7DF4"/>
    <w:multiLevelType w:val="multilevel"/>
    <w:tmpl w:val="AFA86940"/>
    <w:lvl w:ilvl="0">
      <w:start w:val="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D73FE3"/>
    <w:multiLevelType w:val="multilevel"/>
    <w:tmpl w:val="74CC1A56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103C5B"/>
    <w:multiLevelType w:val="multilevel"/>
    <w:tmpl w:val="51466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E5"/>
    <w:rsid w:val="005207E5"/>
    <w:rsid w:val="00A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D21CC-D2C4-46E0-9F9D-42590D3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A2"/>
  </w:style>
  <w:style w:type="paragraph" w:styleId="Piedepgina">
    <w:name w:val="footer"/>
    <w:basedOn w:val="Normal"/>
    <w:link w:val="PiedepginaCar"/>
    <w:uiPriority w:val="99"/>
    <w:unhideWhenUsed/>
    <w:rsid w:val="0028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A2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FB3DB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convietas2">
    <w:name w:val="List Bullet 2"/>
    <w:basedOn w:val="Normal"/>
    <w:uiPriority w:val="99"/>
    <w:semiHidden/>
    <w:unhideWhenUsed/>
    <w:rsid w:val="004F5857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9359B6"/>
  </w:style>
  <w:style w:type="paragraph" w:styleId="Sinespaciado">
    <w:name w:val="No Spacing"/>
    <w:aliases w:val="Francesa,INAI"/>
    <w:link w:val="SinespaciadoCar"/>
    <w:uiPriority w:val="1"/>
    <w:qFormat/>
    <w:rsid w:val="0093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aliases w:val="Francesa Car,INAI Car"/>
    <w:link w:val="Sinespaciado"/>
    <w:uiPriority w:val="1"/>
    <w:locked/>
    <w:rsid w:val="009359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CmgUzIGoYayhDTnwav6hXFKfQ==">CgMxLjAyCGgudHlqY3d0MghoLmdqZGd4czIJaC4zem55c2g3MgloLjMwajB6bGw4AHIhMUVZNVc0RHdGbjdXNVBBUENTNGw5NlhWZWtLRXhaSFBk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INFOEM505</dc:creator>
  <cp:lastModifiedBy>Infoem590</cp:lastModifiedBy>
  <cp:revision>2</cp:revision>
  <dcterms:created xsi:type="dcterms:W3CDTF">2025-03-11T15:43:00Z</dcterms:created>
  <dcterms:modified xsi:type="dcterms:W3CDTF">2025-03-11T15:43:00Z</dcterms:modified>
</cp:coreProperties>
</file>