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535D1" w14:textId="2BB01B8B" w:rsidR="00DB6E90" w:rsidRPr="00B61E11" w:rsidRDefault="00DB6E90" w:rsidP="00B61E11">
      <w:pPr>
        <w:widowControl w:val="0"/>
        <w:spacing w:after="0" w:line="360" w:lineRule="auto"/>
        <w:ind w:right="-164"/>
        <w:contextualSpacing/>
        <w:jc w:val="both"/>
        <w:rPr>
          <w:rFonts w:ascii="Palatino Linotype" w:hAnsi="Palatino Linotype"/>
          <w:b/>
          <w:bCs/>
        </w:rPr>
      </w:pPr>
      <w:r w:rsidRPr="00B61E11">
        <w:rPr>
          <w:rFonts w:ascii="Palatino Linotype" w:hAnsi="Palatino Linotype" w:cs="Arial"/>
          <w:b/>
        </w:rPr>
        <w:t xml:space="preserve">VOTO DISIDENTE QUE FORMULA LA COMISIONADA SHARON CRISTINA MORALES MARTÍNEZ, EN RELACIÓN CON LA RESOLUCIÓN DEL RECURSO DE REVISIÓN </w:t>
      </w:r>
      <w:r w:rsidR="005C1B8D" w:rsidRPr="005C1B8D">
        <w:rPr>
          <w:rFonts w:ascii="Palatino Linotype" w:hAnsi="Palatino Linotype" w:cs="Arial"/>
          <w:b/>
        </w:rPr>
        <w:t>03075/INFOEM/IP/RR/2025</w:t>
      </w:r>
      <w:r w:rsidR="007807F4" w:rsidRPr="00B61E11">
        <w:rPr>
          <w:rFonts w:ascii="Palatino Linotype" w:hAnsi="Palatino Linotype" w:cs="Arial"/>
          <w:b/>
        </w:rPr>
        <w:t xml:space="preserve">, </w:t>
      </w:r>
      <w:r w:rsidRPr="00B61E11">
        <w:rPr>
          <w:rFonts w:ascii="Palatino Linotype" w:hAnsi="Palatino Linotype" w:cs="Arial"/>
          <w:b/>
        </w:rPr>
        <w:t xml:space="preserve">DICTADA POR EL PLENO DEL INSTITUTO DE TRANSPARENCIA, ACCESO A LA INFORMACIÓN PÚBLICA Y PROTECCIÓN DE DATOS PERSONALES DEL ESTADO DE MÉXICO Y MUNICIPIOS, EN LA </w:t>
      </w:r>
      <w:r w:rsidR="005C1B8D">
        <w:rPr>
          <w:rFonts w:ascii="Palatino Linotype" w:hAnsi="Palatino Linotype" w:cs="Arial"/>
          <w:b/>
        </w:rPr>
        <w:t>VIGÉSIMA PRIMERA</w:t>
      </w:r>
      <w:r w:rsidRPr="00B61E11">
        <w:rPr>
          <w:rFonts w:ascii="Palatino Linotype" w:hAnsi="Palatino Linotype" w:cs="Arial"/>
          <w:b/>
        </w:rPr>
        <w:t xml:space="preserve"> SESIÓN ORDINARIA CELEBRADA EL </w:t>
      </w:r>
      <w:r w:rsidR="005C1B8D">
        <w:rPr>
          <w:rFonts w:ascii="Palatino Linotype" w:hAnsi="Palatino Linotype" w:cs="Arial"/>
          <w:b/>
        </w:rPr>
        <w:t>ONCE</w:t>
      </w:r>
      <w:r w:rsidR="005C5958">
        <w:rPr>
          <w:rFonts w:ascii="Palatino Linotype" w:hAnsi="Palatino Linotype" w:cs="Arial"/>
          <w:b/>
        </w:rPr>
        <w:t xml:space="preserve"> DE </w:t>
      </w:r>
      <w:r w:rsidR="005C1B8D">
        <w:rPr>
          <w:rFonts w:ascii="Palatino Linotype" w:hAnsi="Palatino Linotype" w:cs="Arial"/>
          <w:b/>
        </w:rPr>
        <w:t xml:space="preserve">JUNIO </w:t>
      </w:r>
      <w:r w:rsidR="00545801">
        <w:rPr>
          <w:rFonts w:ascii="Palatino Linotype" w:hAnsi="Palatino Linotype" w:cs="Arial"/>
          <w:b/>
        </w:rPr>
        <w:t>DE DOS MIL VEINTICINCO</w:t>
      </w:r>
      <w:r w:rsidRPr="00B61E11">
        <w:rPr>
          <w:rFonts w:ascii="Palatino Linotype" w:hAnsi="Palatino Linotype"/>
          <w:b/>
          <w:bCs/>
        </w:rPr>
        <w:t>.</w:t>
      </w:r>
    </w:p>
    <w:p w14:paraId="3F81CFC1" w14:textId="77777777" w:rsidR="00235A94" w:rsidRPr="00B61E11" w:rsidRDefault="00235A94" w:rsidP="00B61E11">
      <w:pPr>
        <w:widowControl w:val="0"/>
        <w:spacing w:after="0" w:line="360" w:lineRule="auto"/>
        <w:ind w:right="-164"/>
        <w:contextualSpacing/>
        <w:jc w:val="both"/>
        <w:rPr>
          <w:rFonts w:ascii="Palatino Linotype" w:hAnsi="Palatino Linotype" w:cs="Arial"/>
          <w:b/>
        </w:rPr>
      </w:pPr>
    </w:p>
    <w:p w14:paraId="04E80ACD" w14:textId="7295E961" w:rsidR="005A133D" w:rsidRPr="00B61E11" w:rsidRDefault="00DB6E90" w:rsidP="00B61E11">
      <w:pPr>
        <w:spacing w:after="0" w:line="360" w:lineRule="auto"/>
        <w:jc w:val="both"/>
        <w:rPr>
          <w:rFonts w:ascii="Palatino Linotype" w:hAnsi="Palatino Linotype" w:cs="Arial"/>
        </w:rPr>
      </w:pPr>
      <w:r w:rsidRPr="00B61E11">
        <w:rPr>
          <w:rFonts w:ascii="Palatino Linotype" w:hAnsi="Palatino Linotype" w:cs="Arial"/>
        </w:rPr>
        <w:t>Con fundamento en lo dispuesto por el artículo 14, fracciones X y XI del Reglamento Interior del Instituto de Transparencia, Acceso a la Información Pública y Protección de Datos Personales del Estado de México y Municipios, la que suscribe</w:t>
      </w:r>
      <w:r w:rsidRPr="00B61E11">
        <w:rPr>
          <w:rFonts w:ascii="Palatino Linotype" w:hAnsi="Palatino Linotype" w:cs="Arial"/>
          <w:b/>
        </w:rPr>
        <w:t xml:space="preserve">, </w:t>
      </w:r>
      <w:r w:rsidRPr="00B61E11">
        <w:rPr>
          <w:rFonts w:ascii="Palatino Linotype" w:hAnsi="Palatino Linotype" w:cs="Arial"/>
        </w:rPr>
        <w:t xml:space="preserve">emite </w:t>
      </w:r>
      <w:r w:rsidRPr="00B61E11">
        <w:rPr>
          <w:rFonts w:ascii="Palatino Linotype" w:hAnsi="Palatino Linotype" w:cs="Arial"/>
          <w:b/>
        </w:rPr>
        <w:t xml:space="preserve">VOTO DISIDENTE </w:t>
      </w:r>
      <w:r w:rsidRPr="00B61E11">
        <w:rPr>
          <w:rFonts w:ascii="Palatino Linotype" w:hAnsi="Palatino Linotype" w:cs="Arial"/>
        </w:rPr>
        <w:t xml:space="preserve">respecto de la resolución dictada en el Recurso de Revisión </w:t>
      </w:r>
      <w:r w:rsidR="005C1B8D" w:rsidRPr="005C1B8D">
        <w:rPr>
          <w:rFonts w:ascii="Palatino Linotype" w:hAnsi="Palatino Linotype"/>
          <w:b/>
          <w:color w:val="000000" w:themeColor="text1"/>
        </w:rPr>
        <w:t>03075/INFOEM/IP/RR/2025</w:t>
      </w:r>
      <w:r w:rsidRPr="00B61E11">
        <w:rPr>
          <w:rFonts w:ascii="Palatino Linotype" w:hAnsi="Palatino Linotype"/>
          <w:b/>
          <w:bCs/>
        </w:rPr>
        <w:t>,</w:t>
      </w:r>
      <w:r w:rsidRPr="00B61E11">
        <w:rPr>
          <w:rFonts w:ascii="Palatino Linotype" w:hAnsi="Palatino Linotype" w:cs="Arial"/>
        </w:rPr>
        <w:t xml:space="preserve"> pronunciada por el Pleno de este Instituto ante el proyecto</w:t>
      </w:r>
      <w:r w:rsidR="007807F4" w:rsidRPr="00B61E11">
        <w:rPr>
          <w:rFonts w:ascii="Palatino Linotype" w:hAnsi="Palatino Linotype" w:cs="Arial"/>
        </w:rPr>
        <w:t xml:space="preserve"> </w:t>
      </w:r>
      <w:r w:rsidRPr="00B61E11">
        <w:rPr>
          <w:rFonts w:ascii="Palatino Linotype" w:hAnsi="Palatino Linotype" w:cs="Arial"/>
        </w:rPr>
        <w:t xml:space="preserve">presentado </w:t>
      </w:r>
      <w:r w:rsidR="00F1203E" w:rsidRPr="00B61E11">
        <w:rPr>
          <w:rFonts w:ascii="Palatino Linotype" w:hAnsi="Palatino Linotype" w:cs="Arial"/>
        </w:rPr>
        <w:t xml:space="preserve">por </w:t>
      </w:r>
      <w:r w:rsidR="0027205F">
        <w:rPr>
          <w:rFonts w:ascii="Palatino Linotype" w:hAnsi="Palatino Linotype" w:cs="Arial"/>
        </w:rPr>
        <w:t>el</w:t>
      </w:r>
      <w:r w:rsidR="007807F4" w:rsidRPr="00B61E11">
        <w:rPr>
          <w:rFonts w:ascii="Palatino Linotype" w:hAnsi="Palatino Linotype" w:cs="Arial"/>
        </w:rPr>
        <w:t xml:space="preserve"> </w:t>
      </w:r>
      <w:r w:rsidR="0027205F">
        <w:rPr>
          <w:rFonts w:ascii="Palatino Linotype" w:hAnsi="Palatino Linotype" w:cs="Arial"/>
          <w:b/>
          <w:bCs/>
        </w:rPr>
        <w:t xml:space="preserve">Comisionado Presidente </w:t>
      </w:r>
      <w:r w:rsidR="0027205F" w:rsidRPr="0027205F">
        <w:rPr>
          <w:rFonts w:ascii="Palatino Linotype" w:hAnsi="Palatino Linotype" w:cs="Arial"/>
          <w:b/>
        </w:rPr>
        <w:t>José Martínez Vilchis</w:t>
      </w:r>
      <w:r w:rsidR="005A133D" w:rsidRPr="00B61E11">
        <w:rPr>
          <w:rFonts w:ascii="Palatino Linotype" w:hAnsi="Palatino Linotype" w:cs="Arial"/>
        </w:rPr>
        <w:t>.</w:t>
      </w:r>
    </w:p>
    <w:p w14:paraId="1E8C3C0A" w14:textId="77777777" w:rsidR="005A133D" w:rsidRPr="00B61E11" w:rsidRDefault="005A133D" w:rsidP="00B61E11">
      <w:pPr>
        <w:spacing w:after="0" w:line="360" w:lineRule="auto"/>
        <w:jc w:val="both"/>
        <w:rPr>
          <w:rFonts w:ascii="Palatino Linotype" w:hAnsi="Palatino Linotype" w:cs="Arial"/>
        </w:rPr>
      </w:pPr>
    </w:p>
    <w:p w14:paraId="0603EB85" w14:textId="77777777" w:rsidR="0090184E" w:rsidRPr="00B61E11" w:rsidRDefault="0090184E" w:rsidP="00B61E11">
      <w:pPr>
        <w:numPr>
          <w:ilvl w:val="0"/>
          <w:numId w:val="20"/>
        </w:numPr>
        <w:pBdr>
          <w:top w:val="nil"/>
          <w:left w:val="nil"/>
          <w:bottom w:val="nil"/>
          <w:right w:val="nil"/>
          <w:between w:val="nil"/>
        </w:pBdr>
        <w:spacing w:after="0" w:line="360" w:lineRule="auto"/>
        <w:ind w:left="284" w:right="139" w:hanging="283"/>
        <w:jc w:val="both"/>
        <w:rPr>
          <w:rFonts w:ascii="Palatino Linotype" w:eastAsia="Palatino Linotype" w:hAnsi="Palatino Linotype" w:cs="Palatino Linotype"/>
        </w:rPr>
      </w:pPr>
      <w:r w:rsidRPr="00B61E11">
        <w:rPr>
          <w:rFonts w:ascii="Palatino Linotype" w:eastAsia="Palatino Linotype" w:hAnsi="Palatino Linotype" w:cs="Palatino Linotype"/>
          <w:b/>
        </w:rPr>
        <w:t>Antecedentes.</w:t>
      </w:r>
    </w:p>
    <w:p w14:paraId="4AC5F19F" w14:textId="77777777" w:rsidR="00DB6E90" w:rsidRPr="00B61E11" w:rsidRDefault="00DB6E90" w:rsidP="00B61E11">
      <w:pPr>
        <w:spacing w:after="0" w:line="360" w:lineRule="auto"/>
        <w:jc w:val="both"/>
        <w:rPr>
          <w:rFonts w:ascii="Palatino Linotype" w:hAnsi="Palatino Linotype"/>
        </w:rPr>
      </w:pPr>
    </w:p>
    <w:p w14:paraId="65CE4AEC" w14:textId="2D0F11D5" w:rsidR="003407F8" w:rsidRPr="00B61E11" w:rsidRDefault="00DB6E90" w:rsidP="00B61E11">
      <w:pPr>
        <w:spacing w:after="0" w:line="360" w:lineRule="auto"/>
        <w:jc w:val="both"/>
        <w:rPr>
          <w:rFonts w:ascii="Palatino Linotype" w:hAnsi="Palatino Linotype"/>
        </w:rPr>
      </w:pPr>
      <w:r w:rsidRPr="00B61E11">
        <w:rPr>
          <w:rFonts w:ascii="Palatino Linotype" w:hAnsi="Palatino Linotype"/>
        </w:rPr>
        <w:t xml:space="preserve">Tal y como quedó asentado en la resolución materia del presente voto, la parte recurrente requirió </w:t>
      </w:r>
      <w:r w:rsidR="007807F4" w:rsidRPr="00B61E11">
        <w:rPr>
          <w:rFonts w:ascii="Palatino Linotype" w:hAnsi="Palatino Linotype"/>
        </w:rPr>
        <w:t>de</w:t>
      </w:r>
      <w:r w:rsidR="00545801">
        <w:rPr>
          <w:rFonts w:ascii="Palatino Linotype" w:hAnsi="Palatino Linotype"/>
        </w:rPr>
        <w:t>l</w:t>
      </w:r>
      <w:r w:rsidR="007807F4" w:rsidRPr="00B61E11">
        <w:rPr>
          <w:rFonts w:ascii="Palatino Linotype" w:hAnsi="Palatino Linotype"/>
        </w:rPr>
        <w:t xml:space="preserve"> </w:t>
      </w:r>
      <w:r w:rsidR="005C1B8D" w:rsidRPr="005C1B8D">
        <w:rPr>
          <w:rFonts w:ascii="Palatino Linotype" w:hAnsi="Palatino Linotype"/>
          <w:b/>
        </w:rPr>
        <w:t xml:space="preserve">Ayuntamiento de Mexicaltzingo </w:t>
      </w:r>
      <w:r w:rsidR="007807F4" w:rsidRPr="00B61E11">
        <w:rPr>
          <w:rFonts w:ascii="Palatino Linotype" w:hAnsi="Palatino Linotype"/>
        </w:rPr>
        <w:t>(</w:t>
      </w:r>
      <w:r w:rsidRPr="00B61E11">
        <w:rPr>
          <w:rFonts w:ascii="Palatino Linotype" w:hAnsi="Palatino Linotype"/>
          <w:b/>
        </w:rPr>
        <w:t xml:space="preserve">SUJETO OBLIGADO </w:t>
      </w:r>
      <w:r w:rsidR="007807F4" w:rsidRPr="00B61E11">
        <w:rPr>
          <w:rFonts w:ascii="Palatino Linotype" w:hAnsi="Palatino Linotype"/>
          <w:bCs/>
        </w:rPr>
        <w:t>en adelante)</w:t>
      </w:r>
      <w:r w:rsidR="00955D03" w:rsidRPr="00B61E11">
        <w:rPr>
          <w:rFonts w:ascii="Palatino Linotype" w:hAnsi="Palatino Linotype"/>
          <w:bCs/>
        </w:rPr>
        <w:t>,</w:t>
      </w:r>
      <w:r w:rsidR="007807F4" w:rsidRPr="00B61E11">
        <w:rPr>
          <w:rFonts w:ascii="Palatino Linotype" w:hAnsi="Palatino Linotype"/>
          <w:bCs/>
        </w:rPr>
        <w:t xml:space="preserve"> </w:t>
      </w:r>
      <w:r w:rsidR="00246790" w:rsidRPr="00B61E11">
        <w:rPr>
          <w:rFonts w:ascii="Palatino Linotype" w:hAnsi="Palatino Linotype"/>
        </w:rPr>
        <w:t xml:space="preserve">lo siguiente: </w:t>
      </w:r>
    </w:p>
    <w:p w14:paraId="251B73BD" w14:textId="77777777" w:rsidR="00246790" w:rsidRDefault="00246790" w:rsidP="00B61E11">
      <w:pPr>
        <w:spacing w:after="0" w:line="360" w:lineRule="auto"/>
        <w:jc w:val="both"/>
        <w:rPr>
          <w:rFonts w:ascii="Palatino Linotype" w:hAnsi="Palatino Linotype"/>
        </w:rPr>
      </w:pPr>
    </w:p>
    <w:p w14:paraId="65773005" w14:textId="77777777" w:rsidR="005C1B8D" w:rsidRPr="00ED7B11" w:rsidRDefault="005C1B8D" w:rsidP="005C1B8D">
      <w:pPr>
        <w:spacing w:line="276" w:lineRule="auto"/>
        <w:ind w:left="284" w:right="332"/>
        <w:jc w:val="both"/>
        <w:rPr>
          <w:rFonts w:ascii="Palatino Linotype" w:hAnsi="Palatino Linotype"/>
          <w:i/>
          <w:szCs w:val="20"/>
          <w:lang w:val="es-ES_tradnl"/>
        </w:rPr>
      </w:pPr>
      <w:r w:rsidRPr="00ED7B11">
        <w:rPr>
          <w:rFonts w:ascii="Palatino Linotype" w:hAnsi="Palatino Linotype"/>
          <w:i/>
          <w:szCs w:val="20"/>
        </w:rPr>
        <w:t>“</w:t>
      </w:r>
      <w:r w:rsidRPr="00384812">
        <w:rPr>
          <w:rFonts w:ascii="Palatino Linotype" w:hAnsi="Palatino Linotype"/>
          <w:i/>
          <w:color w:val="000000"/>
        </w:rPr>
        <w:t>Ingresos percibidos en la tesorería del año 2018, 2021, 2023, 2024, 2025 por motivo de recaudación</w:t>
      </w:r>
      <w:r w:rsidRPr="00384812">
        <w:rPr>
          <w:rFonts w:ascii="Palatino Linotype" w:hAnsi="Palatino Linotype"/>
          <w:i/>
        </w:rPr>
        <w:t>.”</w:t>
      </w:r>
      <w:r w:rsidRPr="00ED7B11">
        <w:rPr>
          <w:rFonts w:ascii="Palatino Linotype" w:hAnsi="Palatino Linotype"/>
          <w:i/>
          <w:szCs w:val="20"/>
          <w:lang w:val="es-ES_tradnl"/>
        </w:rPr>
        <w:t xml:space="preserve"> (Sic).</w:t>
      </w:r>
    </w:p>
    <w:p w14:paraId="5EC35659" w14:textId="77777777" w:rsidR="005C5958" w:rsidRPr="00B61E11" w:rsidRDefault="005C5958" w:rsidP="00B61E11">
      <w:pPr>
        <w:spacing w:after="0" w:line="360" w:lineRule="auto"/>
        <w:jc w:val="both"/>
        <w:rPr>
          <w:rFonts w:ascii="Palatino Linotype" w:hAnsi="Palatino Linotype" w:cs="Arial"/>
        </w:rPr>
      </w:pPr>
    </w:p>
    <w:p w14:paraId="2C01B7A3" w14:textId="649DE25C" w:rsidR="005C1B8D" w:rsidRDefault="005C5958" w:rsidP="005C1B8D">
      <w:pPr>
        <w:spacing w:before="240" w:after="240" w:line="360" w:lineRule="auto"/>
        <w:jc w:val="both"/>
        <w:rPr>
          <w:rFonts w:ascii="Palatino Linotype" w:hAnsi="Palatino Linotype" w:cs="Arial"/>
          <w:bCs/>
        </w:rPr>
      </w:pPr>
      <w:r w:rsidRPr="00875477">
        <w:rPr>
          <w:rFonts w:ascii="Palatino Linotype" w:hAnsi="Palatino Linotype"/>
        </w:rPr>
        <w:lastRenderedPageBreak/>
        <w:t xml:space="preserve">Asimismo, en </w:t>
      </w:r>
      <w:r w:rsidR="005C1B8D">
        <w:rPr>
          <w:rFonts w:ascii="Palatino Linotype" w:hAnsi="Palatino Linotype"/>
        </w:rPr>
        <w:t>el</w:t>
      </w:r>
      <w:r w:rsidRPr="00875477">
        <w:rPr>
          <w:rFonts w:ascii="Palatino Linotype" w:hAnsi="Palatino Linotype"/>
        </w:rPr>
        <w:t xml:space="preserve"> expediente electrónico, se aprecia</w:t>
      </w:r>
      <w:r>
        <w:rPr>
          <w:rFonts w:ascii="Palatino Linotype" w:hAnsi="Palatino Linotype"/>
        </w:rPr>
        <w:t xml:space="preserve">, </w:t>
      </w:r>
      <w:r w:rsidR="005C1B8D">
        <w:rPr>
          <w:rFonts w:ascii="Palatino Linotype" w:hAnsi="Palatino Linotype"/>
        </w:rPr>
        <w:t xml:space="preserve">que </w:t>
      </w:r>
      <w:r>
        <w:rPr>
          <w:rFonts w:ascii="Palatino Linotype" w:hAnsi="Palatino Linotype"/>
        </w:rPr>
        <w:t xml:space="preserve">el </w:t>
      </w:r>
      <w:r w:rsidRPr="00591702">
        <w:rPr>
          <w:rFonts w:ascii="Palatino Linotype" w:hAnsi="Palatino Linotype"/>
          <w:b/>
          <w:bCs/>
        </w:rPr>
        <w:t>Sujeto Obligado</w:t>
      </w:r>
      <w:r>
        <w:rPr>
          <w:rFonts w:ascii="Palatino Linotype" w:hAnsi="Palatino Linotype"/>
        </w:rPr>
        <w:t xml:space="preserve"> dio respuesta</w:t>
      </w:r>
      <w:r w:rsidR="005C1B8D">
        <w:rPr>
          <w:rFonts w:ascii="Palatino Linotype" w:hAnsi="Palatino Linotype"/>
        </w:rPr>
        <w:t xml:space="preserve"> mediante un documento</w:t>
      </w:r>
      <w:r>
        <w:rPr>
          <w:rFonts w:ascii="Palatino Linotype" w:hAnsi="Palatino Linotype"/>
        </w:rPr>
        <w:t xml:space="preserve"> </w:t>
      </w:r>
      <w:r w:rsidR="005C1B8D">
        <w:rPr>
          <w:rFonts w:ascii="Palatino Linotype" w:hAnsi="Palatino Linotype"/>
          <w:szCs w:val="21"/>
        </w:rPr>
        <w:t xml:space="preserve">ad hoc </w:t>
      </w:r>
      <w:r w:rsidR="005C1B8D">
        <w:rPr>
          <w:rFonts w:ascii="Palatino Linotype" w:hAnsi="Palatino Linotype" w:cs="Arial"/>
          <w:bCs/>
        </w:rPr>
        <w:t xml:space="preserve">en los términos siguientes; </w:t>
      </w:r>
    </w:p>
    <w:p w14:paraId="58EEB431" w14:textId="77777777" w:rsidR="005C1B8D" w:rsidRPr="00384812" w:rsidRDefault="005C1B8D" w:rsidP="005C1B8D">
      <w:pPr>
        <w:spacing w:before="240" w:after="240" w:line="360" w:lineRule="auto"/>
        <w:jc w:val="center"/>
        <w:rPr>
          <w:rFonts w:ascii="Palatino Linotype" w:eastAsia="Palatino Linotype" w:hAnsi="Palatino Linotype" w:cs="Palatino Linotype"/>
        </w:rPr>
      </w:pPr>
      <w:r w:rsidRPr="0061704B">
        <w:rPr>
          <w:rFonts w:ascii="Palatino Linotype" w:eastAsia="Palatino Linotype" w:hAnsi="Palatino Linotype" w:cs="Palatino Linotype"/>
          <w:noProof/>
        </w:rPr>
        <w:drawing>
          <wp:inline distT="0" distB="0" distL="0" distR="0" wp14:anchorId="4C1EBA18" wp14:editId="51D6005C">
            <wp:extent cx="5030467" cy="1762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51442" cy="1769472"/>
                    </a:xfrm>
                    <a:prstGeom prst="rect">
                      <a:avLst/>
                    </a:prstGeom>
                  </pic:spPr>
                </pic:pic>
              </a:graphicData>
            </a:graphic>
          </wp:inline>
        </w:drawing>
      </w:r>
    </w:p>
    <w:p w14:paraId="58786684" w14:textId="6CE4EF41" w:rsidR="005C5958" w:rsidRPr="00875477" w:rsidRDefault="005C1B8D" w:rsidP="005C5958">
      <w:pPr>
        <w:spacing w:line="360" w:lineRule="auto"/>
        <w:jc w:val="both"/>
        <w:rPr>
          <w:rFonts w:ascii="Palatino Linotype" w:hAnsi="Palatino Linotype" w:cs="Arial"/>
        </w:rPr>
      </w:pPr>
      <w:r>
        <w:rPr>
          <w:rFonts w:ascii="Palatino Linotype" w:hAnsi="Palatino Linotype"/>
        </w:rPr>
        <w:t>Posteriormente e</w:t>
      </w:r>
      <w:r w:rsidR="005C5958" w:rsidRPr="00875477">
        <w:rPr>
          <w:rFonts w:ascii="Palatino Linotype" w:hAnsi="Palatino Linotype"/>
        </w:rPr>
        <w:t xml:space="preserve">l </w:t>
      </w:r>
      <w:r w:rsidRPr="005C1B8D">
        <w:rPr>
          <w:rFonts w:ascii="Palatino Linotype" w:hAnsi="Palatino Linotype"/>
        </w:rPr>
        <w:t>dieciocho de marzo de dos mil veinticinco</w:t>
      </w:r>
      <w:r w:rsidR="005C5958" w:rsidRPr="00875477">
        <w:rPr>
          <w:rFonts w:ascii="Palatino Linotype" w:hAnsi="Palatino Linotype"/>
        </w:rPr>
        <w:t>, la</w:t>
      </w:r>
      <w:r w:rsidR="005C5958">
        <w:rPr>
          <w:rFonts w:ascii="Palatino Linotype" w:hAnsi="Palatino Linotype"/>
        </w:rPr>
        <w:t xml:space="preserve"> </w:t>
      </w:r>
      <w:r w:rsidRPr="005C1B8D">
        <w:rPr>
          <w:rFonts w:ascii="Palatino Linotype" w:hAnsi="Palatino Linotype"/>
          <w:b/>
        </w:rPr>
        <w:t>PARTE RECURRENTE</w:t>
      </w:r>
      <w:r>
        <w:rPr>
          <w:rFonts w:ascii="Palatino Linotype" w:hAnsi="Palatino Linotype"/>
          <w:b/>
        </w:rPr>
        <w:t xml:space="preserve"> </w:t>
      </w:r>
      <w:r w:rsidR="005C5958" w:rsidRPr="00875477">
        <w:rPr>
          <w:rFonts w:ascii="Palatino Linotype" w:hAnsi="Palatino Linotype"/>
        </w:rPr>
        <w:t xml:space="preserve">interpuso </w:t>
      </w:r>
      <w:r>
        <w:rPr>
          <w:rFonts w:ascii="Palatino Linotype" w:hAnsi="Palatino Linotype"/>
        </w:rPr>
        <w:t xml:space="preserve">el recurso de </w:t>
      </w:r>
      <w:r w:rsidR="005C5958" w:rsidRPr="00875477">
        <w:rPr>
          <w:rFonts w:ascii="Palatino Linotype" w:hAnsi="Palatino Linotype"/>
        </w:rPr>
        <w:t>revisión al que se le</w:t>
      </w:r>
      <w:r w:rsidR="005C5958">
        <w:rPr>
          <w:rFonts w:ascii="Palatino Linotype" w:hAnsi="Palatino Linotype"/>
        </w:rPr>
        <w:t>s</w:t>
      </w:r>
      <w:r w:rsidR="005C5958" w:rsidRPr="00875477">
        <w:rPr>
          <w:rFonts w:ascii="Palatino Linotype" w:hAnsi="Palatino Linotype"/>
        </w:rPr>
        <w:t xml:space="preserve"> asignó el número de expediente con número de folio </w:t>
      </w:r>
      <w:r>
        <w:rPr>
          <w:rFonts w:ascii="Palatino Linotype" w:hAnsi="Palatino Linotype"/>
          <w:lang w:val="es-ES_tradnl"/>
        </w:rPr>
        <w:t>03075/INFOEM/IP/RR/2025</w:t>
      </w:r>
      <w:r w:rsidR="005C5958" w:rsidRPr="00875477">
        <w:rPr>
          <w:rFonts w:ascii="Palatino Linotype" w:hAnsi="Palatino Linotype"/>
        </w:rPr>
        <w:t>, señalando como acto</w:t>
      </w:r>
      <w:r>
        <w:rPr>
          <w:rFonts w:ascii="Palatino Linotype" w:hAnsi="Palatino Linotype"/>
        </w:rPr>
        <w:t xml:space="preserve"> impugnado</w:t>
      </w:r>
      <w:r w:rsidR="005C5958" w:rsidRPr="00875477">
        <w:rPr>
          <w:rFonts w:ascii="Palatino Linotype" w:hAnsi="Palatino Linotype"/>
        </w:rPr>
        <w:t xml:space="preserve"> y como razones o motivos de inconformidad los siguientes</w:t>
      </w:r>
      <w:r w:rsidR="005C5958" w:rsidRPr="00875477">
        <w:rPr>
          <w:rFonts w:ascii="Palatino Linotype" w:hAnsi="Palatino Linotype" w:cs="Arial"/>
        </w:rPr>
        <w:t>:</w:t>
      </w:r>
    </w:p>
    <w:p w14:paraId="4D3B5429" w14:textId="441501E8" w:rsidR="005C1B8D" w:rsidRPr="00D81BD0" w:rsidRDefault="005C1B8D" w:rsidP="005C1B8D">
      <w:pPr>
        <w:spacing w:after="0" w:line="259" w:lineRule="auto"/>
        <w:jc w:val="both"/>
        <w:rPr>
          <w:rFonts w:ascii="Palatino Linotype" w:hAnsi="Palatino Linotype" w:cs="Arial"/>
          <w:b/>
          <w:i/>
          <w:u w:val="single"/>
        </w:rPr>
      </w:pPr>
      <w:r w:rsidRPr="00B7320F">
        <w:rPr>
          <w:rFonts w:ascii="Palatino Linotype" w:hAnsi="Palatino Linotype" w:cs="Arial"/>
          <w:b/>
          <w:sz w:val="26"/>
          <w:szCs w:val="26"/>
        </w:rPr>
        <w:t>Acto Impugnado</w:t>
      </w:r>
      <w:r>
        <w:rPr>
          <w:rFonts w:ascii="Palatino Linotype" w:hAnsi="Palatino Linotype" w:cs="Arial"/>
          <w:b/>
          <w:sz w:val="26"/>
          <w:szCs w:val="26"/>
        </w:rPr>
        <w:t xml:space="preserve"> </w:t>
      </w:r>
      <w:r w:rsidR="00526849">
        <w:rPr>
          <w:rFonts w:ascii="Palatino Linotype" w:hAnsi="Palatino Linotype" w:cs="Arial"/>
          <w:b/>
          <w:sz w:val="26"/>
          <w:szCs w:val="26"/>
        </w:rPr>
        <w:t xml:space="preserve">y </w:t>
      </w:r>
      <w:r w:rsidR="00526849" w:rsidRPr="00384812">
        <w:rPr>
          <w:rFonts w:ascii="Palatino Linotype" w:hAnsi="Palatino Linotype" w:cs="Arial"/>
          <w:b/>
          <w:sz w:val="26"/>
          <w:szCs w:val="26"/>
        </w:rPr>
        <w:t>Razones</w:t>
      </w:r>
      <w:r w:rsidRPr="00B7320F">
        <w:rPr>
          <w:rFonts w:ascii="Palatino Linotype" w:hAnsi="Palatino Linotype" w:cs="Arial"/>
          <w:b/>
          <w:sz w:val="26"/>
          <w:szCs w:val="26"/>
        </w:rPr>
        <w:t xml:space="preserve"> o Motivos de Inconformidad:</w:t>
      </w:r>
      <w:r w:rsidRPr="00384812">
        <w:rPr>
          <w:rFonts w:ascii="Palatino Linotype" w:hAnsi="Palatino Linotype" w:cs="Arial"/>
          <w:b/>
          <w:i/>
        </w:rPr>
        <w:t xml:space="preserve"> </w:t>
      </w:r>
      <w:r w:rsidRPr="00384812">
        <w:rPr>
          <w:rFonts w:ascii="Palatino Linotype" w:eastAsiaTheme="minorHAnsi" w:hAnsi="Palatino Linotype" w:cstheme="minorBidi"/>
          <w:i/>
          <w:color w:val="000000"/>
          <w:lang w:eastAsia="en-US"/>
        </w:rPr>
        <w:t>“</w:t>
      </w:r>
      <w:r w:rsidRPr="00D81BD0">
        <w:rPr>
          <w:rFonts w:ascii="Palatino Linotype" w:hAnsi="Palatino Linotype"/>
          <w:i/>
          <w:color w:val="000000"/>
          <w:u w:val="single"/>
        </w:rPr>
        <w:t>OCULTAN LA INFORMACION VERDADERA</w:t>
      </w:r>
      <w:r w:rsidRPr="00D81BD0">
        <w:rPr>
          <w:rFonts w:ascii="Palatino Linotype" w:eastAsiaTheme="minorHAnsi" w:hAnsi="Palatino Linotype" w:cstheme="minorBidi"/>
          <w:i/>
          <w:color w:val="000000"/>
          <w:u w:val="single"/>
          <w:lang w:eastAsia="en-US"/>
        </w:rPr>
        <w:t>.” (Sic).</w:t>
      </w:r>
    </w:p>
    <w:p w14:paraId="73FD32CB" w14:textId="77777777" w:rsidR="005C5958" w:rsidRDefault="005C5958" w:rsidP="005C5958">
      <w:pPr>
        <w:spacing w:line="360" w:lineRule="auto"/>
        <w:contextualSpacing/>
        <w:jc w:val="both"/>
        <w:rPr>
          <w:rFonts w:ascii="Palatino Linotype" w:hAnsi="Palatino Linotype"/>
        </w:rPr>
      </w:pPr>
    </w:p>
    <w:p w14:paraId="2111CBF7" w14:textId="20B0B483" w:rsidR="00390D3F" w:rsidRPr="0027205F" w:rsidRDefault="00AF6589" w:rsidP="005C1B8D">
      <w:pPr>
        <w:spacing w:line="360" w:lineRule="auto"/>
        <w:jc w:val="both"/>
        <w:rPr>
          <w:rFonts w:ascii="Palatino Linotype" w:hAnsi="Palatino Linotype" w:cs="Arial"/>
          <w:sz w:val="20"/>
        </w:rPr>
      </w:pPr>
      <w:r w:rsidRPr="00AF6589">
        <w:rPr>
          <w:rFonts w:ascii="Palatino Linotype" w:eastAsia="Palatino Linotype" w:hAnsi="Palatino Linotype" w:cs="Palatino Linotype"/>
        </w:rPr>
        <w:t>Durante la etapa de manifestaciones</w:t>
      </w:r>
      <w:r>
        <w:rPr>
          <w:rFonts w:ascii="Palatino Linotype" w:eastAsia="Palatino Linotype" w:hAnsi="Palatino Linotype" w:cs="Palatino Linotype"/>
          <w:b/>
        </w:rPr>
        <w:t xml:space="preserve"> </w:t>
      </w:r>
      <w:r w:rsidRPr="00AF6589">
        <w:rPr>
          <w:rFonts w:ascii="Palatino Linotype" w:eastAsia="Palatino Linotype" w:hAnsi="Palatino Linotype" w:cs="Palatino Linotype"/>
          <w:b/>
        </w:rPr>
        <w:t>EL SUJETO OBLIGADO</w:t>
      </w:r>
      <w:r w:rsidR="00390D3F">
        <w:rPr>
          <w:rFonts w:ascii="Palatino Linotype" w:hAnsi="Palatino Linotype" w:cs="Arial"/>
        </w:rPr>
        <w:t xml:space="preserve">, </w:t>
      </w:r>
      <w:r w:rsidR="005C1B8D">
        <w:rPr>
          <w:rFonts w:ascii="Palatino Linotype" w:hAnsi="Palatino Linotype" w:cs="Arial"/>
        </w:rPr>
        <w:t>remitió su informe justificado con el cual únicamente ratificó su respuesta.</w:t>
      </w:r>
    </w:p>
    <w:p w14:paraId="5AFB03EC" w14:textId="10647C8D" w:rsidR="00A15339" w:rsidRPr="00B61E11" w:rsidRDefault="00A15339" w:rsidP="00B61E11">
      <w:pPr>
        <w:spacing w:after="0" w:line="360" w:lineRule="auto"/>
        <w:ind w:right="49"/>
        <w:jc w:val="both"/>
        <w:rPr>
          <w:rFonts w:ascii="Palatino Linotype" w:hAnsi="Palatino Linotype"/>
        </w:rPr>
      </w:pPr>
    </w:p>
    <w:p w14:paraId="48E3C2C8" w14:textId="4DB3B1E2" w:rsidR="00E56817" w:rsidRPr="00B61E11" w:rsidRDefault="00FB639E" w:rsidP="00B61E11">
      <w:pPr>
        <w:spacing w:after="0" w:line="360" w:lineRule="auto"/>
        <w:ind w:right="49"/>
        <w:jc w:val="both"/>
        <w:rPr>
          <w:rFonts w:ascii="Palatino Linotype" w:eastAsia="Palatino Linotype" w:hAnsi="Palatino Linotype" w:cs="Palatino Linotype"/>
        </w:rPr>
      </w:pPr>
      <w:r w:rsidRPr="00B61E11">
        <w:rPr>
          <w:rFonts w:ascii="Palatino Linotype" w:eastAsia="Palatino Linotype" w:hAnsi="Palatino Linotype" w:cs="Palatino Linotype"/>
        </w:rPr>
        <w:t>Así las cosa</w:t>
      </w:r>
      <w:r w:rsidR="00FE28FB" w:rsidRPr="00B61E11">
        <w:rPr>
          <w:rFonts w:ascii="Palatino Linotype" w:eastAsia="Palatino Linotype" w:hAnsi="Palatino Linotype" w:cs="Palatino Linotype"/>
        </w:rPr>
        <w:t xml:space="preserve">s, </w:t>
      </w:r>
      <w:r w:rsidR="00FE3A02" w:rsidRPr="00B61E11">
        <w:rPr>
          <w:rFonts w:ascii="Palatino Linotype" w:eastAsia="Palatino Linotype" w:hAnsi="Palatino Linotype" w:cs="Palatino Linotype"/>
        </w:rPr>
        <w:t xml:space="preserve">la </w:t>
      </w:r>
      <w:r w:rsidR="00955D03" w:rsidRPr="00B61E11">
        <w:rPr>
          <w:rFonts w:ascii="Palatino Linotype" w:eastAsia="Palatino Linotype" w:hAnsi="Palatino Linotype" w:cs="Palatino Linotype"/>
        </w:rPr>
        <w:t>mayoría simple del Pleno consideró que:</w:t>
      </w:r>
    </w:p>
    <w:p w14:paraId="488A8F2F" w14:textId="77777777" w:rsidR="005C1B8D" w:rsidRPr="005C1B8D" w:rsidRDefault="00962974" w:rsidP="005C1B8D">
      <w:pPr>
        <w:pBdr>
          <w:top w:val="nil"/>
          <w:left w:val="nil"/>
          <w:bottom w:val="nil"/>
          <w:right w:val="nil"/>
          <w:between w:val="nil"/>
        </w:pBdr>
        <w:spacing w:after="0" w:line="240" w:lineRule="auto"/>
        <w:ind w:left="851" w:right="616"/>
        <w:jc w:val="both"/>
        <w:rPr>
          <w:rFonts w:ascii="Palatino Linotype" w:eastAsia="Palatino Linotype" w:hAnsi="Palatino Linotype" w:cs="Palatino Linotype"/>
          <w:b/>
          <w:i/>
          <w:lang w:val="es-ES_tradnl"/>
        </w:rPr>
      </w:pPr>
      <w:r w:rsidRPr="00B61E11">
        <w:rPr>
          <w:rFonts w:ascii="Palatino Linotype" w:eastAsia="Palatino Linotype" w:hAnsi="Palatino Linotype" w:cs="Palatino Linotype"/>
          <w:i/>
        </w:rPr>
        <w:t>“</w:t>
      </w:r>
      <w:r w:rsidR="005C1B8D" w:rsidRPr="005C1B8D">
        <w:rPr>
          <w:rFonts w:ascii="Palatino Linotype" w:eastAsia="Palatino Linotype" w:hAnsi="Palatino Linotype" w:cs="Palatino Linotype"/>
          <w:b/>
          <w:i/>
          <w:lang w:val="es-ES_tradnl"/>
        </w:rPr>
        <w:t xml:space="preserve">Primero. </w:t>
      </w:r>
      <w:r w:rsidR="005C1B8D" w:rsidRPr="005C1B8D">
        <w:rPr>
          <w:rFonts w:ascii="Palatino Linotype" w:eastAsia="Palatino Linotype" w:hAnsi="Palatino Linotype" w:cs="Palatino Linotype"/>
          <w:i/>
          <w:lang w:val="es-ES_tradnl"/>
        </w:rPr>
        <w:t xml:space="preserve">Se </w:t>
      </w:r>
      <w:r w:rsidR="005C1B8D" w:rsidRPr="005C1B8D">
        <w:rPr>
          <w:rFonts w:ascii="Palatino Linotype" w:eastAsia="Palatino Linotype" w:hAnsi="Palatino Linotype" w:cs="Palatino Linotype"/>
          <w:b/>
          <w:i/>
          <w:lang w:val="es-ES_tradnl"/>
        </w:rPr>
        <w:t>Sobresee</w:t>
      </w:r>
      <w:r w:rsidR="005C1B8D" w:rsidRPr="005C1B8D">
        <w:rPr>
          <w:rFonts w:ascii="Palatino Linotype" w:eastAsia="Palatino Linotype" w:hAnsi="Palatino Linotype" w:cs="Palatino Linotype"/>
          <w:i/>
          <w:lang w:val="es-ES_tradnl"/>
        </w:rPr>
        <w:t xml:space="preserve"> el recurso de revisión número </w:t>
      </w:r>
      <w:r w:rsidR="005C1B8D" w:rsidRPr="005C1B8D">
        <w:rPr>
          <w:rFonts w:ascii="Palatino Linotype" w:eastAsia="Palatino Linotype" w:hAnsi="Palatino Linotype" w:cs="Palatino Linotype"/>
          <w:b/>
          <w:i/>
          <w:lang w:val="es-ES_tradnl"/>
        </w:rPr>
        <w:t>03075/INFOEM/IP/RR/2025</w:t>
      </w:r>
      <w:r w:rsidR="005C1B8D" w:rsidRPr="005C1B8D">
        <w:rPr>
          <w:rFonts w:ascii="Palatino Linotype" w:eastAsia="Palatino Linotype" w:hAnsi="Palatino Linotype" w:cs="Palatino Linotype"/>
          <w:i/>
          <w:lang w:val="es-ES_tradnl"/>
        </w:rPr>
        <w:t xml:space="preserve">, por actualizarse la causal de improcedencia prevista en la fracción IV del artículo 192, en relación con la fracción V del artículo 191, </w:t>
      </w:r>
      <w:r w:rsidR="005C1B8D" w:rsidRPr="005C1B8D">
        <w:rPr>
          <w:rFonts w:ascii="Palatino Linotype" w:eastAsia="Palatino Linotype" w:hAnsi="Palatino Linotype" w:cs="Palatino Linotype"/>
          <w:i/>
          <w:lang w:val="es-ES_tradnl"/>
        </w:rPr>
        <w:lastRenderedPageBreak/>
        <w:t xml:space="preserve">ambos de la Ley de Transparencia vigente en la entidad, en términos del </w:t>
      </w:r>
      <w:r w:rsidR="005C1B8D" w:rsidRPr="005C1B8D">
        <w:rPr>
          <w:rFonts w:ascii="Palatino Linotype" w:eastAsia="Palatino Linotype" w:hAnsi="Palatino Linotype" w:cs="Palatino Linotype"/>
          <w:b/>
          <w:i/>
          <w:lang w:val="es-ES_tradnl"/>
        </w:rPr>
        <w:t>Considerando Tercero</w:t>
      </w:r>
      <w:r w:rsidR="005C1B8D" w:rsidRPr="005C1B8D">
        <w:rPr>
          <w:rFonts w:ascii="Palatino Linotype" w:eastAsia="Palatino Linotype" w:hAnsi="Palatino Linotype" w:cs="Palatino Linotype"/>
          <w:i/>
          <w:lang w:val="es-ES_tradnl"/>
        </w:rPr>
        <w:t xml:space="preserve"> de la presente resolución.</w:t>
      </w:r>
    </w:p>
    <w:p w14:paraId="06A3D931" w14:textId="77777777" w:rsidR="005C1B8D" w:rsidRPr="005C1B8D" w:rsidRDefault="005C1B8D" w:rsidP="005C1B8D">
      <w:pPr>
        <w:pBdr>
          <w:top w:val="nil"/>
          <w:left w:val="nil"/>
          <w:bottom w:val="nil"/>
          <w:right w:val="nil"/>
          <w:between w:val="nil"/>
        </w:pBdr>
        <w:spacing w:after="0" w:line="240" w:lineRule="auto"/>
        <w:ind w:left="851" w:right="616"/>
        <w:jc w:val="both"/>
        <w:rPr>
          <w:rFonts w:ascii="Palatino Linotype" w:eastAsia="Palatino Linotype" w:hAnsi="Palatino Linotype" w:cs="Palatino Linotype"/>
          <w:b/>
          <w:i/>
          <w:lang w:val="es-ES_tradnl"/>
        </w:rPr>
      </w:pPr>
    </w:p>
    <w:p w14:paraId="56CFDB7B" w14:textId="77777777" w:rsidR="005C1B8D" w:rsidRPr="005C1B8D" w:rsidRDefault="005C1B8D" w:rsidP="005C1B8D">
      <w:pPr>
        <w:pBdr>
          <w:top w:val="nil"/>
          <w:left w:val="nil"/>
          <w:bottom w:val="nil"/>
          <w:right w:val="nil"/>
          <w:between w:val="nil"/>
        </w:pBdr>
        <w:spacing w:after="0" w:line="240" w:lineRule="auto"/>
        <w:ind w:left="851" w:right="616"/>
        <w:jc w:val="both"/>
        <w:rPr>
          <w:rFonts w:ascii="Palatino Linotype" w:eastAsia="Palatino Linotype" w:hAnsi="Palatino Linotype" w:cs="Palatino Linotype"/>
          <w:b/>
          <w:i/>
          <w:lang w:val="es-ES_tradnl"/>
        </w:rPr>
      </w:pPr>
      <w:r w:rsidRPr="005C1B8D">
        <w:rPr>
          <w:rFonts w:ascii="Palatino Linotype" w:eastAsia="Palatino Linotype" w:hAnsi="Palatino Linotype" w:cs="Palatino Linotype"/>
          <w:b/>
          <w:i/>
          <w:lang w:val="es-ES_tradnl"/>
        </w:rPr>
        <w:t>Segundo. Notifíquese</w:t>
      </w:r>
      <w:r w:rsidRPr="005C1B8D">
        <w:rPr>
          <w:rFonts w:ascii="Palatino Linotype" w:eastAsia="Palatino Linotype" w:hAnsi="Palatino Linotype" w:cs="Palatino Linotype"/>
          <w:i/>
          <w:lang w:val="es-ES_tradnl"/>
        </w:rPr>
        <w:t xml:space="preserve"> vía </w:t>
      </w:r>
      <w:r w:rsidRPr="005C1B8D">
        <w:rPr>
          <w:rFonts w:ascii="Palatino Linotype" w:eastAsia="Palatino Linotype" w:hAnsi="Palatino Linotype" w:cs="Palatino Linotype"/>
          <w:b/>
          <w:i/>
          <w:lang w:val="es-ES_tradnl"/>
        </w:rPr>
        <w:t>SAIMEX</w:t>
      </w:r>
      <w:r w:rsidRPr="005C1B8D">
        <w:rPr>
          <w:rFonts w:ascii="Palatino Linotype" w:eastAsia="Palatino Linotype" w:hAnsi="Palatino Linotype" w:cs="Palatino Linotype"/>
          <w:i/>
          <w:lang w:val="es-ES_tradnl"/>
        </w:rPr>
        <w:t>, al Responsable de la Unidad de Transparencia del Sujeto Obligado la presente resolución, para su conocimiento, lo anterior en términos del artículo 189 de la Ley de Transparencia y Acceso a la Información Pública del Estado de México y Municipios.</w:t>
      </w:r>
    </w:p>
    <w:p w14:paraId="7F23DDBD" w14:textId="77777777" w:rsidR="005C1B8D" w:rsidRPr="005C1B8D" w:rsidRDefault="005C1B8D" w:rsidP="005C1B8D">
      <w:pPr>
        <w:pBdr>
          <w:top w:val="nil"/>
          <w:left w:val="nil"/>
          <w:bottom w:val="nil"/>
          <w:right w:val="nil"/>
          <w:between w:val="nil"/>
        </w:pBdr>
        <w:spacing w:after="0" w:line="240" w:lineRule="auto"/>
        <w:ind w:left="851" w:right="616"/>
        <w:jc w:val="both"/>
        <w:rPr>
          <w:rFonts w:ascii="Palatino Linotype" w:eastAsia="Palatino Linotype" w:hAnsi="Palatino Linotype" w:cs="Palatino Linotype"/>
          <w:b/>
          <w:i/>
          <w:lang w:val="es-ES_tradnl"/>
        </w:rPr>
      </w:pPr>
    </w:p>
    <w:p w14:paraId="1953E513" w14:textId="1DFE969F" w:rsidR="003407F8" w:rsidRPr="00B61E11" w:rsidRDefault="005C1B8D" w:rsidP="005C1B8D">
      <w:pPr>
        <w:pBdr>
          <w:top w:val="nil"/>
          <w:left w:val="nil"/>
          <w:bottom w:val="nil"/>
          <w:right w:val="nil"/>
          <w:between w:val="nil"/>
        </w:pBdr>
        <w:spacing w:after="0" w:line="240" w:lineRule="auto"/>
        <w:ind w:left="851" w:right="616"/>
        <w:jc w:val="both"/>
        <w:rPr>
          <w:rFonts w:ascii="Palatino Linotype" w:eastAsia="Palatino Linotype" w:hAnsi="Palatino Linotype" w:cs="Palatino Linotype"/>
          <w:i/>
        </w:rPr>
      </w:pPr>
      <w:r w:rsidRPr="005C1B8D">
        <w:rPr>
          <w:rFonts w:ascii="Palatino Linotype" w:eastAsia="Palatino Linotype" w:hAnsi="Palatino Linotype" w:cs="Palatino Linotype"/>
          <w:b/>
          <w:i/>
          <w:lang w:val="es-ES_tradnl"/>
        </w:rPr>
        <w:t>Tercero.  Notifíquese</w:t>
      </w:r>
      <w:r w:rsidRPr="005C1B8D">
        <w:rPr>
          <w:rFonts w:ascii="Palatino Linotype" w:eastAsia="Palatino Linotype" w:hAnsi="Palatino Linotype" w:cs="Palatino Linotype"/>
          <w:i/>
          <w:lang w:val="es-ES_tradnl"/>
        </w:rPr>
        <w:t xml:space="preserve"> vía SAIMEX, la presente resolución a </w:t>
      </w:r>
      <w:r w:rsidRPr="005C1B8D">
        <w:rPr>
          <w:rFonts w:ascii="Palatino Linotype" w:eastAsia="Palatino Linotype" w:hAnsi="Palatino Linotype" w:cs="Palatino Linotype"/>
          <w:b/>
          <w:i/>
          <w:lang w:val="es-ES_tradnl"/>
        </w:rPr>
        <w:t>la parte Recurrente</w:t>
      </w:r>
      <w:r w:rsidRPr="005C1B8D">
        <w:rPr>
          <w:rFonts w:ascii="Palatino Linotype" w:eastAsia="Palatino Linotype" w:hAnsi="Palatino Linotype" w:cs="Palatino Linotype"/>
          <w:i/>
          <w:lang w:val="es-ES_tradnl"/>
        </w:rPr>
        <w:t>, y hágase del conocimiento que en caso de que considere que la presente resolución le causa algún perjuicio, podrá promover el Juicio de Amparo en los términos de las leyes aplicables, de acuerdo con lo estipulado por el artículo 196 de la Ley de Transparencia y Acceso a la Información Pública del Estado de México y Municipios</w:t>
      </w:r>
      <w:r w:rsidRPr="005C1B8D">
        <w:rPr>
          <w:rFonts w:ascii="Palatino Linotype" w:eastAsia="Palatino Linotype" w:hAnsi="Palatino Linotype" w:cs="Palatino Linotype"/>
          <w:b/>
          <w:i/>
          <w:lang w:val="es-ES_tradnl"/>
        </w:rPr>
        <w:t>.</w:t>
      </w:r>
      <w:r w:rsidR="003407F8" w:rsidRPr="00B61E11">
        <w:rPr>
          <w:rFonts w:ascii="Palatino Linotype" w:eastAsia="Palatino Linotype" w:hAnsi="Palatino Linotype" w:cs="Palatino Linotype"/>
          <w:i/>
        </w:rPr>
        <w:t>” (</w:t>
      </w:r>
      <w:r w:rsidR="00E546E3" w:rsidRPr="00B61E11">
        <w:rPr>
          <w:rFonts w:ascii="Palatino Linotype" w:eastAsia="Palatino Linotype" w:hAnsi="Palatino Linotype" w:cs="Palatino Linotype"/>
          <w:i/>
        </w:rPr>
        <w:t>S</w:t>
      </w:r>
      <w:r w:rsidR="003407F8" w:rsidRPr="00B61E11">
        <w:rPr>
          <w:rFonts w:ascii="Palatino Linotype" w:eastAsia="Palatino Linotype" w:hAnsi="Palatino Linotype" w:cs="Palatino Linotype"/>
          <w:i/>
        </w:rPr>
        <w:t xml:space="preserve">ic) </w:t>
      </w:r>
    </w:p>
    <w:p w14:paraId="719CB75B" w14:textId="77777777" w:rsidR="003407F8" w:rsidRPr="00B61E11" w:rsidRDefault="003407F8" w:rsidP="00B61E11">
      <w:pPr>
        <w:spacing w:after="0" w:line="240" w:lineRule="auto"/>
        <w:ind w:right="49"/>
        <w:jc w:val="both"/>
        <w:rPr>
          <w:rFonts w:ascii="Palatino Linotype" w:eastAsia="Palatino Linotype" w:hAnsi="Palatino Linotype" w:cs="Palatino Linotype"/>
        </w:rPr>
      </w:pPr>
    </w:p>
    <w:p w14:paraId="293A0849" w14:textId="66DCFBAF" w:rsidR="00E2330C" w:rsidRDefault="005363CC" w:rsidP="00B61E11">
      <w:pPr>
        <w:pBdr>
          <w:top w:val="nil"/>
          <w:left w:val="nil"/>
          <w:bottom w:val="nil"/>
          <w:right w:val="nil"/>
          <w:between w:val="nil"/>
        </w:pBdr>
        <w:spacing w:after="0" w:line="360" w:lineRule="auto"/>
        <w:jc w:val="both"/>
        <w:rPr>
          <w:rFonts w:ascii="Palatino Linotype" w:hAnsi="Palatino Linotype" w:cs="Arial"/>
          <w:lang w:val="es-ES"/>
        </w:rPr>
      </w:pPr>
      <w:r w:rsidRPr="00B61E11">
        <w:rPr>
          <w:rFonts w:ascii="Palatino Linotype" w:eastAsia="Palatino Linotype" w:hAnsi="Palatino Linotype" w:cs="Palatino Linotype"/>
        </w:rPr>
        <w:t>Bajo tal razonamiento se determinó</w:t>
      </w:r>
      <w:r w:rsidR="00E56817" w:rsidRPr="00B61E11">
        <w:rPr>
          <w:rFonts w:ascii="Palatino Linotype" w:eastAsia="Palatino Linotype" w:hAnsi="Palatino Linotype" w:cs="Palatino Linotype"/>
        </w:rPr>
        <w:t xml:space="preserve"> </w:t>
      </w:r>
      <w:r w:rsidR="00CE2E56" w:rsidRPr="00B61E11">
        <w:rPr>
          <w:rFonts w:ascii="Palatino Linotype" w:eastAsia="Palatino Linotype" w:hAnsi="Palatino Linotype" w:cs="Palatino Linotype"/>
          <w:b/>
        </w:rPr>
        <w:t>SOBRESEER</w:t>
      </w:r>
      <w:r w:rsidR="00CE2E56" w:rsidRPr="00B61E11">
        <w:rPr>
          <w:rFonts w:ascii="Palatino Linotype" w:eastAsia="Palatino Linotype" w:hAnsi="Palatino Linotype" w:cs="Palatino Linotype"/>
        </w:rPr>
        <w:t xml:space="preserve"> el asunto</w:t>
      </w:r>
      <w:r w:rsidR="00FB639E" w:rsidRPr="00B61E11">
        <w:rPr>
          <w:rFonts w:ascii="Palatino Linotype" w:eastAsia="Palatino Linotype" w:hAnsi="Palatino Linotype" w:cs="Palatino Linotype"/>
        </w:rPr>
        <w:t xml:space="preserve">, </w:t>
      </w:r>
      <w:r w:rsidR="00E56817" w:rsidRPr="00B61E11">
        <w:rPr>
          <w:rFonts w:ascii="Palatino Linotype" w:eastAsia="Palatino Linotype" w:hAnsi="Palatino Linotype" w:cs="Palatino Linotype"/>
        </w:rPr>
        <w:t>de conformidad a lo establecido</w:t>
      </w:r>
      <w:r w:rsidR="00E2330C" w:rsidRPr="00B61E11">
        <w:rPr>
          <w:rFonts w:ascii="Palatino Linotype" w:hAnsi="Palatino Linotype" w:cs="Arial"/>
        </w:rPr>
        <w:t xml:space="preserve"> en </w:t>
      </w:r>
      <w:r w:rsidR="00CE2E56" w:rsidRPr="00B61E11">
        <w:rPr>
          <w:rFonts w:ascii="Palatino Linotype" w:hAnsi="Palatino Linotype" w:cs="Arial"/>
          <w:lang w:val="es-ES"/>
        </w:rPr>
        <w:t xml:space="preserve">la fracción </w:t>
      </w:r>
      <w:r w:rsidR="00547670">
        <w:rPr>
          <w:rFonts w:ascii="Palatino Linotype" w:hAnsi="Palatino Linotype" w:cs="Arial"/>
          <w:lang w:val="es-ES"/>
        </w:rPr>
        <w:t>V</w:t>
      </w:r>
      <w:r w:rsidR="00955D03" w:rsidRPr="00B61E11">
        <w:rPr>
          <w:rFonts w:ascii="Palatino Linotype" w:hAnsi="Palatino Linotype" w:cs="Arial"/>
          <w:lang w:val="es-ES"/>
        </w:rPr>
        <w:t>,</w:t>
      </w:r>
      <w:r w:rsidR="00CE2E56" w:rsidRPr="00B61E11">
        <w:rPr>
          <w:rFonts w:ascii="Palatino Linotype" w:hAnsi="Palatino Linotype" w:cs="Arial"/>
          <w:lang w:val="es-ES"/>
        </w:rPr>
        <w:t xml:space="preserve"> del artículo </w:t>
      </w:r>
      <w:r w:rsidR="00547670">
        <w:rPr>
          <w:rFonts w:ascii="Palatino Linotype" w:hAnsi="Palatino Linotype" w:cs="Arial"/>
          <w:lang w:val="es-ES"/>
        </w:rPr>
        <w:t>191</w:t>
      </w:r>
      <w:r w:rsidR="00955D03" w:rsidRPr="00B61E11">
        <w:rPr>
          <w:rFonts w:ascii="Palatino Linotype" w:hAnsi="Palatino Linotype" w:cs="Arial"/>
          <w:lang w:val="es-ES"/>
        </w:rPr>
        <w:t>,</w:t>
      </w:r>
      <w:r w:rsidR="00CE2E56" w:rsidRPr="00B61E11">
        <w:rPr>
          <w:rFonts w:ascii="Palatino Linotype" w:hAnsi="Palatino Linotype" w:cs="Arial"/>
          <w:lang w:val="es-ES"/>
        </w:rPr>
        <w:t xml:space="preserve"> de la </w:t>
      </w:r>
      <w:r w:rsidR="00547670" w:rsidRPr="00547670">
        <w:rPr>
          <w:rFonts w:ascii="Palatino Linotype" w:hAnsi="Palatino Linotype" w:cs="Arial"/>
          <w:lang w:val="es-ES"/>
        </w:rPr>
        <w:t>Ley de Transparencia y Acceso a la Información Pública del Estado de México y Municipios</w:t>
      </w:r>
      <w:r w:rsidR="00E2330C" w:rsidRPr="00B61E11">
        <w:rPr>
          <w:rFonts w:ascii="Palatino Linotype" w:hAnsi="Palatino Linotype" w:cs="Arial"/>
          <w:lang w:val="es-ES"/>
        </w:rPr>
        <w:t>.</w:t>
      </w:r>
    </w:p>
    <w:p w14:paraId="2A7202C7" w14:textId="77777777" w:rsidR="007F3312" w:rsidRPr="00B61E11" w:rsidRDefault="007F3312" w:rsidP="00B61E11">
      <w:pPr>
        <w:pBdr>
          <w:top w:val="nil"/>
          <w:left w:val="nil"/>
          <w:bottom w:val="nil"/>
          <w:right w:val="nil"/>
          <w:between w:val="nil"/>
        </w:pBdr>
        <w:spacing w:after="0" w:line="360" w:lineRule="auto"/>
        <w:jc w:val="both"/>
        <w:rPr>
          <w:rFonts w:ascii="Palatino Linotype" w:hAnsi="Palatino Linotype" w:cs="Arial"/>
          <w:lang w:val="es-ES"/>
        </w:rPr>
      </w:pPr>
    </w:p>
    <w:p w14:paraId="05551C04" w14:textId="744672F3" w:rsidR="004E12F6" w:rsidRPr="00B61E11" w:rsidRDefault="0090184E" w:rsidP="007F3312">
      <w:pPr>
        <w:pStyle w:val="Prrafodelista"/>
        <w:numPr>
          <w:ilvl w:val="0"/>
          <w:numId w:val="20"/>
        </w:numPr>
        <w:pBdr>
          <w:top w:val="nil"/>
          <w:left w:val="nil"/>
          <w:bottom w:val="nil"/>
          <w:right w:val="nil"/>
          <w:between w:val="nil"/>
        </w:pBdr>
        <w:spacing w:after="240" w:line="360" w:lineRule="auto"/>
        <w:ind w:left="284" w:hanging="284"/>
        <w:jc w:val="both"/>
        <w:rPr>
          <w:rFonts w:ascii="Palatino Linotype" w:eastAsia="Palatino Linotype" w:hAnsi="Palatino Linotype" w:cs="Palatino Linotype"/>
          <w:sz w:val="22"/>
          <w:szCs w:val="22"/>
        </w:rPr>
      </w:pPr>
      <w:r w:rsidRPr="00B61E11">
        <w:rPr>
          <w:rFonts w:ascii="Palatino Linotype" w:eastAsia="Palatino Linotype" w:hAnsi="Palatino Linotype" w:cs="Palatino Linotype"/>
          <w:b/>
          <w:sz w:val="22"/>
          <w:szCs w:val="22"/>
        </w:rPr>
        <w:t xml:space="preserve">Razones del Voto </w:t>
      </w:r>
      <w:r w:rsidR="00845E69" w:rsidRPr="00B61E11">
        <w:rPr>
          <w:rFonts w:ascii="Palatino Linotype" w:eastAsia="Palatino Linotype" w:hAnsi="Palatino Linotype" w:cs="Palatino Linotype"/>
          <w:b/>
          <w:sz w:val="22"/>
          <w:szCs w:val="22"/>
        </w:rPr>
        <w:t>Disidente</w:t>
      </w:r>
      <w:bookmarkStart w:id="0" w:name="_heading=h.1fob9te" w:colFirst="0" w:colLast="0"/>
      <w:bookmarkEnd w:id="0"/>
    </w:p>
    <w:p w14:paraId="664DDF7B" w14:textId="3CB01CAF" w:rsidR="007D08D9" w:rsidRDefault="007D08D9" w:rsidP="007D08D9">
      <w:pPr>
        <w:spacing w:after="0" w:line="360" w:lineRule="auto"/>
        <w:jc w:val="both"/>
        <w:rPr>
          <w:rFonts w:ascii="Palatino Linotype" w:eastAsia="Palatino Linotype" w:hAnsi="Palatino Linotype" w:cs="Palatino Linotype"/>
        </w:rPr>
      </w:pPr>
      <w:r w:rsidRPr="007D08D9">
        <w:rPr>
          <w:rFonts w:ascii="Palatino Linotype" w:eastAsia="Palatino Linotype" w:hAnsi="Palatino Linotype" w:cs="Palatino Linotype"/>
        </w:rPr>
        <w:t xml:space="preserve">El sentido adoptado por la ponencia resolutora consiste en sobreseer los recursos de revisión, bajo el argumento de que se actualiza la causal prevista en el </w:t>
      </w:r>
      <w:r w:rsidR="00547670" w:rsidRPr="00B61E11">
        <w:rPr>
          <w:rFonts w:ascii="Palatino Linotype" w:hAnsi="Palatino Linotype" w:cs="Arial"/>
          <w:lang w:val="es-ES"/>
        </w:rPr>
        <w:t xml:space="preserve">artículo </w:t>
      </w:r>
      <w:r w:rsidR="00547670">
        <w:rPr>
          <w:rFonts w:ascii="Palatino Linotype" w:hAnsi="Palatino Linotype" w:cs="Arial"/>
          <w:lang w:val="es-ES"/>
        </w:rPr>
        <w:t>191</w:t>
      </w:r>
      <w:r w:rsidR="00547670" w:rsidRPr="00B61E11">
        <w:rPr>
          <w:rFonts w:ascii="Palatino Linotype" w:hAnsi="Palatino Linotype" w:cs="Arial"/>
          <w:lang w:val="es-ES"/>
        </w:rPr>
        <w:t>,</w:t>
      </w:r>
      <w:r w:rsidR="00547670">
        <w:rPr>
          <w:rFonts w:ascii="Palatino Linotype" w:hAnsi="Palatino Linotype" w:cs="Arial"/>
          <w:lang w:val="es-ES"/>
        </w:rPr>
        <w:t xml:space="preserve"> fracción V</w:t>
      </w:r>
      <w:r w:rsidR="00547670" w:rsidRPr="00B61E11">
        <w:rPr>
          <w:rFonts w:ascii="Palatino Linotype" w:hAnsi="Palatino Linotype" w:cs="Arial"/>
          <w:lang w:val="es-ES"/>
        </w:rPr>
        <w:t xml:space="preserve"> de la </w:t>
      </w:r>
      <w:r w:rsidR="00547670" w:rsidRPr="00547670">
        <w:rPr>
          <w:rFonts w:ascii="Palatino Linotype" w:hAnsi="Palatino Linotype" w:cs="Arial"/>
          <w:lang w:val="es-ES"/>
        </w:rPr>
        <w:t>Ley de Transparencia y Acceso a la Información Pública del Estado de México y Municipios</w:t>
      </w:r>
      <w:r w:rsidRPr="007D08D9">
        <w:rPr>
          <w:rFonts w:ascii="Palatino Linotype" w:eastAsia="Palatino Linotype" w:hAnsi="Palatino Linotype" w:cs="Palatino Linotype"/>
        </w:rPr>
        <w:t xml:space="preserve">, al considerar que </w:t>
      </w:r>
      <w:r w:rsidR="00547670">
        <w:rPr>
          <w:rFonts w:ascii="Palatino Linotype" w:eastAsia="Palatino Linotype" w:hAnsi="Palatino Linotype" w:cs="Palatino Linotype"/>
        </w:rPr>
        <w:t>LA PARTE RECURRENTE está impugnando la veracidad de la respuesta emitida por el SUJETO OBLIGADO</w:t>
      </w:r>
      <w:r w:rsidRPr="007D08D9">
        <w:rPr>
          <w:rFonts w:ascii="Palatino Linotype" w:eastAsia="Palatino Linotype" w:hAnsi="Palatino Linotype" w:cs="Palatino Linotype"/>
        </w:rPr>
        <w:t>. No obstante, difiero de manera integral de dicho razonamiento, por estimar que se trata de una incorrecta interpretación y aplicación de los supuestos normativos.</w:t>
      </w:r>
    </w:p>
    <w:p w14:paraId="4B492C28" w14:textId="5970BF19" w:rsidR="00547670" w:rsidRDefault="00547670" w:rsidP="007D08D9">
      <w:pPr>
        <w:spacing w:after="0" w:line="360" w:lineRule="auto"/>
        <w:jc w:val="both"/>
        <w:rPr>
          <w:rFonts w:ascii="Palatino Linotype" w:eastAsia="Palatino Linotype" w:hAnsi="Palatino Linotype" w:cs="Palatino Linotype"/>
        </w:rPr>
      </w:pPr>
    </w:p>
    <w:p w14:paraId="131286BF" w14:textId="77777777" w:rsidR="0060100B" w:rsidRDefault="00547670" w:rsidP="00547670">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Considero </w:t>
      </w:r>
      <w:r w:rsidRPr="00547670">
        <w:rPr>
          <w:rFonts w:ascii="Palatino Linotype" w:eastAsia="Palatino Linotype" w:hAnsi="Palatino Linotype" w:cs="Palatino Linotype"/>
        </w:rPr>
        <w:t>que el sobreseimiento aprobado vulnera el principio de máxima publicidad y restringe injustificadamente el ejercicio del dere</w:t>
      </w:r>
      <w:r>
        <w:rPr>
          <w:rFonts w:ascii="Palatino Linotype" w:eastAsia="Palatino Linotype" w:hAnsi="Palatino Linotype" w:cs="Palatino Linotype"/>
        </w:rPr>
        <w:t xml:space="preserve">cho de acceso a la información. </w:t>
      </w:r>
      <w:r w:rsidRPr="00547670">
        <w:rPr>
          <w:rFonts w:ascii="Palatino Linotype" w:eastAsia="Palatino Linotype" w:hAnsi="Palatino Linotype" w:cs="Palatino Linotype"/>
        </w:rPr>
        <w:t xml:space="preserve">A mi juicio, la ponencia resolutora incurre en una omisión </w:t>
      </w:r>
      <w:r>
        <w:rPr>
          <w:rFonts w:ascii="Palatino Linotype" w:eastAsia="Palatino Linotype" w:hAnsi="Palatino Linotype" w:cs="Palatino Linotype"/>
        </w:rPr>
        <w:t xml:space="preserve">al no entrar al estudio de fondo del asunto </w:t>
      </w:r>
      <w:r w:rsidR="0060100B">
        <w:rPr>
          <w:rFonts w:ascii="Palatino Linotype" w:eastAsia="Palatino Linotype" w:hAnsi="Palatino Linotype" w:cs="Palatino Linotype"/>
        </w:rPr>
        <w:t>puesto que asevera que LA PARTE RECURRENTE duda de la veracidad al momento de interponer el recurso, no obstante d</w:t>
      </w:r>
      <w:r w:rsidRPr="00547670">
        <w:rPr>
          <w:rFonts w:ascii="Palatino Linotype" w:eastAsia="Palatino Linotype" w:hAnsi="Palatino Linotype" w:cs="Palatino Linotype"/>
        </w:rPr>
        <w:t xml:space="preserve">e conformidad con los artículos 13 y 181 </w:t>
      </w:r>
      <w:r w:rsidR="0060100B">
        <w:rPr>
          <w:rFonts w:ascii="Palatino Linotype" w:eastAsia="Palatino Linotype" w:hAnsi="Palatino Linotype" w:cs="Palatino Linotype"/>
        </w:rPr>
        <w:t>de la Ley en la materia</w:t>
      </w:r>
      <w:r w:rsidRPr="00547670">
        <w:rPr>
          <w:rFonts w:ascii="Palatino Linotype" w:eastAsia="Palatino Linotype" w:hAnsi="Palatino Linotype" w:cs="Palatino Linotype"/>
        </w:rPr>
        <w:t xml:space="preserve">, este Instituto tiene la obligación de actuar con perspectiva garantista, ya sea supliendo la deficiencia del agravio en beneficio del recurrente, o bien, </w:t>
      </w:r>
      <w:r w:rsidR="0060100B">
        <w:rPr>
          <w:rFonts w:ascii="Palatino Linotype" w:eastAsia="Palatino Linotype" w:hAnsi="Palatino Linotype" w:cs="Palatino Linotype"/>
        </w:rPr>
        <w:t xml:space="preserve">previniendo a los recurrente </w:t>
      </w:r>
      <w:r w:rsidRPr="00547670">
        <w:rPr>
          <w:rFonts w:ascii="Palatino Linotype" w:eastAsia="Palatino Linotype" w:hAnsi="Palatino Linotype" w:cs="Palatino Linotype"/>
        </w:rPr>
        <w:t>formalmente para que subsane</w:t>
      </w:r>
      <w:r w:rsidR="0060100B">
        <w:rPr>
          <w:rFonts w:ascii="Palatino Linotype" w:eastAsia="Palatino Linotype" w:hAnsi="Palatino Linotype" w:cs="Palatino Linotype"/>
        </w:rPr>
        <w:t xml:space="preserve">n </w:t>
      </w:r>
      <w:r w:rsidRPr="00547670">
        <w:rPr>
          <w:rFonts w:ascii="Palatino Linotype" w:eastAsia="Palatino Linotype" w:hAnsi="Palatino Linotype" w:cs="Palatino Linotype"/>
        </w:rPr>
        <w:t>la</w:t>
      </w:r>
      <w:r w:rsidR="0060100B">
        <w:rPr>
          <w:rFonts w:ascii="Palatino Linotype" w:eastAsia="Palatino Linotype" w:hAnsi="Palatino Linotype" w:cs="Palatino Linotype"/>
        </w:rPr>
        <w:t>s</w:t>
      </w:r>
      <w:r w:rsidRPr="00547670">
        <w:rPr>
          <w:rFonts w:ascii="Palatino Linotype" w:eastAsia="Palatino Linotype" w:hAnsi="Palatino Linotype" w:cs="Palatino Linotype"/>
        </w:rPr>
        <w:t xml:space="preserve"> irregularidad</w:t>
      </w:r>
      <w:r w:rsidR="0060100B">
        <w:rPr>
          <w:rFonts w:ascii="Palatino Linotype" w:eastAsia="Palatino Linotype" w:hAnsi="Palatino Linotype" w:cs="Palatino Linotype"/>
        </w:rPr>
        <w:t>es</w:t>
      </w:r>
      <w:r w:rsidRPr="00547670">
        <w:rPr>
          <w:rFonts w:ascii="Palatino Linotype" w:eastAsia="Palatino Linotype" w:hAnsi="Palatino Linotype" w:cs="Palatino Linotype"/>
        </w:rPr>
        <w:t xml:space="preserve"> detectada</w:t>
      </w:r>
      <w:r w:rsidR="0060100B">
        <w:rPr>
          <w:rFonts w:ascii="Palatino Linotype" w:eastAsia="Palatino Linotype" w:hAnsi="Palatino Linotype" w:cs="Palatino Linotype"/>
        </w:rPr>
        <w:t>s al momento de la interposición de sus recursos</w:t>
      </w:r>
      <w:r w:rsidRPr="00547670">
        <w:rPr>
          <w:rFonts w:ascii="Palatino Linotype" w:eastAsia="Palatino Linotype" w:hAnsi="Palatino Linotype" w:cs="Palatino Linotype"/>
        </w:rPr>
        <w:t xml:space="preserve">. </w:t>
      </w:r>
    </w:p>
    <w:p w14:paraId="31B51990" w14:textId="77777777" w:rsidR="0060100B" w:rsidRDefault="0060100B" w:rsidP="00547670">
      <w:pPr>
        <w:spacing w:after="0" w:line="360" w:lineRule="auto"/>
        <w:jc w:val="both"/>
        <w:rPr>
          <w:rFonts w:ascii="Palatino Linotype" w:eastAsia="Palatino Linotype" w:hAnsi="Palatino Linotype" w:cs="Palatino Linotype"/>
        </w:rPr>
      </w:pPr>
    </w:p>
    <w:p w14:paraId="07851193" w14:textId="40AFC213" w:rsidR="00547670" w:rsidRPr="00547670" w:rsidRDefault="00547670" w:rsidP="00547670">
      <w:pPr>
        <w:spacing w:after="0" w:line="360" w:lineRule="auto"/>
        <w:jc w:val="both"/>
        <w:rPr>
          <w:rFonts w:ascii="Palatino Linotype" w:eastAsia="Palatino Linotype" w:hAnsi="Palatino Linotype" w:cs="Palatino Linotype"/>
        </w:rPr>
      </w:pPr>
      <w:r w:rsidRPr="00547670">
        <w:rPr>
          <w:rFonts w:ascii="Palatino Linotype" w:eastAsia="Palatino Linotype" w:hAnsi="Palatino Linotype" w:cs="Palatino Linotype"/>
        </w:rPr>
        <w:t>En este caso, no se optó por ninguna de las dos vías. Se tramitó el medio de impugnación, pero al momento de resolver, se desestimó con base en una interpretación restrictiva del agravio, lo que considero incorrecto.</w:t>
      </w:r>
    </w:p>
    <w:p w14:paraId="16FFF728" w14:textId="77777777" w:rsidR="00547670" w:rsidRPr="00547670" w:rsidRDefault="00547670" w:rsidP="00547670">
      <w:pPr>
        <w:spacing w:after="0" w:line="360" w:lineRule="auto"/>
        <w:jc w:val="both"/>
        <w:rPr>
          <w:rFonts w:ascii="Palatino Linotype" w:eastAsia="Palatino Linotype" w:hAnsi="Palatino Linotype" w:cs="Palatino Linotype"/>
        </w:rPr>
      </w:pPr>
    </w:p>
    <w:p w14:paraId="74B97E0A" w14:textId="77777777" w:rsidR="00547670" w:rsidRPr="00547670" w:rsidRDefault="00547670" w:rsidP="00547670">
      <w:pPr>
        <w:spacing w:after="0" w:line="360" w:lineRule="auto"/>
        <w:jc w:val="both"/>
        <w:rPr>
          <w:rFonts w:ascii="Palatino Linotype" w:eastAsia="Palatino Linotype" w:hAnsi="Palatino Linotype" w:cs="Palatino Linotype"/>
        </w:rPr>
      </w:pPr>
      <w:r w:rsidRPr="00547670">
        <w:rPr>
          <w:rFonts w:ascii="Palatino Linotype" w:eastAsia="Palatino Linotype" w:hAnsi="Palatino Linotype" w:cs="Palatino Linotype"/>
        </w:rPr>
        <w:t>La expresión de la recurrente —“ocultan la información verdadera”— fue interpretada como una mera duda subjetiva, insuficiente para configurar una inconformidad válida. Sin embargo, esta lectura es limitada y omite considerar que dicha frase puede expresar, razonablemente, una queja por entrega incompleta, por alteración o por ausencia de la información originalmente solicitada. Esta interpretación es no solo plausible, sino obligada, cuando el órgano garante actúa bajo el principio pro persona y la tutela efectiva del derecho a saber.</w:t>
      </w:r>
    </w:p>
    <w:p w14:paraId="0B254E01" w14:textId="77777777" w:rsidR="00547670" w:rsidRPr="00547670" w:rsidRDefault="00547670" w:rsidP="00547670">
      <w:pPr>
        <w:spacing w:after="0" w:line="360" w:lineRule="auto"/>
        <w:jc w:val="both"/>
        <w:rPr>
          <w:rFonts w:ascii="Palatino Linotype" w:eastAsia="Palatino Linotype" w:hAnsi="Palatino Linotype" w:cs="Palatino Linotype"/>
        </w:rPr>
      </w:pPr>
    </w:p>
    <w:p w14:paraId="312E4652" w14:textId="77777777" w:rsidR="00547670" w:rsidRPr="00547670" w:rsidRDefault="00547670" w:rsidP="00547670">
      <w:pPr>
        <w:spacing w:after="0" w:line="360" w:lineRule="auto"/>
        <w:jc w:val="both"/>
        <w:rPr>
          <w:rFonts w:ascii="Palatino Linotype" w:eastAsia="Palatino Linotype" w:hAnsi="Palatino Linotype" w:cs="Palatino Linotype"/>
        </w:rPr>
      </w:pPr>
      <w:r w:rsidRPr="00547670">
        <w:rPr>
          <w:rFonts w:ascii="Palatino Linotype" w:eastAsia="Palatino Linotype" w:hAnsi="Palatino Linotype" w:cs="Palatino Linotype"/>
        </w:rPr>
        <w:t xml:space="preserve">En efecto, lo que la ciudadana plantea no es una mera sospecha sin fundamento, sino una inconformidad que debía haber sido analizada con mayor profundidad. Si existía </w:t>
      </w:r>
      <w:r w:rsidRPr="00547670">
        <w:rPr>
          <w:rFonts w:ascii="Palatino Linotype" w:eastAsia="Palatino Linotype" w:hAnsi="Palatino Linotype" w:cs="Palatino Linotype"/>
        </w:rPr>
        <w:lastRenderedPageBreak/>
        <w:t>ambigüedad en la formulación del agravio, correspondía a este Instituto prevenirla o suplir la deficiencia, pero no desestimar su reclamo sin otorgarle la oportunidad procesal de aclararlo. La falta de prevención procesal se convierte aquí en una forma de denegación del derecho.</w:t>
      </w:r>
    </w:p>
    <w:p w14:paraId="574C75FA" w14:textId="77777777" w:rsidR="00547670" w:rsidRPr="00547670" w:rsidRDefault="00547670" w:rsidP="00547670">
      <w:pPr>
        <w:spacing w:after="0" w:line="360" w:lineRule="auto"/>
        <w:jc w:val="both"/>
        <w:rPr>
          <w:rFonts w:ascii="Palatino Linotype" w:eastAsia="Palatino Linotype" w:hAnsi="Palatino Linotype" w:cs="Palatino Linotype"/>
        </w:rPr>
      </w:pPr>
    </w:p>
    <w:p w14:paraId="2B56EEE2" w14:textId="5B4D014B" w:rsidR="00547670" w:rsidRPr="00547670" w:rsidRDefault="00547670" w:rsidP="00547670">
      <w:pPr>
        <w:spacing w:after="0" w:line="360" w:lineRule="auto"/>
        <w:jc w:val="both"/>
        <w:rPr>
          <w:rFonts w:ascii="Palatino Linotype" w:eastAsia="Palatino Linotype" w:hAnsi="Palatino Linotype" w:cs="Palatino Linotype"/>
        </w:rPr>
      </w:pPr>
      <w:r w:rsidRPr="00547670">
        <w:rPr>
          <w:rFonts w:ascii="Palatino Linotype" w:eastAsia="Palatino Linotype" w:hAnsi="Palatino Linotype" w:cs="Palatino Linotype"/>
        </w:rPr>
        <w:t xml:space="preserve">Más aún, del análisis de la respuesta emitida por el Sujeto Obligado, se desprenden elementos que debieron motivar una revisión de fondo. El archivo entregado niega contar con información de determinados años sin justificar dicha inexistencia y, respecto de otros periodos, proporciona hipervínculos inoperantes o que conducen a páginas que no contienen la información requerida. Estos elementos refuerzan la sospecha de una entrega parcial o deficiente, y debieron haber sido suficientes para </w:t>
      </w:r>
      <w:r w:rsidR="009D1469">
        <w:rPr>
          <w:rFonts w:ascii="Palatino Linotype" w:eastAsia="Palatino Linotype" w:hAnsi="Palatino Linotype" w:cs="Palatino Linotype"/>
        </w:rPr>
        <w:t>entrar al fondo del asunto</w:t>
      </w:r>
      <w:r w:rsidRPr="00547670">
        <w:rPr>
          <w:rFonts w:ascii="Palatino Linotype" w:eastAsia="Palatino Linotype" w:hAnsi="Palatino Linotype" w:cs="Palatino Linotype"/>
        </w:rPr>
        <w:t>.</w:t>
      </w:r>
    </w:p>
    <w:p w14:paraId="41171FA1" w14:textId="77777777" w:rsidR="00547670" w:rsidRPr="00547670" w:rsidRDefault="00547670" w:rsidP="00547670">
      <w:pPr>
        <w:spacing w:after="0" w:line="360" w:lineRule="auto"/>
        <w:jc w:val="both"/>
        <w:rPr>
          <w:rFonts w:ascii="Palatino Linotype" w:eastAsia="Palatino Linotype" w:hAnsi="Palatino Linotype" w:cs="Palatino Linotype"/>
        </w:rPr>
      </w:pPr>
    </w:p>
    <w:p w14:paraId="55600E0D" w14:textId="7B52EE91" w:rsidR="00547670" w:rsidRPr="007D08D9" w:rsidRDefault="00547670" w:rsidP="00547670">
      <w:pPr>
        <w:spacing w:after="0" w:line="360" w:lineRule="auto"/>
        <w:jc w:val="both"/>
        <w:rPr>
          <w:rFonts w:ascii="Palatino Linotype" w:eastAsia="Palatino Linotype" w:hAnsi="Palatino Linotype" w:cs="Palatino Linotype"/>
        </w:rPr>
      </w:pPr>
      <w:r w:rsidRPr="00547670">
        <w:rPr>
          <w:rFonts w:ascii="Palatino Linotype" w:eastAsia="Palatino Linotype" w:hAnsi="Palatino Linotype" w:cs="Palatino Linotype"/>
        </w:rPr>
        <w:t>Por estas razones, me aparto del sentido de la resolución y dejo constancia de este voto disidente, convencido de que el asunto exigía un tratamiento de fondo,</w:t>
      </w:r>
      <w:r w:rsidR="009D1469">
        <w:rPr>
          <w:rFonts w:ascii="Palatino Linotype" w:eastAsia="Palatino Linotype" w:hAnsi="Palatino Linotype" w:cs="Palatino Linotype"/>
        </w:rPr>
        <w:t xml:space="preserve"> con un enfoque más garantista y </w:t>
      </w:r>
      <w:r w:rsidRPr="00547670">
        <w:rPr>
          <w:rFonts w:ascii="Palatino Linotype" w:eastAsia="Palatino Linotype" w:hAnsi="Palatino Linotype" w:cs="Palatino Linotype"/>
        </w:rPr>
        <w:t>comprometido con la protección y promoción del derecho de acceso a la información pública.</w:t>
      </w:r>
    </w:p>
    <w:p w14:paraId="63A11B3A" w14:textId="39EB380F" w:rsidR="00962974" w:rsidRPr="00B61E11" w:rsidRDefault="00A15339" w:rsidP="00B61E11">
      <w:pPr>
        <w:spacing w:after="0" w:line="360" w:lineRule="auto"/>
        <w:jc w:val="both"/>
        <w:rPr>
          <w:rFonts w:ascii="Palatino Linotype" w:hAnsi="Palatino Linotype" w:cs="Arial"/>
          <w:sz w:val="16"/>
          <w:szCs w:val="24"/>
        </w:rPr>
      </w:pPr>
      <w:r>
        <w:rPr>
          <w:rFonts w:ascii="Palatino Linotype" w:hAnsi="Palatino Linotype" w:cs="Arial"/>
          <w:sz w:val="16"/>
          <w:szCs w:val="24"/>
        </w:rPr>
        <w:t>SCMM/AGZ/DEMF/JMMO</w:t>
      </w:r>
    </w:p>
    <w:p w14:paraId="4A940479" w14:textId="77777777" w:rsidR="00962974" w:rsidRPr="00B61E11" w:rsidRDefault="00962974" w:rsidP="00B61E11">
      <w:pPr>
        <w:rPr>
          <w:rFonts w:ascii="Palatino Linotype" w:hAnsi="Palatino Linotype" w:cs="Arial"/>
          <w:sz w:val="14"/>
        </w:rPr>
      </w:pPr>
      <w:r w:rsidRPr="00B61E11">
        <w:rPr>
          <w:rFonts w:ascii="Palatino Linotype" w:hAnsi="Palatino Linotype" w:cs="Arial"/>
          <w:sz w:val="14"/>
        </w:rPr>
        <w:br w:type="page"/>
      </w:r>
    </w:p>
    <w:p w14:paraId="7FEE0765" w14:textId="77777777" w:rsidR="00BD1BBF" w:rsidRPr="00B61E11" w:rsidRDefault="00BD1BBF" w:rsidP="00B61E11">
      <w:pPr>
        <w:pBdr>
          <w:top w:val="nil"/>
          <w:left w:val="nil"/>
          <w:bottom w:val="nil"/>
          <w:right w:val="nil"/>
          <w:between w:val="nil"/>
        </w:pBdr>
        <w:spacing w:after="0" w:line="360" w:lineRule="auto"/>
        <w:ind w:right="139"/>
        <w:jc w:val="both"/>
        <w:rPr>
          <w:rFonts w:ascii="Palatino Linotype" w:eastAsia="Palatino Linotype" w:hAnsi="Palatino Linotype" w:cs="Palatino Linotype"/>
        </w:rPr>
      </w:pPr>
    </w:p>
    <w:sectPr w:rsidR="00BD1BBF" w:rsidRPr="00B61E11">
      <w:headerReference w:type="default" r:id="rId10"/>
      <w:footerReference w:type="default" r:id="rId11"/>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12E95" w14:textId="77777777" w:rsidR="00D05C6A" w:rsidRDefault="00D05C6A">
      <w:pPr>
        <w:spacing w:after="0" w:line="240" w:lineRule="auto"/>
      </w:pPr>
      <w:r>
        <w:separator/>
      </w:r>
    </w:p>
  </w:endnote>
  <w:endnote w:type="continuationSeparator" w:id="0">
    <w:p w14:paraId="0ED0642C" w14:textId="77777777" w:rsidR="00D05C6A" w:rsidRDefault="00D0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2F97" w14:textId="540F3054" w:rsidR="00714A0D" w:rsidRPr="00E90051" w:rsidRDefault="00714A0D">
    <w:pPr>
      <w:tabs>
        <w:tab w:val="center" w:pos="4550"/>
        <w:tab w:val="left" w:pos="5818"/>
      </w:tabs>
      <w:ind w:right="260"/>
      <w:jc w:val="right"/>
      <w:rPr>
        <w:rFonts w:ascii="Palatino Linotype" w:hAnsi="Palatino Linotype"/>
        <w:color w:val="222A35" w:themeColor="text2" w:themeShade="80"/>
      </w:rPr>
    </w:pPr>
    <w:r w:rsidRPr="00E90051">
      <w:rPr>
        <w:rFonts w:ascii="Palatino Linotype" w:hAnsi="Palatino Linotype"/>
        <w:color w:val="8496B0" w:themeColor="text2" w:themeTint="99"/>
        <w:spacing w:val="60"/>
        <w:lang w:val="es-ES"/>
      </w:rPr>
      <w:t>Página</w:t>
    </w:r>
    <w:r w:rsidRPr="00E90051">
      <w:rPr>
        <w:rFonts w:ascii="Palatino Linotype" w:hAnsi="Palatino Linotype"/>
        <w:color w:val="8496B0" w:themeColor="text2" w:themeTint="99"/>
        <w:lang w:val="es-ES"/>
      </w:rPr>
      <w:t xml:space="preserve"> </w:t>
    </w:r>
    <w:r w:rsidRPr="00E90051">
      <w:rPr>
        <w:rFonts w:ascii="Palatino Linotype" w:hAnsi="Palatino Linotype"/>
        <w:color w:val="323E4F" w:themeColor="text2" w:themeShade="BF"/>
      </w:rPr>
      <w:fldChar w:fldCharType="begin"/>
    </w:r>
    <w:r w:rsidRPr="00E90051">
      <w:rPr>
        <w:rFonts w:ascii="Palatino Linotype" w:hAnsi="Palatino Linotype"/>
        <w:color w:val="323E4F" w:themeColor="text2" w:themeShade="BF"/>
      </w:rPr>
      <w:instrText>PAGE   \* MERGEFORMAT</w:instrText>
    </w:r>
    <w:r w:rsidRPr="00E90051">
      <w:rPr>
        <w:rFonts w:ascii="Palatino Linotype" w:hAnsi="Palatino Linotype"/>
        <w:color w:val="323E4F" w:themeColor="text2" w:themeShade="BF"/>
      </w:rPr>
      <w:fldChar w:fldCharType="separate"/>
    </w:r>
    <w:r w:rsidR="00C8013D" w:rsidRPr="00C8013D">
      <w:rPr>
        <w:rFonts w:ascii="Palatino Linotype" w:hAnsi="Palatino Linotype"/>
        <w:noProof/>
        <w:color w:val="323E4F" w:themeColor="text2" w:themeShade="BF"/>
        <w:lang w:val="es-ES"/>
      </w:rPr>
      <w:t>6</w:t>
    </w:r>
    <w:r w:rsidRPr="00E90051">
      <w:rPr>
        <w:rFonts w:ascii="Palatino Linotype" w:hAnsi="Palatino Linotype"/>
        <w:color w:val="323E4F" w:themeColor="text2" w:themeShade="BF"/>
      </w:rPr>
      <w:fldChar w:fldCharType="end"/>
    </w:r>
    <w:r w:rsidRPr="00E90051">
      <w:rPr>
        <w:rFonts w:ascii="Palatino Linotype" w:hAnsi="Palatino Linotype"/>
        <w:color w:val="323E4F" w:themeColor="text2" w:themeShade="BF"/>
        <w:lang w:val="es-ES"/>
      </w:rPr>
      <w:t xml:space="preserve"> | </w:t>
    </w:r>
    <w:r w:rsidRPr="00E90051">
      <w:rPr>
        <w:rFonts w:ascii="Palatino Linotype" w:hAnsi="Palatino Linotype"/>
        <w:color w:val="323E4F" w:themeColor="text2" w:themeShade="BF"/>
      </w:rPr>
      <w:fldChar w:fldCharType="begin"/>
    </w:r>
    <w:r w:rsidRPr="00E90051">
      <w:rPr>
        <w:rFonts w:ascii="Palatino Linotype" w:hAnsi="Palatino Linotype"/>
        <w:color w:val="323E4F" w:themeColor="text2" w:themeShade="BF"/>
      </w:rPr>
      <w:instrText>NUMPAGES  \* Arabic  \* MERGEFORMAT</w:instrText>
    </w:r>
    <w:r w:rsidRPr="00E90051">
      <w:rPr>
        <w:rFonts w:ascii="Palatino Linotype" w:hAnsi="Palatino Linotype"/>
        <w:color w:val="323E4F" w:themeColor="text2" w:themeShade="BF"/>
      </w:rPr>
      <w:fldChar w:fldCharType="separate"/>
    </w:r>
    <w:r w:rsidR="00C8013D" w:rsidRPr="00C8013D">
      <w:rPr>
        <w:rFonts w:ascii="Palatino Linotype" w:hAnsi="Palatino Linotype"/>
        <w:noProof/>
        <w:color w:val="323E4F" w:themeColor="text2" w:themeShade="BF"/>
        <w:lang w:val="es-ES"/>
      </w:rPr>
      <w:t>6</w:t>
    </w:r>
    <w:r w:rsidRPr="00E90051">
      <w:rPr>
        <w:rFonts w:ascii="Palatino Linotype" w:hAnsi="Palatino Linotype"/>
        <w:color w:val="323E4F" w:themeColor="text2" w:themeShade="BF"/>
      </w:rPr>
      <w:fldChar w:fldCharType="end"/>
    </w:r>
  </w:p>
  <w:p w14:paraId="01C0FACE" w14:textId="77777777" w:rsidR="00714A0D" w:rsidRDefault="00714A0D">
    <w:pPr>
      <w:pStyle w:val="Piedepgina"/>
    </w:pPr>
  </w:p>
  <w:p w14:paraId="5E4A4955" w14:textId="77777777" w:rsidR="008052E0" w:rsidRDefault="008052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C080F" w14:textId="77777777" w:rsidR="00D05C6A" w:rsidRDefault="00D05C6A">
      <w:pPr>
        <w:spacing w:after="0" w:line="240" w:lineRule="auto"/>
      </w:pPr>
      <w:r>
        <w:separator/>
      </w:r>
    </w:p>
  </w:footnote>
  <w:footnote w:type="continuationSeparator" w:id="0">
    <w:p w14:paraId="1FD6DAB6" w14:textId="77777777" w:rsidR="00D05C6A" w:rsidRDefault="00D0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998D" w14:textId="77777777" w:rsidR="000422FF" w:rsidRDefault="000422FF">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p>
  <w:p w14:paraId="6FFE6184" w14:textId="26FBBDAC" w:rsidR="0094263D" w:rsidRDefault="00C466DB">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w:t>
    </w:r>
    <w:r w:rsidR="00DB6E90">
      <w:rPr>
        <w:rFonts w:ascii="Palatino Linotype" w:eastAsia="Palatino Linotype" w:hAnsi="Palatino Linotype" w:cs="Palatino Linotype"/>
        <w:b/>
        <w:color w:val="000000"/>
        <w:sz w:val="20"/>
        <w:szCs w:val="20"/>
      </w:rPr>
      <w:t>DISIDENTE</w:t>
    </w:r>
    <w:r>
      <w:rPr>
        <w:noProof/>
      </w:rPr>
      <w:drawing>
        <wp:anchor distT="0" distB="0" distL="0" distR="0" simplePos="0" relativeHeight="251660288" behindDoc="1" locked="0" layoutInCell="1" hidden="0" allowOverlap="1" wp14:anchorId="40EEB0F0" wp14:editId="2006B68A">
          <wp:simplePos x="0" y="0"/>
          <wp:positionH relativeFrom="column">
            <wp:posOffset>-857249</wp:posOffset>
          </wp:positionH>
          <wp:positionV relativeFrom="paragraph">
            <wp:posOffset>-690244</wp:posOffset>
          </wp:positionV>
          <wp:extent cx="7510628" cy="9883775"/>
          <wp:effectExtent l="0" t="0" r="0" b="0"/>
          <wp:wrapNone/>
          <wp:docPr id="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5B5F6D73" w14:textId="24822236" w:rsidR="000422FF" w:rsidRPr="00235A94" w:rsidRDefault="00C466DB" w:rsidP="005C5958">
    <w:pPr>
      <w:pBdr>
        <w:top w:val="nil"/>
        <w:left w:val="nil"/>
        <w:bottom w:val="nil"/>
        <w:right w:val="nil"/>
        <w:between w:val="nil"/>
      </w:pBdr>
      <w:tabs>
        <w:tab w:val="center" w:pos="4419"/>
        <w:tab w:val="right" w:pos="8838"/>
      </w:tabs>
      <w:spacing w:after="0" w:line="240" w:lineRule="auto"/>
      <w:ind w:left="993"/>
      <w:jc w:val="right"/>
      <w:rPr>
        <w:rFonts w:ascii="Palatino Linotype" w:eastAsia="Palatino Linotype" w:hAnsi="Palatino Linotype" w:cs="Palatino Linotype"/>
        <w:b/>
        <w:color w:val="000000" w:themeColor="text1"/>
        <w:sz w:val="20"/>
        <w:szCs w:val="20"/>
      </w:rPr>
    </w:pPr>
    <w:r>
      <w:rPr>
        <w:rFonts w:ascii="Palatino Linotype" w:eastAsia="Palatino Linotype" w:hAnsi="Palatino Linotype" w:cs="Palatino Linotype"/>
        <w:b/>
        <w:color w:val="000000"/>
        <w:sz w:val="20"/>
        <w:szCs w:val="20"/>
      </w:rPr>
      <w:t xml:space="preserve">RECURSO DE </w:t>
    </w:r>
    <w:r w:rsidRPr="00C466DB">
      <w:rPr>
        <w:rFonts w:ascii="Palatino Linotype" w:eastAsia="Palatino Linotype" w:hAnsi="Palatino Linotype" w:cs="Palatino Linotype"/>
        <w:b/>
        <w:color w:val="000000" w:themeColor="text1"/>
        <w:sz w:val="20"/>
        <w:szCs w:val="20"/>
      </w:rPr>
      <w:t xml:space="preserve">REVISIÓN </w:t>
    </w:r>
    <w:r w:rsidR="005C1B8D" w:rsidRPr="005C1B8D">
      <w:rPr>
        <w:rFonts w:ascii="Palatino Linotype" w:hAnsi="Palatino Linotype"/>
        <w:b/>
        <w:color w:val="000000" w:themeColor="text1"/>
      </w:rPr>
      <w:t>03075/INFOEM/IP/RR/2025</w:t>
    </w:r>
  </w:p>
  <w:p w14:paraId="14CA7C77" w14:textId="77777777" w:rsidR="008052E0" w:rsidRDefault="00805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F2DF1"/>
    <w:multiLevelType w:val="hybridMultilevel"/>
    <w:tmpl w:val="F796F3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F75D2D"/>
    <w:multiLevelType w:val="hybridMultilevel"/>
    <w:tmpl w:val="851CE29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8644E6"/>
    <w:multiLevelType w:val="hybridMultilevel"/>
    <w:tmpl w:val="DF986952"/>
    <w:lvl w:ilvl="0" w:tplc="580A0001">
      <w:start w:val="1"/>
      <w:numFmt w:val="bullet"/>
      <w:lvlText w:val=""/>
      <w:lvlJc w:val="left"/>
      <w:pPr>
        <w:ind w:left="1800" w:hanging="360"/>
      </w:pPr>
      <w:rPr>
        <w:rFonts w:ascii="Symbol" w:hAnsi="Symbol"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3" w15:restartNumberingAfterBreak="0">
    <w:nsid w:val="07A60E22"/>
    <w:multiLevelType w:val="multilevel"/>
    <w:tmpl w:val="B9522448"/>
    <w:lvl w:ilvl="0">
      <w:start w:val="1"/>
      <w:numFmt w:val="upperRoman"/>
      <w:lvlText w:val="%1."/>
      <w:lvlJc w:val="left"/>
      <w:pPr>
        <w:ind w:left="1524" w:hanging="677"/>
      </w:pPr>
      <w:rPr>
        <w:rFonts w:ascii="Palatino Linotype" w:eastAsia="Palatino Linotype" w:hAnsi="Palatino Linotype" w:cs="Palatino Linotype"/>
        <w:b/>
        <w:i/>
        <w:sz w:val="22"/>
        <w:szCs w:val="22"/>
      </w:rPr>
    </w:lvl>
    <w:lvl w:ilvl="1">
      <w:numFmt w:val="bullet"/>
      <w:lvlText w:val="•"/>
      <w:lvlJc w:val="left"/>
      <w:pPr>
        <w:ind w:left="2284" w:hanging="677"/>
      </w:pPr>
    </w:lvl>
    <w:lvl w:ilvl="2">
      <w:numFmt w:val="bullet"/>
      <w:lvlText w:val="•"/>
      <w:lvlJc w:val="left"/>
      <w:pPr>
        <w:ind w:left="3048" w:hanging="677"/>
      </w:pPr>
    </w:lvl>
    <w:lvl w:ilvl="3">
      <w:numFmt w:val="bullet"/>
      <w:lvlText w:val="•"/>
      <w:lvlJc w:val="left"/>
      <w:pPr>
        <w:ind w:left="3812" w:hanging="677"/>
      </w:pPr>
    </w:lvl>
    <w:lvl w:ilvl="4">
      <w:numFmt w:val="bullet"/>
      <w:lvlText w:val="•"/>
      <w:lvlJc w:val="left"/>
      <w:pPr>
        <w:ind w:left="4576" w:hanging="676"/>
      </w:pPr>
    </w:lvl>
    <w:lvl w:ilvl="5">
      <w:numFmt w:val="bullet"/>
      <w:lvlText w:val="•"/>
      <w:lvlJc w:val="left"/>
      <w:pPr>
        <w:ind w:left="5340" w:hanging="677"/>
      </w:pPr>
    </w:lvl>
    <w:lvl w:ilvl="6">
      <w:numFmt w:val="bullet"/>
      <w:lvlText w:val="•"/>
      <w:lvlJc w:val="left"/>
      <w:pPr>
        <w:ind w:left="6104" w:hanging="677"/>
      </w:pPr>
    </w:lvl>
    <w:lvl w:ilvl="7">
      <w:numFmt w:val="bullet"/>
      <w:lvlText w:val="•"/>
      <w:lvlJc w:val="left"/>
      <w:pPr>
        <w:ind w:left="6868" w:hanging="677"/>
      </w:pPr>
    </w:lvl>
    <w:lvl w:ilvl="8">
      <w:numFmt w:val="bullet"/>
      <w:lvlText w:val="•"/>
      <w:lvlJc w:val="left"/>
      <w:pPr>
        <w:ind w:left="7632" w:hanging="677"/>
      </w:pPr>
    </w:lvl>
  </w:abstractNum>
  <w:abstractNum w:abstractNumId="4" w15:restartNumberingAfterBreak="0">
    <w:nsid w:val="08D34833"/>
    <w:multiLevelType w:val="multilevel"/>
    <w:tmpl w:val="84C028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AA3832"/>
    <w:multiLevelType w:val="hybridMultilevel"/>
    <w:tmpl w:val="C29A0B5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D57408"/>
    <w:multiLevelType w:val="multilevel"/>
    <w:tmpl w:val="30AE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A55B6F"/>
    <w:multiLevelType w:val="hybridMultilevel"/>
    <w:tmpl w:val="87E84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FCA7396"/>
    <w:multiLevelType w:val="hybridMultilevel"/>
    <w:tmpl w:val="580080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C11710"/>
    <w:multiLevelType w:val="hybridMultilevel"/>
    <w:tmpl w:val="F978F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261677"/>
    <w:multiLevelType w:val="multilevel"/>
    <w:tmpl w:val="3676A3D8"/>
    <w:lvl w:ilvl="0">
      <w:start w:val="1"/>
      <w:numFmt w:val="upperRoman"/>
      <w:lvlText w:val="%1."/>
      <w:lvlJc w:val="left"/>
      <w:pPr>
        <w:ind w:left="1317" w:hanging="754"/>
      </w:pPr>
      <w:rPr>
        <w:rFonts w:ascii="Palatino Linotype" w:eastAsia="Palatino Linotype" w:hAnsi="Palatino Linotype" w:cs="Palatino Linotype"/>
        <w:b/>
        <w:sz w:val="24"/>
        <w:szCs w:val="24"/>
      </w:rPr>
    </w:lvl>
    <w:lvl w:ilvl="1">
      <w:start w:val="1"/>
      <w:numFmt w:val="upperRoman"/>
      <w:lvlText w:val="%2."/>
      <w:lvlJc w:val="left"/>
      <w:pPr>
        <w:ind w:left="934" w:hanging="689"/>
      </w:pPr>
      <w:rPr>
        <w:b/>
        <w:i/>
      </w:rPr>
    </w:lvl>
    <w:lvl w:ilvl="2">
      <w:start w:val="1"/>
      <w:numFmt w:val="upperRoman"/>
      <w:lvlText w:val="%3."/>
      <w:lvlJc w:val="left"/>
      <w:pPr>
        <w:ind w:left="1054" w:hanging="682"/>
      </w:pPr>
      <w:rPr>
        <w:rFonts w:ascii="Palatino Linotype" w:eastAsia="Palatino Linotype" w:hAnsi="Palatino Linotype" w:cs="Palatino Linotype"/>
        <w:i/>
        <w:sz w:val="22"/>
        <w:szCs w:val="22"/>
      </w:rPr>
    </w:lvl>
    <w:lvl w:ilvl="3">
      <w:numFmt w:val="bullet"/>
      <w:lvlText w:val="•"/>
      <w:lvlJc w:val="left"/>
      <w:pPr>
        <w:ind w:left="2300" w:hanging="682"/>
      </w:pPr>
    </w:lvl>
    <w:lvl w:ilvl="4">
      <w:numFmt w:val="bullet"/>
      <w:lvlText w:val="•"/>
      <w:lvlJc w:val="left"/>
      <w:pPr>
        <w:ind w:left="3280" w:hanging="682"/>
      </w:pPr>
    </w:lvl>
    <w:lvl w:ilvl="5">
      <w:numFmt w:val="bullet"/>
      <w:lvlText w:val="•"/>
      <w:lvlJc w:val="left"/>
      <w:pPr>
        <w:ind w:left="4260" w:hanging="682"/>
      </w:pPr>
    </w:lvl>
    <w:lvl w:ilvl="6">
      <w:numFmt w:val="bullet"/>
      <w:lvlText w:val="•"/>
      <w:lvlJc w:val="left"/>
      <w:pPr>
        <w:ind w:left="5240" w:hanging="682"/>
      </w:pPr>
    </w:lvl>
    <w:lvl w:ilvl="7">
      <w:numFmt w:val="bullet"/>
      <w:lvlText w:val="•"/>
      <w:lvlJc w:val="left"/>
      <w:pPr>
        <w:ind w:left="6220" w:hanging="682"/>
      </w:pPr>
    </w:lvl>
    <w:lvl w:ilvl="8">
      <w:numFmt w:val="bullet"/>
      <w:lvlText w:val="•"/>
      <w:lvlJc w:val="left"/>
      <w:pPr>
        <w:ind w:left="7200" w:hanging="682"/>
      </w:pPr>
    </w:lvl>
  </w:abstractNum>
  <w:abstractNum w:abstractNumId="11" w15:restartNumberingAfterBreak="0">
    <w:nsid w:val="1B5E22CE"/>
    <w:multiLevelType w:val="hybridMultilevel"/>
    <w:tmpl w:val="36085F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F9F455A"/>
    <w:multiLevelType w:val="hybridMultilevel"/>
    <w:tmpl w:val="49DA87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17951EF"/>
    <w:multiLevelType w:val="multilevel"/>
    <w:tmpl w:val="EF2048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1950F3E"/>
    <w:multiLevelType w:val="hybridMultilevel"/>
    <w:tmpl w:val="BD261216"/>
    <w:lvl w:ilvl="0" w:tplc="6C601572">
      <w:start w:val="1"/>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2734A5F"/>
    <w:multiLevelType w:val="hybridMultilevel"/>
    <w:tmpl w:val="663EDC74"/>
    <w:lvl w:ilvl="0" w:tplc="EE92DFAC">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2F84EF8"/>
    <w:multiLevelType w:val="multilevel"/>
    <w:tmpl w:val="6BB8021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FE1BA3"/>
    <w:multiLevelType w:val="hybridMultilevel"/>
    <w:tmpl w:val="C5B2D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0945133"/>
    <w:multiLevelType w:val="hybridMultilevel"/>
    <w:tmpl w:val="C29A0B5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14D2614"/>
    <w:multiLevelType w:val="hybridMultilevel"/>
    <w:tmpl w:val="40EE44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B701DC"/>
    <w:multiLevelType w:val="hybridMultilevel"/>
    <w:tmpl w:val="5B321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2383EA0"/>
    <w:multiLevelType w:val="hybridMultilevel"/>
    <w:tmpl w:val="808A96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4317490"/>
    <w:multiLevelType w:val="hybridMultilevel"/>
    <w:tmpl w:val="906E7064"/>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4375CE1"/>
    <w:multiLevelType w:val="hybridMultilevel"/>
    <w:tmpl w:val="90AA33D8"/>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3D8E36A1"/>
    <w:multiLevelType w:val="multilevel"/>
    <w:tmpl w:val="D62C0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E349B8"/>
    <w:multiLevelType w:val="hybridMultilevel"/>
    <w:tmpl w:val="11A40C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3276697"/>
    <w:multiLevelType w:val="multilevel"/>
    <w:tmpl w:val="0AE2DEE2"/>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6AB4E63"/>
    <w:multiLevelType w:val="hybridMultilevel"/>
    <w:tmpl w:val="CFD263D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A543C7A"/>
    <w:multiLevelType w:val="hybridMultilevel"/>
    <w:tmpl w:val="5344B7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A740E65"/>
    <w:multiLevelType w:val="hybridMultilevel"/>
    <w:tmpl w:val="BBBC9C90"/>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B443DF4"/>
    <w:multiLevelType w:val="hybridMultilevel"/>
    <w:tmpl w:val="45B810F4"/>
    <w:lvl w:ilvl="0" w:tplc="584A6CC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FC756A5"/>
    <w:multiLevelType w:val="hybridMultilevel"/>
    <w:tmpl w:val="C2909D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0DB3566"/>
    <w:multiLevelType w:val="hybridMultilevel"/>
    <w:tmpl w:val="A7D894D8"/>
    <w:lvl w:ilvl="0" w:tplc="080A000B">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50EE08D2"/>
    <w:multiLevelType w:val="hybridMultilevel"/>
    <w:tmpl w:val="40EE44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54500C4"/>
    <w:multiLevelType w:val="hybridMultilevel"/>
    <w:tmpl w:val="B928ED32"/>
    <w:lvl w:ilvl="0" w:tplc="02B08BD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5" w15:restartNumberingAfterBreak="0">
    <w:nsid w:val="5B760453"/>
    <w:multiLevelType w:val="hybridMultilevel"/>
    <w:tmpl w:val="39861E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F006094"/>
    <w:multiLevelType w:val="hybridMultilevel"/>
    <w:tmpl w:val="990CE9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4957CFD"/>
    <w:multiLevelType w:val="hybridMultilevel"/>
    <w:tmpl w:val="A738AD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5B2202F"/>
    <w:multiLevelType w:val="hybridMultilevel"/>
    <w:tmpl w:val="B57834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6436339"/>
    <w:multiLevelType w:val="hybridMultilevel"/>
    <w:tmpl w:val="B928ED32"/>
    <w:lvl w:ilvl="0" w:tplc="02B08BD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0" w15:restartNumberingAfterBreak="0">
    <w:nsid w:val="6AC43260"/>
    <w:multiLevelType w:val="multilevel"/>
    <w:tmpl w:val="B72A529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C03ED8"/>
    <w:multiLevelType w:val="hybridMultilevel"/>
    <w:tmpl w:val="F628113C"/>
    <w:lvl w:ilvl="0" w:tplc="994C92F2">
      <w:start w:val="1"/>
      <w:numFmt w:val="upperLetter"/>
      <w:lvlText w:val="%1."/>
      <w:lvlJc w:val="left"/>
      <w:pPr>
        <w:ind w:left="1210" w:hanging="360"/>
      </w:pPr>
      <w:rPr>
        <w:rFonts w:hint="default"/>
      </w:rPr>
    </w:lvl>
    <w:lvl w:ilvl="1" w:tplc="080A0019" w:tentative="1">
      <w:start w:val="1"/>
      <w:numFmt w:val="lowerLetter"/>
      <w:lvlText w:val="%2."/>
      <w:lvlJc w:val="left"/>
      <w:pPr>
        <w:ind w:left="1930" w:hanging="360"/>
      </w:pPr>
    </w:lvl>
    <w:lvl w:ilvl="2" w:tplc="080A001B" w:tentative="1">
      <w:start w:val="1"/>
      <w:numFmt w:val="lowerRoman"/>
      <w:lvlText w:val="%3."/>
      <w:lvlJc w:val="right"/>
      <w:pPr>
        <w:ind w:left="2650" w:hanging="180"/>
      </w:pPr>
    </w:lvl>
    <w:lvl w:ilvl="3" w:tplc="080A000F" w:tentative="1">
      <w:start w:val="1"/>
      <w:numFmt w:val="decimal"/>
      <w:lvlText w:val="%4."/>
      <w:lvlJc w:val="left"/>
      <w:pPr>
        <w:ind w:left="3370" w:hanging="360"/>
      </w:pPr>
    </w:lvl>
    <w:lvl w:ilvl="4" w:tplc="080A0019" w:tentative="1">
      <w:start w:val="1"/>
      <w:numFmt w:val="lowerLetter"/>
      <w:lvlText w:val="%5."/>
      <w:lvlJc w:val="left"/>
      <w:pPr>
        <w:ind w:left="4090" w:hanging="360"/>
      </w:pPr>
    </w:lvl>
    <w:lvl w:ilvl="5" w:tplc="080A001B" w:tentative="1">
      <w:start w:val="1"/>
      <w:numFmt w:val="lowerRoman"/>
      <w:lvlText w:val="%6."/>
      <w:lvlJc w:val="right"/>
      <w:pPr>
        <w:ind w:left="4810" w:hanging="180"/>
      </w:pPr>
    </w:lvl>
    <w:lvl w:ilvl="6" w:tplc="080A000F" w:tentative="1">
      <w:start w:val="1"/>
      <w:numFmt w:val="decimal"/>
      <w:lvlText w:val="%7."/>
      <w:lvlJc w:val="left"/>
      <w:pPr>
        <w:ind w:left="5530" w:hanging="360"/>
      </w:pPr>
    </w:lvl>
    <w:lvl w:ilvl="7" w:tplc="080A0019" w:tentative="1">
      <w:start w:val="1"/>
      <w:numFmt w:val="lowerLetter"/>
      <w:lvlText w:val="%8."/>
      <w:lvlJc w:val="left"/>
      <w:pPr>
        <w:ind w:left="6250" w:hanging="360"/>
      </w:pPr>
    </w:lvl>
    <w:lvl w:ilvl="8" w:tplc="080A001B" w:tentative="1">
      <w:start w:val="1"/>
      <w:numFmt w:val="lowerRoman"/>
      <w:lvlText w:val="%9."/>
      <w:lvlJc w:val="right"/>
      <w:pPr>
        <w:ind w:left="6970" w:hanging="180"/>
      </w:pPr>
    </w:lvl>
  </w:abstractNum>
  <w:abstractNum w:abstractNumId="42" w15:restartNumberingAfterBreak="0">
    <w:nsid w:val="756F0099"/>
    <w:multiLevelType w:val="hybridMultilevel"/>
    <w:tmpl w:val="7EF869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70F53BE"/>
    <w:multiLevelType w:val="hybridMultilevel"/>
    <w:tmpl w:val="3B0CB9F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4" w15:restartNumberingAfterBreak="0">
    <w:nsid w:val="779149B6"/>
    <w:multiLevelType w:val="multilevel"/>
    <w:tmpl w:val="0882E7EC"/>
    <w:lvl w:ilvl="0">
      <w:start w:val="1"/>
      <w:numFmt w:val="decimal"/>
      <w:lvlText w:val="%1."/>
      <w:lvlJc w:val="left"/>
      <w:pPr>
        <w:ind w:left="1080" w:hanging="360"/>
      </w:pPr>
      <w:rPr>
        <w:rFonts w:hint="default"/>
        <w:b/>
      </w:rPr>
    </w:lvl>
    <w:lvl w:ilvl="1">
      <w:start w:val="1"/>
      <w:numFmt w:val="decimal"/>
      <w:isLgl/>
      <w:lvlText w:val="%1.%2."/>
      <w:lvlJc w:val="left"/>
      <w:pPr>
        <w:ind w:left="144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5"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D131F07"/>
    <w:multiLevelType w:val="hybridMultilevel"/>
    <w:tmpl w:val="2B92E2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11618555">
    <w:abstractNumId w:val="10"/>
  </w:num>
  <w:num w:numId="2" w16cid:durableId="898368620">
    <w:abstractNumId w:val="16"/>
  </w:num>
  <w:num w:numId="3" w16cid:durableId="120615655">
    <w:abstractNumId w:val="3"/>
  </w:num>
  <w:num w:numId="4" w16cid:durableId="1801921835">
    <w:abstractNumId w:val="13"/>
  </w:num>
  <w:num w:numId="5" w16cid:durableId="531039563">
    <w:abstractNumId w:val="9"/>
  </w:num>
  <w:num w:numId="6" w16cid:durableId="1243443649">
    <w:abstractNumId w:val="12"/>
  </w:num>
  <w:num w:numId="7" w16cid:durableId="649021969">
    <w:abstractNumId w:val="17"/>
  </w:num>
  <w:num w:numId="8" w16cid:durableId="470755710">
    <w:abstractNumId w:val="38"/>
  </w:num>
  <w:num w:numId="9" w16cid:durableId="1214732757">
    <w:abstractNumId w:val="20"/>
  </w:num>
  <w:num w:numId="10" w16cid:durableId="487986170">
    <w:abstractNumId w:val="46"/>
  </w:num>
  <w:num w:numId="11" w16cid:durableId="1988362849">
    <w:abstractNumId w:val="11"/>
  </w:num>
  <w:num w:numId="12" w16cid:durableId="1339431391">
    <w:abstractNumId w:val="25"/>
  </w:num>
  <w:num w:numId="13" w16cid:durableId="1268805257">
    <w:abstractNumId w:val="37"/>
  </w:num>
  <w:num w:numId="14" w16cid:durableId="1245334648">
    <w:abstractNumId w:val="28"/>
  </w:num>
  <w:num w:numId="15" w16cid:durableId="2070222259">
    <w:abstractNumId w:val="36"/>
  </w:num>
  <w:num w:numId="16" w16cid:durableId="927077231">
    <w:abstractNumId w:val="22"/>
  </w:num>
  <w:num w:numId="17" w16cid:durableId="1964578766">
    <w:abstractNumId w:val="43"/>
  </w:num>
  <w:num w:numId="18" w16cid:durableId="1309822636">
    <w:abstractNumId w:val="32"/>
  </w:num>
  <w:num w:numId="19" w16cid:durableId="596254475">
    <w:abstractNumId w:val="42"/>
  </w:num>
  <w:num w:numId="20" w16cid:durableId="465438303">
    <w:abstractNumId w:val="26"/>
  </w:num>
  <w:num w:numId="21" w16cid:durableId="144662408">
    <w:abstractNumId w:val="29"/>
  </w:num>
  <w:num w:numId="22" w16cid:durableId="1276254632">
    <w:abstractNumId w:val="35"/>
  </w:num>
  <w:num w:numId="23" w16cid:durableId="1855804368">
    <w:abstractNumId w:val="23"/>
  </w:num>
  <w:num w:numId="24" w16cid:durableId="400949745">
    <w:abstractNumId w:val="44"/>
  </w:num>
  <w:num w:numId="25" w16cid:durableId="9719667">
    <w:abstractNumId w:val="2"/>
  </w:num>
  <w:num w:numId="26" w16cid:durableId="1946495084">
    <w:abstractNumId w:val="0"/>
  </w:num>
  <w:num w:numId="27" w16cid:durableId="278144161">
    <w:abstractNumId w:val="30"/>
  </w:num>
  <w:num w:numId="28" w16cid:durableId="1870296837">
    <w:abstractNumId w:val="31"/>
  </w:num>
  <w:num w:numId="29" w16cid:durableId="1953630541">
    <w:abstractNumId w:val="14"/>
  </w:num>
  <w:num w:numId="30" w16cid:durableId="1185636671">
    <w:abstractNumId w:val="8"/>
  </w:num>
  <w:num w:numId="31" w16cid:durableId="1139228788">
    <w:abstractNumId w:val="7"/>
  </w:num>
  <w:num w:numId="32" w16cid:durableId="539590384">
    <w:abstractNumId w:val="5"/>
  </w:num>
  <w:num w:numId="33" w16cid:durableId="847139299">
    <w:abstractNumId w:val="18"/>
  </w:num>
  <w:num w:numId="34" w16cid:durableId="1652253661">
    <w:abstractNumId w:val="15"/>
  </w:num>
  <w:num w:numId="35" w16cid:durableId="737292435">
    <w:abstractNumId w:val="41"/>
  </w:num>
  <w:num w:numId="36" w16cid:durableId="671447615">
    <w:abstractNumId w:val="21"/>
  </w:num>
  <w:num w:numId="37" w16cid:durableId="1976830014">
    <w:abstractNumId w:val="40"/>
  </w:num>
  <w:num w:numId="38" w16cid:durableId="2111704487">
    <w:abstractNumId w:val="1"/>
  </w:num>
  <w:num w:numId="39" w16cid:durableId="549222893">
    <w:abstractNumId w:val="27"/>
  </w:num>
  <w:num w:numId="40" w16cid:durableId="2119132112">
    <w:abstractNumId w:val="19"/>
  </w:num>
  <w:num w:numId="41" w16cid:durableId="102654102">
    <w:abstractNumId w:val="33"/>
  </w:num>
  <w:num w:numId="42" w16cid:durableId="1767194842">
    <w:abstractNumId w:val="34"/>
  </w:num>
  <w:num w:numId="43" w16cid:durableId="516697910">
    <w:abstractNumId w:val="39"/>
  </w:num>
  <w:num w:numId="44" w16cid:durableId="1865053195">
    <w:abstractNumId w:val="4"/>
  </w:num>
  <w:num w:numId="45" w16cid:durableId="1721131303">
    <w:abstractNumId w:val="6"/>
  </w:num>
  <w:num w:numId="46" w16cid:durableId="1077482207">
    <w:abstractNumId w:val="24"/>
  </w:num>
  <w:num w:numId="47" w16cid:durableId="1573272802">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3D"/>
    <w:rsid w:val="000048AD"/>
    <w:rsid w:val="00011714"/>
    <w:rsid w:val="000422FF"/>
    <w:rsid w:val="000430E2"/>
    <w:rsid w:val="00051F73"/>
    <w:rsid w:val="00052A58"/>
    <w:rsid w:val="00072506"/>
    <w:rsid w:val="00073327"/>
    <w:rsid w:val="00075193"/>
    <w:rsid w:val="00084B91"/>
    <w:rsid w:val="00084BDF"/>
    <w:rsid w:val="0009225D"/>
    <w:rsid w:val="00092A50"/>
    <w:rsid w:val="00097FA2"/>
    <w:rsid w:val="000A76FD"/>
    <w:rsid w:val="000B1C9B"/>
    <w:rsid w:val="000C0FE1"/>
    <w:rsid w:val="000C51EB"/>
    <w:rsid w:val="000C67D1"/>
    <w:rsid w:val="000E7743"/>
    <w:rsid w:val="000F2E6A"/>
    <w:rsid w:val="000F491B"/>
    <w:rsid w:val="000F7B0C"/>
    <w:rsid w:val="00107870"/>
    <w:rsid w:val="00114240"/>
    <w:rsid w:val="00126427"/>
    <w:rsid w:val="001269F7"/>
    <w:rsid w:val="001534EB"/>
    <w:rsid w:val="00166F3A"/>
    <w:rsid w:val="00193A9E"/>
    <w:rsid w:val="001A2FEA"/>
    <w:rsid w:val="001A3D34"/>
    <w:rsid w:val="001A5DE1"/>
    <w:rsid w:val="001B0764"/>
    <w:rsid w:val="001C0792"/>
    <w:rsid w:val="001C2298"/>
    <w:rsid w:val="001C3D28"/>
    <w:rsid w:val="001C7FAD"/>
    <w:rsid w:val="001F3CCC"/>
    <w:rsid w:val="001F5A98"/>
    <w:rsid w:val="00201028"/>
    <w:rsid w:val="00207B87"/>
    <w:rsid w:val="00211256"/>
    <w:rsid w:val="00220684"/>
    <w:rsid w:val="00235A94"/>
    <w:rsid w:val="00246790"/>
    <w:rsid w:val="002524E1"/>
    <w:rsid w:val="00263A20"/>
    <w:rsid w:val="00267F4F"/>
    <w:rsid w:val="0027196F"/>
    <w:rsid w:val="0027205F"/>
    <w:rsid w:val="00273519"/>
    <w:rsid w:val="002859A8"/>
    <w:rsid w:val="00285F23"/>
    <w:rsid w:val="0029226B"/>
    <w:rsid w:val="00293F1D"/>
    <w:rsid w:val="002950F9"/>
    <w:rsid w:val="00295B73"/>
    <w:rsid w:val="002B34F6"/>
    <w:rsid w:val="002C0DC1"/>
    <w:rsid w:val="002C1A1E"/>
    <w:rsid w:val="002C56ED"/>
    <w:rsid w:val="002D39C4"/>
    <w:rsid w:val="002D4240"/>
    <w:rsid w:val="002E3CC7"/>
    <w:rsid w:val="002F52E3"/>
    <w:rsid w:val="002F67BB"/>
    <w:rsid w:val="00302326"/>
    <w:rsid w:val="00306D34"/>
    <w:rsid w:val="003148DE"/>
    <w:rsid w:val="003232B5"/>
    <w:rsid w:val="003278D2"/>
    <w:rsid w:val="00332039"/>
    <w:rsid w:val="003407F8"/>
    <w:rsid w:val="00340EBB"/>
    <w:rsid w:val="00346081"/>
    <w:rsid w:val="00357117"/>
    <w:rsid w:val="00371655"/>
    <w:rsid w:val="00390D3F"/>
    <w:rsid w:val="0039642F"/>
    <w:rsid w:val="003A28C5"/>
    <w:rsid w:val="003B07F6"/>
    <w:rsid w:val="003B5C25"/>
    <w:rsid w:val="003B7538"/>
    <w:rsid w:val="003C13F5"/>
    <w:rsid w:val="003D09E4"/>
    <w:rsid w:val="00413C74"/>
    <w:rsid w:val="0042471F"/>
    <w:rsid w:val="00426F38"/>
    <w:rsid w:val="00427A2E"/>
    <w:rsid w:val="00444B77"/>
    <w:rsid w:val="00466DF5"/>
    <w:rsid w:val="00481A51"/>
    <w:rsid w:val="00483F49"/>
    <w:rsid w:val="004909F3"/>
    <w:rsid w:val="00490FD3"/>
    <w:rsid w:val="00492790"/>
    <w:rsid w:val="004A03BB"/>
    <w:rsid w:val="004A636D"/>
    <w:rsid w:val="004A758A"/>
    <w:rsid w:val="004B104D"/>
    <w:rsid w:val="004B1A3E"/>
    <w:rsid w:val="004B400A"/>
    <w:rsid w:val="004C2212"/>
    <w:rsid w:val="004C6BCC"/>
    <w:rsid w:val="004E12F6"/>
    <w:rsid w:val="004E50D9"/>
    <w:rsid w:val="004F4936"/>
    <w:rsid w:val="004F6FB2"/>
    <w:rsid w:val="00502B3C"/>
    <w:rsid w:val="00502B75"/>
    <w:rsid w:val="005167DF"/>
    <w:rsid w:val="005205BA"/>
    <w:rsid w:val="00526849"/>
    <w:rsid w:val="005363CC"/>
    <w:rsid w:val="00537ED2"/>
    <w:rsid w:val="005408D5"/>
    <w:rsid w:val="00542ECA"/>
    <w:rsid w:val="00545801"/>
    <w:rsid w:val="00545F7C"/>
    <w:rsid w:val="00547670"/>
    <w:rsid w:val="00563539"/>
    <w:rsid w:val="00564397"/>
    <w:rsid w:val="00564CEF"/>
    <w:rsid w:val="00570E35"/>
    <w:rsid w:val="005756CB"/>
    <w:rsid w:val="0058223B"/>
    <w:rsid w:val="00585283"/>
    <w:rsid w:val="00596CB2"/>
    <w:rsid w:val="005A0166"/>
    <w:rsid w:val="005A133D"/>
    <w:rsid w:val="005A75E5"/>
    <w:rsid w:val="005B21BC"/>
    <w:rsid w:val="005B571F"/>
    <w:rsid w:val="005B7D2D"/>
    <w:rsid w:val="005C1B8D"/>
    <w:rsid w:val="005C5958"/>
    <w:rsid w:val="005D2833"/>
    <w:rsid w:val="005E0B49"/>
    <w:rsid w:val="005E1366"/>
    <w:rsid w:val="0060100B"/>
    <w:rsid w:val="00611C38"/>
    <w:rsid w:val="00614CB4"/>
    <w:rsid w:val="006165CC"/>
    <w:rsid w:val="00632672"/>
    <w:rsid w:val="00642B3A"/>
    <w:rsid w:val="006432B2"/>
    <w:rsid w:val="00655A6C"/>
    <w:rsid w:val="00670320"/>
    <w:rsid w:val="00670825"/>
    <w:rsid w:val="006814C5"/>
    <w:rsid w:val="0069280D"/>
    <w:rsid w:val="0069634E"/>
    <w:rsid w:val="00696F82"/>
    <w:rsid w:val="006A7D26"/>
    <w:rsid w:val="006B2F3C"/>
    <w:rsid w:val="006B300A"/>
    <w:rsid w:val="006B5B9B"/>
    <w:rsid w:val="006C30DF"/>
    <w:rsid w:val="006D371D"/>
    <w:rsid w:val="0070057A"/>
    <w:rsid w:val="00701132"/>
    <w:rsid w:val="007012F1"/>
    <w:rsid w:val="00714A0D"/>
    <w:rsid w:val="007171E0"/>
    <w:rsid w:val="00741EB6"/>
    <w:rsid w:val="007436DC"/>
    <w:rsid w:val="00747A7E"/>
    <w:rsid w:val="007501B2"/>
    <w:rsid w:val="00751B2E"/>
    <w:rsid w:val="00754794"/>
    <w:rsid w:val="00762340"/>
    <w:rsid w:val="0077255C"/>
    <w:rsid w:val="007767E9"/>
    <w:rsid w:val="007807F4"/>
    <w:rsid w:val="0078706E"/>
    <w:rsid w:val="007934D9"/>
    <w:rsid w:val="00796886"/>
    <w:rsid w:val="007A0C06"/>
    <w:rsid w:val="007A6B4B"/>
    <w:rsid w:val="007B1852"/>
    <w:rsid w:val="007C341D"/>
    <w:rsid w:val="007D08D9"/>
    <w:rsid w:val="007E0EC2"/>
    <w:rsid w:val="007E5BD6"/>
    <w:rsid w:val="007F3312"/>
    <w:rsid w:val="007F6FB0"/>
    <w:rsid w:val="008024C4"/>
    <w:rsid w:val="008052E0"/>
    <w:rsid w:val="008074CD"/>
    <w:rsid w:val="00812299"/>
    <w:rsid w:val="0082583B"/>
    <w:rsid w:val="00837E4F"/>
    <w:rsid w:val="00845E69"/>
    <w:rsid w:val="008475E0"/>
    <w:rsid w:val="00854D78"/>
    <w:rsid w:val="008567DB"/>
    <w:rsid w:val="0086274E"/>
    <w:rsid w:val="0086757D"/>
    <w:rsid w:val="00895B3A"/>
    <w:rsid w:val="008B16CE"/>
    <w:rsid w:val="008B50BE"/>
    <w:rsid w:val="008B742B"/>
    <w:rsid w:val="008D12C2"/>
    <w:rsid w:val="008D4A39"/>
    <w:rsid w:val="008D63E3"/>
    <w:rsid w:val="008E00F4"/>
    <w:rsid w:val="008F3F42"/>
    <w:rsid w:val="0090184E"/>
    <w:rsid w:val="00907436"/>
    <w:rsid w:val="00910517"/>
    <w:rsid w:val="0092397B"/>
    <w:rsid w:val="00933AF9"/>
    <w:rsid w:val="00941EC7"/>
    <w:rsid w:val="0094263D"/>
    <w:rsid w:val="009435EC"/>
    <w:rsid w:val="00944931"/>
    <w:rsid w:val="00955D03"/>
    <w:rsid w:val="0096288C"/>
    <w:rsid w:val="00962974"/>
    <w:rsid w:val="00971640"/>
    <w:rsid w:val="009758F3"/>
    <w:rsid w:val="009833B0"/>
    <w:rsid w:val="00991349"/>
    <w:rsid w:val="00992FBB"/>
    <w:rsid w:val="009971B1"/>
    <w:rsid w:val="009A2F34"/>
    <w:rsid w:val="009B0C49"/>
    <w:rsid w:val="009B1725"/>
    <w:rsid w:val="009B37E1"/>
    <w:rsid w:val="009B4154"/>
    <w:rsid w:val="009B634E"/>
    <w:rsid w:val="009D1469"/>
    <w:rsid w:val="009D4A68"/>
    <w:rsid w:val="009F0249"/>
    <w:rsid w:val="009F64E4"/>
    <w:rsid w:val="00A11923"/>
    <w:rsid w:val="00A12CA8"/>
    <w:rsid w:val="00A1491F"/>
    <w:rsid w:val="00A15339"/>
    <w:rsid w:val="00A20112"/>
    <w:rsid w:val="00A23728"/>
    <w:rsid w:val="00A27E1A"/>
    <w:rsid w:val="00A40251"/>
    <w:rsid w:val="00A42117"/>
    <w:rsid w:val="00A47AA8"/>
    <w:rsid w:val="00A53647"/>
    <w:rsid w:val="00A539F2"/>
    <w:rsid w:val="00A62BC1"/>
    <w:rsid w:val="00A82D92"/>
    <w:rsid w:val="00A94208"/>
    <w:rsid w:val="00AA34EB"/>
    <w:rsid w:val="00AA6E9B"/>
    <w:rsid w:val="00AA73A5"/>
    <w:rsid w:val="00AA7A91"/>
    <w:rsid w:val="00AB025C"/>
    <w:rsid w:val="00AB1907"/>
    <w:rsid w:val="00AD3D1F"/>
    <w:rsid w:val="00AE0B16"/>
    <w:rsid w:val="00AE49DD"/>
    <w:rsid w:val="00AF6589"/>
    <w:rsid w:val="00B069C7"/>
    <w:rsid w:val="00B25073"/>
    <w:rsid w:val="00B345D8"/>
    <w:rsid w:val="00B41D4B"/>
    <w:rsid w:val="00B46B75"/>
    <w:rsid w:val="00B46D9F"/>
    <w:rsid w:val="00B53FFA"/>
    <w:rsid w:val="00B57983"/>
    <w:rsid w:val="00B61E11"/>
    <w:rsid w:val="00B82F01"/>
    <w:rsid w:val="00BA3560"/>
    <w:rsid w:val="00BA4431"/>
    <w:rsid w:val="00BC0ABB"/>
    <w:rsid w:val="00BC106A"/>
    <w:rsid w:val="00BC63A1"/>
    <w:rsid w:val="00BD1BBF"/>
    <w:rsid w:val="00BD26FE"/>
    <w:rsid w:val="00BE6A36"/>
    <w:rsid w:val="00C00DE5"/>
    <w:rsid w:val="00C0175C"/>
    <w:rsid w:val="00C02E37"/>
    <w:rsid w:val="00C11D31"/>
    <w:rsid w:val="00C267DB"/>
    <w:rsid w:val="00C466DB"/>
    <w:rsid w:val="00C5794A"/>
    <w:rsid w:val="00C6770A"/>
    <w:rsid w:val="00C719B9"/>
    <w:rsid w:val="00C8013D"/>
    <w:rsid w:val="00CB1747"/>
    <w:rsid w:val="00CB1C65"/>
    <w:rsid w:val="00CB1FB0"/>
    <w:rsid w:val="00CE2E56"/>
    <w:rsid w:val="00CE4966"/>
    <w:rsid w:val="00CF34A5"/>
    <w:rsid w:val="00D03735"/>
    <w:rsid w:val="00D04B9D"/>
    <w:rsid w:val="00D05C6A"/>
    <w:rsid w:val="00D132CC"/>
    <w:rsid w:val="00D13E2C"/>
    <w:rsid w:val="00D57DF8"/>
    <w:rsid w:val="00D57F84"/>
    <w:rsid w:val="00D647A4"/>
    <w:rsid w:val="00D66A63"/>
    <w:rsid w:val="00D70281"/>
    <w:rsid w:val="00D717E1"/>
    <w:rsid w:val="00D739D8"/>
    <w:rsid w:val="00D800C6"/>
    <w:rsid w:val="00D914F4"/>
    <w:rsid w:val="00DB2339"/>
    <w:rsid w:val="00DB316B"/>
    <w:rsid w:val="00DB4220"/>
    <w:rsid w:val="00DB6E90"/>
    <w:rsid w:val="00DC3451"/>
    <w:rsid w:val="00DC3824"/>
    <w:rsid w:val="00DF0495"/>
    <w:rsid w:val="00DF2A63"/>
    <w:rsid w:val="00E00DC8"/>
    <w:rsid w:val="00E01FB5"/>
    <w:rsid w:val="00E11F2A"/>
    <w:rsid w:val="00E14064"/>
    <w:rsid w:val="00E2117E"/>
    <w:rsid w:val="00E2330C"/>
    <w:rsid w:val="00E41397"/>
    <w:rsid w:val="00E500CF"/>
    <w:rsid w:val="00E546E3"/>
    <w:rsid w:val="00E56817"/>
    <w:rsid w:val="00E67CCA"/>
    <w:rsid w:val="00E708EF"/>
    <w:rsid w:val="00E772CB"/>
    <w:rsid w:val="00E818BC"/>
    <w:rsid w:val="00E90051"/>
    <w:rsid w:val="00E93739"/>
    <w:rsid w:val="00EC029C"/>
    <w:rsid w:val="00EC3DDF"/>
    <w:rsid w:val="00ED430C"/>
    <w:rsid w:val="00ED700A"/>
    <w:rsid w:val="00EE0E79"/>
    <w:rsid w:val="00EF2EC3"/>
    <w:rsid w:val="00EF2F84"/>
    <w:rsid w:val="00F00502"/>
    <w:rsid w:val="00F05D09"/>
    <w:rsid w:val="00F1203E"/>
    <w:rsid w:val="00F162BD"/>
    <w:rsid w:val="00F177AB"/>
    <w:rsid w:val="00F324CB"/>
    <w:rsid w:val="00F3398A"/>
    <w:rsid w:val="00F34FAD"/>
    <w:rsid w:val="00F35BFF"/>
    <w:rsid w:val="00F41207"/>
    <w:rsid w:val="00F43034"/>
    <w:rsid w:val="00F5102C"/>
    <w:rsid w:val="00F537FB"/>
    <w:rsid w:val="00F54A89"/>
    <w:rsid w:val="00F56230"/>
    <w:rsid w:val="00F60A0B"/>
    <w:rsid w:val="00F62333"/>
    <w:rsid w:val="00F819C2"/>
    <w:rsid w:val="00F86520"/>
    <w:rsid w:val="00FA1FBD"/>
    <w:rsid w:val="00FA4538"/>
    <w:rsid w:val="00FA59FB"/>
    <w:rsid w:val="00FB2518"/>
    <w:rsid w:val="00FB2F23"/>
    <w:rsid w:val="00FB49A5"/>
    <w:rsid w:val="00FB4E1D"/>
    <w:rsid w:val="00FB639E"/>
    <w:rsid w:val="00FC03C2"/>
    <w:rsid w:val="00FC20FD"/>
    <w:rsid w:val="00FC2A98"/>
    <w:rsid w:val="00FC72D1"/>
    <w:rsid w:val="00FD1726"/>
    <w:rsid w:val="00FD2893"/>
    <w:rsid w:val="00FD6FBA"/>
    <w:rsid w:val="00FE28FB"/>
    <w:rsid w:val="00FE3A02"/>
    <w:rsid w:val="00FE64F8"/>
    <w:rsid w:val="00FE6F01"/>
    <w:rsid w:val="00FF2A1F"/>
    <w:rsid w:val="00FF34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5B5DAD"/>
  <w15:docId w15:val="{F36FD1C0-36DC-48E8-8394-4073FC3E1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8F"/>
  </w:style>
  <w:style w:type="paragraph" w:styleId="Ttulo1">
    <w:name w:val="heading 1"/>
    <w:basedOn w:val="Normal"/>
    <w:link w:val="Ttulo1Car"/>
    <w:uiPriority w:val="1"/>
    <w:qFormat/>
    <w:rsid w:val="0004438F"/>
    <w:pPr>
      <w:widowControl w:val="0"/>
      <w:autoSpaceDE w:val="0"/>
      <w:autoSpaceDN w:val="0"/>
      <w:spacing w:before="24" w:after="0" w:line="240" w:lineRule="auto"/>
      <w:ind w:left="101"/>
      <w:outlineLvl w:val="0"/>
    </w:pPr>
    <w:rPr>
      <w:rFonts w:ascii="Palatino Linotype" w:eastAsia="Palatino Linotype" w:hAnsi="Palatino Linotype" w:cs="Palatino Linotype"/>
      <w:b/>
      <w:bCs/>
      <w:sz w:val="24"/>
      <w:szCs w:val="24"/>
      <w:lang w:val="es-ES" w:eastAsia="en-US"/>
    </w:rPr>
  </w:style>
  <w:style w:type="paragraph" w:styleId="Ttulo2">
    <w:name w:val="heading 2"/>
    <w:basedOn w:val="Normal"/>
    <w:next w:val="Normal"/>
    <w:link w:val="Ttulo2Car"/>
    <w:uiPriority w:val="1"/>
    <w:unhideWhenUsed/>
    <w:qFormat/>
    <w:rsid w:val="000443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1"/>
    <w:qFormat/>
    <w:rsid w:val="008F1CE5"/>
    <w:pPr>
      <w:widowControl w:val="0"/>
      <w:autoSpaceDE w:val="0"/>
      <w:autoSpaceDN w:val="0"/>
      <w:spacing w:after="0" w:line="240" w:lineRule="auto"/>
      <w:ind w:left="821" w:hanging="361"/>
      <w:outlineLvl w:val="2"/>
    </w:pPr>
    <w:rPr>
      <w:rFonts w:ascii="Palatino Linotype" w:eastAsia="Palatino Linotype" w:hAnsi="Palatino Linotype" w:cs="Palatino Linotype"/>
      <w:b/>
      <w:bCs/>
      <w:lang w:val="es-ES" w:eastAsia="en-US"/>
    </w:rPr>
  </w:style>
  <w:style w:type="paragraph" w:styleId="Ttulo4">
    <w:name w:val="heading 4"/>
    <w:basedOn w:val="Normal"/>
    <w:next w:val="Normal"/>
    <w:link w:val="Ttulo4Car"/>
    <w:uiPriority w:val="1"/>
    <w:unhideWhenUsed/>
    <w:qFormat/>
    <w:rsid w:val="008F1CE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4438F"/>
    <w:pPr>
      <w:spacing w:after="0" w:line="240" w:lineRule="auto"/>
      <w:ind w:left="720"/>
      <w:contextualSpacing/>
    </w:pPr>
    <w:rPr>
      <w:rFonts w:ascii="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4438F"/>
    <w:rPr>
      <w:rFonts w:ascii="Times New Roman" w:eastAsia="Calibri" w:hAnsi="Times New Roman" w:cs="Times New Roman"/>
      <w:sz w:val="24"/>
      <w:szCs w:val="24"/>
      <w:lang w:val="es-ES" w:eastAsia="es-ES"/>
    </w:rPr>
  </w:style>
  <w:style w:type="character" w:customStyle="1" w:styleId="Ttulo1Car">
    <w:name w:val="Título 1 Car"/>
    <w:basedOn w:val="Fuentedeprrafopredeter"/>
    <w:link w:val="Ttulo1"/>
    <w:uiPriority w:val="1"/>
    <w:rsid w:val="0004438F"/>
    <w:rPr>
      <w:rFonts w:ascii="Palatino Linotype" w:eastAsia="Palatino Linotype" w:hAnsi="Palatino Linotype" w:cs="Palatino Linotype"/>
      <w:b/>
      <w:bCs/>
      <w:sz w:val="24"/>
      <w:szCs w:val="24"/>
      <w:lang w:val="es-ES"/>
    </w:rPr>
  </w:style>
  <w:style w:type="character" w:customStyle="1" w:styleId="Ttulo2Car">
    <w:name w:val="Título 2 Car"/>
    <w:basedOn w:val="Fuentedeprrafopredeter"/>
    <w:link w:val="Ttulo2"/>
    <w:uiPriority w:val="1"/>
    <w:rsid w:val="0004438F"/>
    <w:rPr>
      <w:rFonts w:asciiTheme="majorHAnsi" w:eastAsiaTheme="majorEastAsia" w:hAnsiTheme="majorHAnsi" w:cstheme="majorBidi"/>
      <w:color w:val="2E74B5" w:themeColor="accent1" w:themeShade="BF"/>
      <w:sz w:val="26"/>
      <w:szCs w:val="26"/>
      <w:lang w:eastAsia="es-MX"/>
    </w:rPr>
  </w:style>
  <w:style w:type="table" w:styleId="Tablaconcuadrcula">
    <w:name w:val="Table Grid"/>
    <w:basedOn w:val="Tablanormal"/>
    <w:uiPriority w:val="59"/>
    <w:rsid w:val="0004438F"/>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443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438F"/>
    <w:rPr>
      <w:rFonts w:ascii="Calibri" w:eastAsia="Calibri" w:hAnsi="Calibri" w:cs="Calibri"/>
      <w:lang w:eastAsia="es-MX"/>
    </w:rPr>
  </w:style>
  <w:style w:type="paragraph" w:styleId="Piedepgina">
    <w:name w:val="footer"/>
    <w:basedOn w:val="Normal"/>
    <w:link w:val="PiedepginaCar"/>
    <w:uiPriority w:val="99"/>
    <w:unhideWhenUsed/>
    <w:rsid w:val="000443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438F"/>
    <w:rPr>
      <w:rFonts w:ascii="Calibri" w:eastAsia="Calibri" w:hAnsi="Calibri" w:cs="Calibri"/>
      <w:lang w:eastAsia="es-MX"/>
    </w:rPr>
  </w:style>
  <w:style w:type="paragraph" w:styleId="Textoindependiente">
    <w:name w:val="Body Text"/>
    <w:basedOn w:val="Normal"/>
    <w:link w:val="TextoindependienteCar"/>
    <w:uiPriority w:val="1"/>
    <w:qFormat/>
    <w:rsid w:val="008F1CE5"/>
    <w:pPr>
      <w:widowControl w:val="0"/>
      <w:autoSpaceDE w:val="0"/>
      <w:autoSpaceDN w:val="0"/>
      <w:spacing w:after="0" w:line="240" w:lineRule="auto"/>
    </w:pPr>
    <w:rPr>
      <w:rFonts w:ascii="Palatino Linotype" w:eastAsia="Palatino Linotype" w:hAnsi="Palatino Linotype" w:cs="Palatino Linotype"/>
      <w:i/>
      <w:iCs/>
      <w:lang w:val="es-ES" w:eastAsia="en-US"/>
    </w:rPr>
  </w:style>
  <w:style w:type="character" w:customStyle="1" w:styleId="TextoindependienteCar">
    <w:name w:val="Texto independiente Car"/>
    <w:basedOn w:val="Fuentedeprrafopredeter"/>
    <w:link w:val="Textoindependiente"/>
    <w:uiPriority w:val="1"/>
    <w:rsid w:val="008F1CE5"/>
    <w:rPr>
      <w:rFonts w:ascii="Palatino Linotype" w:eastAsia="Palatino Linotype" w:hAnsi="Palatino Linotype" w:cs="Palatino Linotype"/>
      <w:i/>
      <w:iCs/>
      <w:lang w:val="es-ES"/>
    </w:rPr>
  </w:style>
  <w:style w:type="character" w:customStyle="1" w:styleId="Ttulo4Car">
    <w:name w:val="Título 4 Car"/>
    <w:basedOn w:val="Fuentedeprrafopredeter"/>
    <w:link w:val="Ttulo4"/>
    <w:uiPriority w:val="1"/>
    <w:rsid w:val="008F1CE5"/>
    <w:rPr>
      <w:rFonts w:asciiTheme="majorHAnsi" w:eastAsiaTheme="majorEastAsia" w:hAnsiTheme="majorHAnsi" w:cstheme="majorBidi"/>
      <w:i/>
      <w:iCs/>
      <w:color w:val="2E74B5" w:themeColor="accent1" w:themeShade="BF"/>
      <w:lang w:eastAsia="es-MX"/>
    </w:rPr>
  </w:style>
  <w:style w:type="character" w:customStyle="1" w:styleId="Ttulo3Car">
    <w:name w:val="Título 3 Car"/>
    <w:basedOn w:val="Fuentedeprrafopredeter"/>
    <w:link w:val="Ttulo3"/>
    <w:uiPriority w:val="1"/>
    <w:rsid w:val="008F1CE5"/>
    <w:rPr>
      <w:rFonts w:ascii="Palatino Linotype" w:eastAsia="Palatino Linotype" w:hAnsi="Palatino Linotype" w:cs="Palatino Linotype"/>
      <w:b/>
      <w:bCs/>
      <w:lang w:val="es-ES"/>
    </w:rPr>
  </w:style>
  <w:style w:type="table" w:customStyle="1" w:styleId="TableNormal0">
    <w:name w:val="Table Normal"/>
    <w:uiPriority w:val="2"/>
    <w:semiHidden/>
    <w:unhideWhenUsed/>
    <w:qFormat/>
    <w:rsid w:val="008F1C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F1CE5"/>
    <w:pPr>
      <w:widowControl w:val="0"/>
      <w:autoSpaceDE w:val="0"/>
      <w:autoSpaceDN w:val="0"/>
      <w:spacing w:after="0" w:line="240" w:lineRule="auto"/>
    </w:pPr>
    <w:rPr>
      <w:rFonts w:ascii="Palatino Linotype" w:eastAsia="Palatino Linotype" w:hAnsi="Palatino Linotype" w:cs="Palatino Linotype"/>
      <w:lang w:val="es-ES"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D03735"/>
    <w:rPr>
      <w:color w:val="0563C1" w:themeColor="hyperlink"/>
      <w:u w:val="single"/>
    </w:rPr>
  </w:style>
  <w:style w:type="character" w:customStyle="1" w:styleId="SinespaciadoCar">
    <w:name w:val="Sin espaciado Car"/>
    <w:aliases w:val="Francesa Car,INAI Car"/>
    <w:link w:val="Sinespaciado"/>
    <w:uiPriority w:val="1"/>
    <w:locked/>
    <w:rsid w:val="0090184E"/>
    <w:rPr>
      <w:rFonts w:ascii="Times New Roman" w:eastAsia="Times New Roman" w:hAnsi="Times New Roman" w:cs="Times New Roman"/>
      <w:sz w:val="24"/>
      <w:szCs w:val="24"/>
      <w:lang w:eastAsia="es-ES"/>
    </w:rPr>
  </w:style>
  <w:style w:type="paragraph" w:styleId="Sinespaciado">
    <w:name w:val="No Spacing"/>
    <w:aliases w:val="Francesa,INAI"/>
    <w:link w:val="SinespaciadoCar"/>
    <w:uiPriority w:val="1"/>
    <w:qFormat/>
    <w:rsid w:val="0090184E"/>
    <w:pPr>
      <w:spacing w:after="0"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132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32CC"/>
    <w:rPr>
      <w:rFonts w:ascii="Segoe UI" w:hAnsi="Segoe UI" w:cs="Segoe UI"/>
      <w:sz w:val="18"/>
      <w:szCs w:val="18"/>
    </w:rPr>
  </w:style>
  <w:style w:type="character" w:styleId="nfasis">
    <w:name w:val="Emphasis"/>
    <w:basedOn w:val="Fuentedeprrafopredeter"/>
    <w:uiPriority w:val="20"/>
    <w:qFormat/>
    <w:rsid w:val="00D132CC"/>
    <w:rPr>
      <w:i/>
      <w:iCs/>
    </w:rPr>
  </w:style>
  <w:style w:type="paragraph" w:styleId="Textonotapie">
    <w:name w:val="footnote text"/>
    <w:basedOn w:val="Normal"/>
    <w:link w:val="TextonotapieCar"/>
    <w:uiPriority w:val="99"/>
    <w:semiHidden/>
    <w:unhideWhenUsed/>
    <w:rsid w:val="005643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64397"/>
    <w:rPr>
      <w:sz w:val="20"/>
      <w:szCs w:val="20"/>
    </w:rPr>
  </w:style>
  <w:style w:type="character" w:styleId="Refdenotaalpie">
    <w:name w:val="footnote reference"/>
    <w:basedOn w:val="Fuentedeprrafopredeter"/>
    <w:uiPriority w:val="99"/>
    <w:semiHidden/>
    <w:unhideWhenUsed/>
    <w:rsid w:val="00564397"/>
    <w:rPr>
      <w:vertAlign w:val="superscript"/>
    </w:rPr>
  </w:style>
  <w:style w:type="table" w:customStyle="1" w:styleId="Tablaconcuadrcula31">
    <w:name w:val="Tabla con cuadrícula31"/>
    <w:basedOn w:val="Tablanormal"/>
    <w:uiPriority w:val="59"/>
    <w:rsid w:val="004C6BCC"/>
    <w:pPr>
      <w:spacing w:after="0" w:line="240" w:lineRule="auto"/>
    </w:pPr>
    <w:rPr>
      <w:rFonts w:ascii="Times New Roman" w:eastAsiaTheme="minorHAns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DB6E90"/>
    <w:pPr>
      <w:spacing w:before="240" w:line="360" w:lineRule="auto"/>
      <w:ind w:left="851" w:right="851"/>
      <w:jc w:val="both"/>
    </w:pPr>
    <w:rPr>
      <w:rFonts w:ascii="Palatino Linotype" w:eastAsiaTheme="minorHAnsi" w:hAnsi="Palatino Linotype" w:cs="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558442">
      <w:bodyDiv w:val="1"/>
      <w:marLeft w:val="0"/>
      <w:marRight w:val="0"/>
      <w:marTop w:val="0"/>
      <w:marBottom w:val="0"/>
      <w:divBdr>
        <w:top w:val="none" w:sz="0" w:space="0" w:color="auto"/>
        <w:left w:val="none" w:sz="0" w:space="0" w:color="auto"/>
        <w:bottom w:val="none" w:sz="0" w:space="0" w:color="auto"/>
        <w:right w:val="none" w:sz="0" w:space="0" w:color="auto"/>
      </w:divBdr>
    </w:div>
    <w:div w:id="745566880">
      <w:bodyDiv w:val="1"/>
      <w:marLeft w:val="0"/>
      <w:marRight w:val="0"/>
      <w:marTop w:val="0"/>
      <w:marBottom w:val="0"/>
      <w:divBdr>
        <w:top w:val="none" w:sz="0" w:space="0" w:color="auto"/>
        <w:left w:val="none" w:sz="0" w:space="0" w:color="auto"/>
        <w:bottom w:val="none" w:sz="0" w:space="0" w:color="auto"/>
        <w:right w:val="none" w:sz="0" w:space="0" w:color="auto"/>
      </w:divBdr>
    </w:div>
    <w:div w:id="1175341057">
      <w:bodyDiv w:val="1"/>
      <w:marLeft w:val="0"/>
      <w:marRight w:val="0"/>
      <w:marTop w:val="0"/>
      <w:marBottom w:val="0"/>
      <w:divBdr>
        <w:top w:val="none" w:sz="0" w:space="0" w:color="auto"/>
        <w:left w:val="none" w:sz="0" w:space="0" w:color="auto"/>
        <w:bottom w:val="none" w:sz="0" w:space="0" w:color="auto"/>
        <w:right w:val="none" w:sz="0" w:space="0" w:color="auto"/>
      </w:divBdr>
    </w:div>
    <w:div w:id="1226835798">
      <w:bodyDiv w:val="1"/>
      <w:marLeft w:val="0"/>
      <w:marRight w:val="0"/>
      <w:marTop w:val="0"/>
      <w:marBottom w:val="0"/>
      <w:divBdr>
        <w:top w:val="none" w:sz="0" w:space="0" w:color="auto"/>
        <w:left w:val="none" w:sz="0" w:space="0" w:color="auto"/>
        <w:bottom w:val="none" w:sz="0" w:space="0" w:color="auto"/>
        <w:right w:val="none" w:sz="0" w:space="0" w:color="auto"/>
      </w:divBdr>
    </w:div>
    <w:div w:id="1387024369">
      <w:bodyDiv w:val="1"/>
      <w:marLeft w:val="0"/>
      <w:marRight w:val="0"/>
      <w:marTop w:val="0"/>
      <w:marBottom w:val="0"/>
      <w:divBdr>
        <w:top w:val="none" w:sz="0" w:space="0" w:color="auto"/>
        <w:left w:val="none" w:sz="0" w:space="0" w:color="auto"/>
        <w:bottom w:val="none" w:sz="0" w:space="0" w:color="auto"/>
        <w:right w:val="none" w:sz="0" w:space="0" w:color="auto"/>
      </w:divBdr>
    </w:div>
    <w:div w:id="1571579589">
      <w:bodyDiv w:val="1"/>
      <w:marLeft w:val="0"/>
      <w:marRight w:val="0"/>
      <w:marTop w:val="0"/>
      <w:marBottom w:val="0"/>
      <w:divBdr>
        <w:top w:val="none" w:sz="0" w:space="0" w:color="auto"/>
        <w:left w:val="none" w:sz="0" w:space="0" w:color="auto"/>
        <w:bottom w:val="none" w:sz="0" w:space="0" w:color="auto"/>
        <w:right w:val="none" w:sz="0" w:space="0" w:color="auto"/>
      </w:divBdr>
    </w:div>
    <w:div w:id="1870289960">
      <w:bodyDiv w:val="1"/>
      <w:marLeft w:val="0"/>
      <w:marRight w:val="0"/>
      <w:marTop w:val="0"/>
      <w:marBottom w:val="0"/>
      <w:divBdr>
        <w:top w:val="none" w:sz="0" w:space="0" w:color="auto"/>
        <w:left w:val="none" w:sz="0" w:space="0" w:color="auto"/>
        <w:bottom w:val="none" w:sz="0" w:space="0" w:color="auto"/>
        <w:right w:val="none" w:sz="0" w:space="0" w:color="auto"/>
      </w:divBdr>
    </w:div>
    <w:div w:id="1928492017">
      <w:bodyDiv w:val="1"/>
      <w:marLeft w:val="0"/>
      <w:marRight w:val="0"/>
      <w:marTop w:val="0"/>
      <w:marBottom w:val="0"/>
      <w:divBdr>
        <w:top w:val="none" w:sz="0" w:space="0" w:color="auto"/>
        <w:left w:val="none" w:sz="0" w:space="0" w:color="auto"/>
        <w:bottom w:val="none" w:sz="0" w:space="0" w:color="auto"/>
        <w:right w:val="none" w:sz="0" w:space="0" w:color="auto"/>
      </w:divBdr>
    </w:div>
    <w:div w:id="1996454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AYqQnvBopdx2nQDd6IIhMFjiQg==">AMUW2mWhnfzvHvsRiYIpGuU3RFC8aZtOnFtU1EwhVkDG4pgSbwgeEXklgN8Gj1eHLhZVqnq2eZtnHpLQ+8tax2IW5n1zeAyKaF7wapcia+aAk1oGzeiJu6x00nkx+p3W+sudobGS/aaE</go:docsCustomData>
</go:gDocsCustomXmlDataStorage>
</file>

<file path=customXml/itemProps1.xml><?xml version="1.0" encoding="utf-8"?>
<ds:datastoreItem xmlns:ds="http://schemas.openxmlformats.org/officeDocument/2006/customXml" ds:itemID="{266316EB-B653-4FDB-9CC2-08DDBA7379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1004</Words>
  <Characters>5526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Infoem642</cp:lastModifiedBy>
  <cp:revision>7</cp:revision>
  <cp:lastPrinted>2025-06-12T19:05:00Z</cp:lastPrinted>
  <dcterms:created xsi:type="dcterms:W3CDTF">2025-05-19T17:41:00Z</dcterms:created>
  <dcterms:modified xsi:type="dcterms:W3CDTF">2025-06-16T17:39:00Z</dcterms:modified>
</cp:coreProperties>
</file>