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BE" w:rsidRPr="00130E5B" w:rsidRDefault="00F8702B">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Start w:id="1" w:name="_GoBack"/>
      <w:bookmarkEnd w:id="0"/>
      <w:bookmarkEnd w:id="1"/>
      <w:r w:rsidRPr="00130E5B">
        <w:rPr>
          <w:rFonts w:ascii="Palatino Linotype" w:eastAsia="Palatino Linotype" w:hAnsi="Palatino Linotype" w:cs="Palatino Linotype"/>
          <w:b/>
        </w:rPr>
        <w:t xml:space="preserve">VOTO DISIDENTE QUE FORMULA LA COMISIONADA GUADALUPE RAMÍREZ PEÑA, EN RELACIÓN CON LA RESOLUCIÓN DICTADA POR EL PLENO DEL INSTITUTO DE TRANSPARENCIA, ACCESO A LA INFORMACIÓN PÚBLICA Y PROTECCIÓN DE DATOS PERSONALES DEL ESTADO DE MÉXICO Y MUNICIPIOS, EN LA VIGÉSIMA </w:t>
      </w:r>
      <w:r w:rsidR="004621BC">
        <w:rPr>
          <w:rFonts w:ascii="Palatino Linotype" w:eastAsia="Palatino Linotype" w:hAnsi="Palatino Linotype" w:cs="Palatino Linotype"/>
          <w:b/>
        </w:rPr>
        <w:t>SEGUNDA</w:t>
      </w:r>
      <w:r w:rsidR="00896E0F">
        <w:rPr>
          <w:rFonts w:ascii="Palatino Linotype" w:eastAsia="Palatino Linotype" w:hAnsi="Palatino Linotype" w:cs="Palatino Linotype"/>
          <w:b/>
        </w:rPr>
        <w:t xml:space="preserve"> </w:t>
      </w:r>
      <w:r w:rsidRPr="00130E5B">
        <w:rPr>
          <w:rFonts w:ascii="Palatino Linotype" w:eastAsia="Palatino Linotype" w:hAnsi="Palatino Linotype" w:cs="Palatino Linotype"/>
          <w:b/>
        </w:rPr>
        <w:t xml:space="preserve">SESIÓN ORDINARIA CELEBRADA EL </w:t>
      </w:r>
      <w:r w:rsidR="004621BC">
        <w:rPr>
          <w:rFonts w:ascii="Palatino Linotype" w:eastAsia="Palatino Linotype" w:hAnsi="Palatino Linotype" w:cs="Palatino Linotype"/>
          <w:b/>
        </w:rPr>
        <w:t>DIECIOCHO</w:t>
      </w:r>
      <w:r w:rsidRPr="00130E5B">
        <w:rPr>
          <w:rFonts w:ascii="Palatino Linotype" w:eastAsia="Palatino Linotype" w:hAnsi="Palatino Linotype" w:cs="Palatino Linotype"/>
          <w:b/>
        </w:rPr>
        <w:t xml:space="preserve"> DE JUNIO DE DOS MIL VEINTICINCO, EN EL RECURSO DE REVISIÓN </w:t>
      </w:r>
      <w:r w:rsidR="004621BC" w:rsidRPr="004621BC">
        <w:rPr>
          <w:rFonts w:ascii="Palatino Linotype" w:eastAsia="Palatino Linotype" w:hAnsi="Palatino Linotype" w:cs="Palatino Linotype"/>
          <w:b/>
          <w:color w:val="000000"/>
          <w:szCs w:val="20"/>
        </w:rPr>
        <w:t>03790/INFOEM/IP/RR/2025</w:t>
      </w:r>
      <w:r w:rsidR="004621BC">
        <w:rPr>
          <w:rFonts w:ascii="Palatino Linotype" w:eastAsia="Palatino Linotype" w:hAnsi="Palatino Linotype" w:cs="Palatino Linotype"/>
          <w:b/>
        </w:rPr>
        <w:t>.</w:t>
      </w:r>
    </w:p>
    <w:p w:rsidR="00D470BE" w:rsidRPr="00130E5B" w:rsidRDefault="00F8702B">
      <w:pPr>
        <w:spacing w:before="240" w:after="240" w:line="360" w:lineRule="auto"/>
        <w:ind w:right="139"/>
        <w:jc w:val="both"/>
        <w:rPr>
          <w:rFonts w:ascii="Palatino Linotype" w:eastAsia="Palatino Linotype" w:hAnsi="Palatino Linotype" w:cs="Palatino Linotype"/>
          <w:b/>
        </w:rPr>
      </w:pPr>
      <w:bookmarkStart w:id="2" w:name="_heading=h.du7io9s62pbi" w:colFirst="0" w:colLast="0"/>
      <w:bookmarkEnd w:id="2"/>
      <w:r w:rsidRPr="00130E5B">
        <w:rPr>
          <w:rFonts w:ascii="Palatino Linotype" w:eastAsia="Palatino Linotype" w:hAnsi="Palatino Linotype" w:cs="Palatino Linotype"/>
        </w:rPr>
        <w:t>Con fundamento en lo dispuesto por el artículo 14, fracciones X y XI, del Reglamento del Instituto de Transparencia, Acceso a la Información Pública y Protección de Datos Personales del Estado de México y Municipios, la que suscribe</w:t>
      </w:r>
      <w:r w:rsidRPr="00130E5B">
        <w:rPr>
          <w:rFonts w:ascii="Palatino Linotype" w:eastAsia="Palatino Linotype" w:hAnsi="Palatino Linotype" w:cs="Palatino Linotype"/>
          <w:b/>
        </w:rPr>
        <w:t xml:space="preserve">, </w:t>
      </w:r>
      <w:r w:rsidRPr="00130E5B">
        <w:rPr>
          <w:rFonts w:ascii="Palatino Linotype" w:eastAsia="Palatino Linotype" w:hAnsi="Palatino Linotype" w:cs="Palatino Linotype"/>
        </w:rPr>
        <w:t xml:space="preserve">emite </w:t>
      </w:r>
      <w:r w:rsidRPr="00130E5B">
        <w:rPr>
          <w:rFonts w:ascii="Palatino Linotype" w:eastAsia="Palatino Linotype" w:hAnsi="Palatino Linotype" w:cs="Palatino Linotype"/>
          <w:b/>
        </w:rPr>
        <w:t xml:space="preserve">Voto Disidente </w:t>
      </w:r>
      <w:r w:rsidRPr="00130E5B">
        <w:rPr>
          <w:rFonts w:ascii="Palatino Linotype" w:eastAsia="Palatino Linotype" w:hAnsi="Palatino Linotype" w:cs="Palatino Linotype"/>
        </w:rPr>
        <w:t xml:space="preserve">respecto a la resolución dictada en el recurso de revisión </w:t>
      </w:r>
      <w:r w:rsidR="004621BC" w:rsidRPr="004621BC">
        <w:rPr>
          <w:rFonts w:ascii="Palatino Linotype" w:eastAsia="Palatino Linotype" w:hAnsi="Palatino Linotype" w:cs="Palatino Linotype"/>
          <w:b/>
          <w:color w:val="000000"/>
          <w:szCs w:val="20"/>
        </w:rPr>
        <w:t>03790/INFOEM/IP/RR/2025</w:t>
      </w:r>
      <w:r w:rsidR="00FE7BA7">
        <w:rPr>
          <w:rFonts w:ascii="Palatino Linotype" w:eastAsia="Palatino Linotype" w:hAnsi="Palatino Linotype" w:cs="Palatino Linotype"/>
          <w:b/>
        </w:rPr>
        <w:t xml:space="preserve"> al tenor de lo siguiente:</w:t>
      </w:r>
      <w:r w:rsidRPr="00130E5B">
        <w:rPr>
          <w:rFonts w:ascii="Palatino Linotype" w:eastAsia="Palatino Linotype" w:hAnsi="Palatino Linotype" w:cs="Palatino Linotype"/>
        </w:rPr>
        <w:t xml:space="preserve"> </w:t>
      </w:r>
    </w:p>
    <w:p w:rsidR="00D470BE" w:rsidRPr="00130E5B" w:rsidRDefault="00F8702B">
      <w:pPr>
        <w:numPr>
          <w:ilvl w:val="0"/>
          <w:numId w:val="1"/>
        </w:numPr>
        <w:spacing w:after="0" w:line="360" w:lineRule="auto"/>
        <w:ind w:left="567" w:right="139" w:hanging="283"/>
        <w:jc w:val="both"/>
        <w:rPr>
          <w:rFonts w:ascii="Palatino Linotype" w:eastAsia="Palatino Linotype" w:hAnsi="Palatino Linotype" w:cs="Palatino Linotype"/>
        </w:rPr>
      </w:pPr>
      <w:r w:rsidRPr="00130E5B">
        <w:rPr>
          <w:rFonts w:ascii="Palatino Linotype" w:eastAsia="Palatino Linotype" w:hAnsi="Palatino Linotype" w:cs="Palatino Linotype"/>
          <w:b/>
        </w:rPr>
        <w:t>Antecedentes.</w:t>
      </w:r>
    </w:p>
    <w:p w:rsidR="004621BC" w:rsidRPr="004621BC"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A través de la solicitud de acceso a la información que nos ocupa, la persona solicitante requirió al </w:t>
      </w:r>
      <w:r w:rsidRPr="00130E5B">
        <w:rPr>
          <w:rFonts w:ascii="Palatino Linotype" w:eastAsia="Palatino Linotype" w:hAnsi="Palatino Linotype" w:cs="Palatino Linotype"/>
          <w:b/>
        </w:rPr>
        <w:t xml:space="preserve">Sujeto Obligado </w:t>
      </w:r>
      <w:r w:rsidR="00FE7BA7" w:rsidRPr="004621BC">
        <w:rPr>
          <w:rFonts w:ascii="Palatino Linotype" w:eastAsia="Palatino Linotype" w:hAnsi="Palatino Linotype" w:cs="Palatino Linotype"/>
        </w:rPr>
        <w:t xml:space="preserve">las actas </w:t>
      </w:r>
      <w:bookmarkStart w:id="3" w:name="_Hlk199866704"/>
      <w:r w:rsidR="004621BC" w:rsidRPr="004621BC">
        <w:rPr>
          <w:rFonts w:ascii="Palatino Linotype" w:eastAsia="Palatino Linotype" w:hAnsi="Palatino Linotype" w:cs="Palatino Linotype"/>
        </w:rPr>
        <w:t>d</w:t>
      </w:r>
      <w:r w:rsidR="004621BC" w:rsidRPr="004621BC">
        <w:rPr>
          <w:rFonts w:ascii="Palatino Linotype" w:hAnsi="Palatino Linotype"/>
        </w:rPr>
        <w:t>e Entrega Recepción de la Diputada Ana Lilia Herrera y sus áreas</w:t>
      </w:r>
      <w:bookmarkEnd w:id="3"/>
      <w:r w:rsidR="004621BC" w:rsidRPr="004621BC">
        <w:rPr>
          <w:rFonts w:ascii="Palatino Linotype" w:hAnsi="Palatino Linotype"/>
        </w:rPr>
        <w:t>.</w:t>
      </w:r>
    </w:p>
    <w:p w:rsidR="00FE7BA7" w:rsidRDefault="00F8702B">
      <w:pPr>
        <w:pBdr>
          <w:top w:val="nil"/>
          <w:left w:val="nil"/>
          <w:bottom w:val="nil"/>
          <w:right w:val="nil"/>
          <w:between w:val="nil"/>
        </w:pBdr>
        <w:spacing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En respuesta, el </w:t>
      </w:r>
      <w:r w:rsidR="00FE7BA7">
        <w:rPr>
          <w:rFonts w:ascii="Palatino Linotype" w:eastAsia="Palatino Linotype" w:hAnsi="Palatino Linotype" w:cs="Palatino Linotype"/>
        </w:rPr>
        <w:t xml:space="preserve">Titular de la Unidad de Transparencia declaró incompetencia a favor del </w:t>
      </w:r>
      <w:r w:rsidR="00C23EFF">
        <w:rPr>
          <w:rFonts w:ascii="Palatino Linotype" w:eastAsia="Palatino Linotype" w:hAnsi="Palatino Linotype" w:cs="Palatino Linotype"/>
        </w:rPr>
        <w:t>Congreso de la Unión.</w:t>
      </w:r>
      <w:r w:rsidR="00C23EFF">
        <w:rPr>
          <w:rFonts w:ascii="Palatino Linotype" w:eastAsia="Palatino Linotype" w:hAnsi="Palatino Linotype" w:cs="Palatino Linotype"/>
          <w:color w:val="000000"/>
        </w:rPr>
        <w:t xml:space="preserve"> </w:t>
      </w:r>
      <w:r w:rsidR="00527257">
        <w:rPr>
          <w:rFonts w:ascii="Palatino Linotype" w:eastAsia="Palatino Linotype" w:hAnsi="Palatino Linotype" w:cs="Palatino Linotype"/>
          <w:color w:val="000000"/>
        </w:rPr>
        <w:t>E</w:t>
      </w:r>
      <w:r w:rsidR="00C23EFF">
        <w:rPr>
          <w:rFonts w:ascii="Palatino Linotype" w:eastAsia="Palatino Linotype" w:hAnsi="Palatino Linotype" w:cs="Palatino Linotype"/>
          <w:color w:val="000000"/>
        </w:rPr>
        <w:t>l Recurrente se inconformó por la respuesta emitida.</w:t>
      </w:r>
    </w:p>
    <w:p w:rsidR="00FE7BA7" w:rsidRDefault="00FE7BA7">
      <w:pPr>
        <w:pBdr>
          <w:top w:val="nil"/>
          <w:left w:val="nil"/>
          <w:bottom w:val="nil"/>
          <w:right w:val="nil"/>
          <w:between w:val="nil"/>
        </w:pBdr>
        <w:spacing w:line="360" w:lineRule="auto"/>
        <w:jc w:val="both"/>
        <w:rPr>
          <w:rFonts w:ascii="Palatino Linotype" w:eastAsia="Palatino Linotype" w:hAnsi="Palatino Linotype" w:cs="Palatino Linotype"/>
        </w:rPr>
      </w:pPr>
    </w:p>
    <w:p w:rsidR="00527257" w:rsidRDefault="00F8702B" w:rsidP="00D61DF8">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 xml:space="preserve">Así las cosas, el Instituto consideró que las razones o motivos de inconformidad hechos valer por la parte </w:t>
      </w:r>
      <w:r w:rsidRPr="00130E5B">
        <w:rPr>
          <w:rFonts w:ascii="Palatino Linotype" w:eastAsia="Palatino Linotype" w:hAnsi="Palatino Linotype" w:cs="Palatino Linotype"/>
          <w:b/>
        </w:rPr>
        <w:t xml:space="preserve">Recurrente </w:t>
      </w:r>
      <w:r w:rsidRPr="00130E5B">
        <w:rPr>
          <w:rFonts w:ascii="Palatino Linotype" w:eastAsia="Palatino Linotype" w:hAnsi="Palatino Linotype" w:cs="Palatino Linotype"/>
        </w:rPr>
        <w:t xml:space="preserve">resultan </w:t>
      </w:r>
      <w:r w:rsidR="00527257">
        <w:rPr>
          <w:rFonts w:ascii="Palatino Linotype" w:eastAsia="Palatino Linotype" w:hAnsi="Palatino Linotype" w:cs="Palatino Linotype"/>
        </w:rPr>
        <w:t xml:space="preserve">parcialmente </w:t>
      </w:r>
      <w:r w:rsidRPr="00130E5B">
        <w:rPr>
          <w:rFonts w:ascii="Palatino Linotype" w:eastAsia="Palatino Linotype" w:hAnsi="Palatino Linotype" w:cs="Palatino Linotype"/>
        </w:rPr>
        <w:t>fund</w:t>
      </w:r>
      <w:r w:rsidR="00527257">
        <w:rPr>
          <w:rFonts w:ascii="Palatino Linotype" w:eastAsia="Palatino Linotype" w:hAnsi="Palatino Linotype" w:cs="Palatino Linotype"/>
        </w:rPr>
        <w:t xml:space="preserve">ados, ya que del análisis y estudio realizado en la resolución, </w:t>
      </w:r>
      <w:r w:rsidR="00034550">
        <w:rPr>
          <w:rFonts w:ascii="Palatino Linotype" w:eastAsia="Palatino Linotype" w:hAnsi="Palatino Linotype" w:cs="Palatino Linotype"/>
        </w:rPr>
        <w:t xml:space="preserve">se localizaron dos notas periodísticas en las que se publicó que </w:t>
      </w:r>
      <w:r w:rsidR="00527257">
        <w:rPr>
          <w:rFonts w:ascii="Palatino Linotype" w:eastAsia="Palatino Linotype" w:hAnsi="Palatino Linotype" w:cs="Palatino Linotype"/>
        </w:rPr>
        <w:t xml:space="preserve">la Persona señalada en la solicitud, renunció a la dirigencia del Partido Político, por lo que </w:t>
      </w:r>
      <w:r w:rsidR="00D8687C">
        <w:rPr>
          <w:rFonts w:ascii="Palatino Linotype" w:eastAsia="Palatino Linotype" w:hAnsi="Palatino Linotype" w:cs="Palatino Linotype"/>
        </w:rPr>
        <w:t>se ORDENA a</w:t>
      </w:r>
      <w:r w:rsidR="00527257">
        <w:rPr>
          <w:rFonts w:ascii="Palatino Linotype" w:eastAsia="Palatino Linotype" w:hAnsi="Palatino Linotype" w:cs="Palatino Linotype"/>
        </w:rPr>
        <w:t>l Sujeto Obligado  entregar la información relacionada con el procedimiento de entrega recepción</w:t>
      </w:r>
      <w:r w:rsidR="00697B15">
        <w:rPr>
          <w:rFonts w:ascii="Palatino Linotype" w:eastAsia="Palatino Linotype" w:hAnsi="Palatino Linotype" w:cs="Palatino Linotype"/>
        </w:rPr>
        <w:t>.</w:t>
      </w:r>
    </w:p>
    <w:p w:rsidR="00D470BE" w:rsidRPr="00130E5B" w:rsidRDefault="00F8702B">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rPr>
      </w:pPr>
      <w:r w:rsidRPr="00130E5B">
        <w:rPr>
          <w:rFonts w:ascii="Palatino Linotype" w:eastAsia="Palatino Linotype" w:hAnsi="Palatino Linotype" w:cs="Palatino Linotype"/>
          <w:b/>
        </w:rPr>
        <w:t xml:space="preserve">Razones del Voto Disidente. </w:t>
      </w:r>
    </w:p>
    <w:p w:rsidR="00D8687C" w:rsidRPr="00D8687C" w:rsidRDefault="00D61DF8" w:rsidP="00D8687C">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No se comparte que se </w:t>
      </w:r>
      <w:r w:rsidR="00D8687C">
        <w:rPr>
          <w:rFonts w:ascii="Palatino Linotype" w:eastAsia="Palatino Linotype" w:hAnsi="Palatino Linotype" w:cs="Palatino Linotype"/>
        </w:rPr>
        <w:t>ordenen l</w:t>
      </w:r>
      <w:r w:rsidR="00D8687C">
        <w:rPr>
          <w:rFonts w:ascii="Palatino Linotype" w:eastAsia="Palatino Linotype" w:hAnsi="Palatino Linotype" w:cs="Palatino Linotype"/>
          <w:color w:val="000000"/>
        </w:rPr>
        <w:t>as a</w:t>
      </w:r>
      <w:r w:rsidR="00D8687C" w:rsidRPr="00AD3C17">
        <w:rPr>
          <w:rFonts w:ascii="Palatino Linotype" w:eastAsia="Palatino Linotype" w:hAnsi="Palatino Linotype" w:cs="Palatino Linotype"/>
          <w:color w:val="000000"/>
        </w:rPr>
        <w:t>ctas entrega</w:t>
      </w:r>
      <w:r w:rsidR="00D8687C">
        <w:rPr>
          <w:rFonts w:ascii="Palatino Linotype" w:eastAsia="Palatino Linotype" w:hAnsi="Palatino Linotype" w:cs="Palatino Linotype"/>
          <w:color w:val="000000"/>
        </w:rPr>
        <w:t xml:space="preserve"> – </w:t>
      </w:r>
      <w:r w:rsidR="00D8687C" w:rsidRPr="00AD3C17">
        <w:rPr>
          <w:rFonts w:ascii="Palatino Linotype" w:eastAsia="Palatino Linotype" w:hAnsi="Palatino Linotype" w:cs="Palatino Linotype"/>
          <w:color w:val="000000"/>
        </w:rPr>
        <w:t>recepción</w:t>
      </w:r>
      <w:r w:rsidR="00D8687C">
        <w:rPr>
          <w:rFonts w:ascii="Palatino Linotype" w:eastAsia="Palatino Linotype" w:hAnsi="Palatino Linotype" w:cs="Palatino Linotype"/>
          <w:color w:val="000000"/>
        </w:rPr>
        <w:t xml:space="preserve"> </w:t>
      </w:r>
      <w:r w:rsidR="00D8687C" w:rsidRPr="00AD3C17">
        <w:rPr>
          <w:rFonts w:ascii="Palatino Linotype" w:eastAsia="Palatino Linotype" w:hAnsi="Palatino Linotype" w:cs="Palatino Linotype"/>
          <w:color w:val="000000"/>
        </w:rPr>
        <w:t>de</w:t>
      </w:r>
      <w:r w:rsidR="00D8687C">
        <w:rPr>
          <w:rFonts w:ascii="Palatino Linotype" w:eastAsia="Palatino Linotype" w:hAnsi="Palatino Linotype" w:cs="Palatino Linotype"/>
          <w:color w:val="000000"/>
        </w:rPr>
        <w:t xml:space="preserve"> la persona que ostentaba el cargo de</w:t>
      </w:r>
      <w:r w:rsidR="00D8687C">
        <w:t xml:space="preserve"> l</w:t>
      </w:r>
      <w:r w:rsidR="00D8687C" w:rsidRPr="00AD3C17">
        <w:rPr>
          <w:rFonts w:ascii="Palatino Linotype" w:eastAsia="Palatino Linotype" w:hAnsi="Palatino Linotype" w:cs="Palatino Linotype"/>
          <w:color w:val="000000"/>
        </w:rPr>
        <w:t>a Presidencia del Comité Directivo Estatal del partido en el Estado de México</w:t>
      </w:r>
      <w:r w:rsidR="00D8687C">
        <w:rPr>
          <w:rFonts w:ascii="Palatino Linotype" w:eastAsia="Palatino Linotype" w:hAnsi="Palatino Linotype" w:cs="Palatino Linotype"/>
          <w:color w:val="000000"/>
        </w:rPr>
        <w:t xml:space="preserve">; así como de todas las áreas del </w:t>
      </w:r>
      <w:r w:rsidR="00D8687C" w:rsidRPr="00AD3C17">
        <w:rPr>
          <w:rFonts w:ascii="Palatino Linotype" w:eastAsia="Palatino Linotype" w:hAnsi="Palatino Linotype" w:cs="Palatino Linotype"/>
          <w:b/>
          <w:bCs/>
          <w:color w:val="000000"/>
        </w:rPr>
        <w:t>Sujeto Obligado</w:t>
      </w:r>
      <w:r w:rsidR="00D8687C">
        <w:rPr>
          <w:rFonts w:ascii="Palatino Linotype" w:eastAsia="Palatino Linotype" w:hAnsi="Palatino Linotype" w:cs="Palatino Linotype"/>
          <w:color w:val="000000"/>
        </w:rPr>
        <w:t xml:space="preserve"> que se hayan generado con motivo de la renuncia de la persona referida en la solicitud de información, al diecinueve de febrero de dos mil veinticinco. </w:t>
      </w:r>
    </w:p>
    <w:p w:rsidR="00D8687C" w:rsidRDefault="00D8687C">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En primer término no se comparte el sentido de la resolución al no establecer de manera específica en el estudio de la resolución, </w:t>
      </w:r>
      <w:r w:rsidRPr="00D8687C">
        <w:rPr>
          <w:rFonts w:ascii="Palatino Linotype" w:eastAsia="Palatino Linotype" w:hAnsi="Palatino Linotype" w:cs="Palatino Linotype"/>
        </w:rPr>
        <w:t>las razones jurídicas que sustentan la obligación de los partidos políticos de hacer públicas las actas de entrega-recepción</w:t>
      </w:r>
      <w:r w:rsidR="00C1074D">
        <w:rPr>
          <w:rFonts w:ascii="Palatino Linotype" w:eastAsia="Palatino Linotype" w:hAnsi="Palatino Linotype" w:cs="Palatino Linotype"/>
        </w:rPr>
        <w:t xml:space="preserve">. Esta omisión, tiene como consecuencia, el cuestionarnos si la información es susceptible de proporcionarse </w:t>
      </w:r>
      <w:r>
        <w:rPr>
          <w:rFonts w:ascii="Palatino Linotype" w:eastAsia="Palatino Linotype" w:hAnsi="Palatino Linotype" w:cs="Palatino Linotype"/>
        </w:rPr>
        <w:t xml:space="preserve"> ya que no forma parte de las obligaciones de transparencia específicas</w:t>
      </w:r>
      <w:r w:rsidR="00C1074D">
        <w:rPr>
          <w:rFonts w:ascii="Palatino Linotype" w:eastAsia="Palatino Linotype" w:hAnsi="Palatino Linotype" w:cs="Palatino Linotype"/>
        </w:rPr>
        <w:t xml:space="preserve"> del Sujeto Obligado y por lo tanto, no hay </w:t>
      </w:r>
      <w:r>
        <w:rPr>
          <w:rFonts w:ascii="Palatino Linotype" w:eastAsia="Palatino Linotype" w:hAnsi="Palatino Linotype" w:cs="Palatino Linotype"/>
        </w:rPr>
        <w:t>fuente obligacional de los partidos políticos de hacer pública esta información.</w:t>
      </w:r>
    </w:p>
    <w:p w:rsidR="00C1074D" w:rsidRDefault="00C1074D">
      <w:pPr>
        <w:spacing w:before="240" w:after="240" w:line="360" w:lineRule="auto"/>
        <w:ind w:right="142"/>
        <w:jc w:val="both"/>
        <w:rPr>
          <w:rFonts w:ascii="Palatino Linotype" w:eastAsia="Palatino Linotype" w:hAnsi="Palatino Linotype" w:cs="Palatino Linotype"/>
        </w:rPr>
      </w:pPr>
    </w:p>
    <w:p w:rsidR="00C1074D" w:rsidRDefault="00C1074D">
      <w:pPr>
        <w:spacing w:before="240" w:after="240" w:line="360" w:lineRule="auto"/>
        <w:ind w:right="142"/>
        <w:jc w:val="both"/>
        <w:rPr>
          <w:rFonts w:ascii="Palatino Linotype" w:eastAsia="Palatino Linotype" w:hAnsi="Palatino Linotype" w:cs="Palatino Linotype"/>
        </w:rPr>
      </w:pPr>
      <w:r w:rsidRPr="00C1074D">
        <w:rPr>
          <w:rFonts w:ascii="Palatino Linotype" w:eastAsia="Palatino Linotype" w:hAnsi="Palatino Linotype" w:cs="Palatino Linotype"/>
        </w:rPr>
        <w:lastRenderedPageBreak/>
        <w:t xml:space="preserve">Esta deficiencia en la </w:t>
      </w:r>
      <w:r>
        <w:rPr>
          <w:rFonts w:ascii="Palatino Linotype" w:eastAsia="Palatino Linotype" w:hAnsi="Palatino Linotype" w:cs="Palatino Linotype"/>
        </w:rPr>
        <w:t xml:space="preserve">fundamentación y </w:t>
      </w:r>
      <w:r w:rsidRPr="00C1074D">
        <w:rPr>
          <w:rFonts w:ascii="Palatino Linotype" w:eastAsia="Palatino Linotype" w:hAnsi="Palatino Linotype" w:cs="Palatino Linotype"/>
        </w:rPr>
        <w:t xml:space="preserve">motivación cobra especial relevancia al considerar que las actas de entrega-recepción son documentos que, por su naturaleza, podrían formar parte del funcionamiento interno y orgánico del partido político. Por ello, debió realizarse un análisis riguroso y exhaustivo sobre si el derecho de acceso a la información pública comprende este tipo de documentación. </w:t>
      </w:r>
    </w:p>
    <w:p w:rsidR="00D8687C" w:rsidRDefault="00C1074D">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no debe perderse de vista que el Particular en la narrativa o descripción de la solicitud de acceso a la información pública puntualizó </w:t>
      </w:r>
      <w:r w:rsidRPr="00C1074D">
        <w:rPr>
          <w:rFonts w:ascii="Palatino Linotype" w:eastAsia="Palatino Linotype" w:hAnsi="Palatino Linotype" w:cs="Palatino Linotype"/>
          <w:b/>
          <w:u w:val="single"/>
        </w:rPr>
        <w:t>“Diputada Ana Lilia Herrera”</w:t>
      </w:r>
      <w:r>
        <w:rPr>
          <w:rFonts w:ascii="Palatino Linotype" w:eastAsia="Palatino Linotype" w:hAnsi="Palatino Linotype" w:cs="Palatino Linotype"/>
        </w:rPr>
        <w:t>, lo cual se relaciona con lo que dispone la Ley de Transparencia y Acceso a la Información Pública del Estado de México y Municipios  en el artículo 155, el cual establece que las solicitudes de acceso a la información pública deben contener cualquier dato que facilite la búsqueda y eventual localización de la información.</w:t>
      </w:r>
    </w:p>
    <w:p w:rsidR="00F03D07" w:rsidRDefault="00C1074D">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Con esta precisión, se determina que la interpretación de la solicitud deb</w:t>
      </w:r>
      <w:r w:rsidR="00B656BC">
        <w:rPr>
          <w:rFonts w:ascii="Palatino Linotype" w:eastAsia="Palatino Linotype" w:hAnsi="Palatino Linotype" w:cs="Palatino Linotype"/>
        </w:rPr>
        <w:t>ió</w:t>
      </w:r>
      <w:r>
        <w:rPr>
          <w:rFonts w:ascii="Palatino Linotype" w:eastAsia="Palatino Linotype" w:hAnsi="Palatino Linotype" w:cs="Palatino Linotype"/>
        </w:rPr>
        <w:t xml:space="preserve"> encaminarse a los procedimientos de entrega recepción de la persona referida en la solicitud</w:t>
      </w:r>
      <w:r w:rsidR="00F03D07">
        <w:rPr>
          <w:rFonts w:ascii="Palatino Linotype" w:eastAsia="Palatino Linotype" w:hAnsi="Palatino Linotype" w:cs="Palatino Linotype"/>
        </w:rPr>
        <w:t>, en su cargo de Diputada y con ello, analizar la incompetencia del Sujeto Obligado.</w:t>
      </w:r>
      <w:r w:rsidR="00B656BC">
        <w:rPr>
          <w:rFonts w:ascii="Palatino Linotype" w:eastAsia="Palatino Linotype" w:hAnsi="Palatino Linotype" w:cs="Palatino Linotype"/>
        </w:rPr>
        <w:t xml:space="preserve"> </w:t>
      </w:r>
    </w:p>
    <w:p w:rsidR="00F03D07" w:rsidRPr="00F03D07" w:rsidRDefault="00F03D07" w:rsidP="00F03D07">
      <w:pPr>
        <w:spacing w:before="240" w:after="240" w:line="360" w:lineRule="auto"/>
        <w:ind w:right="142"/>
        <w:jc w:val="both"/>
        <w:rPr>
          <w:rFonts w:ascii="Palatino Linotype" w:eastAsia="Palatino Linotype" w:hAnsi="Palatino Linotype" w:cs="Palatino Linotype"/>
        </w:rPr>
      </w:pPr>
      <w:r w:rsidRPr="00F03D07">
        <w:rPr>
          <w:rFonts w:ascii="Palatino Linotype" w:eastAsia="Palatino Linotype" w:hAnsi="Palatino Linotype" w:cs="Palatino Linotype"/>
        </w:rPr>
        <w:t>El análisis de la declaración de incompetencia ofrece dos beneficios importantes para el particular.</w:t>
      </w:r>
    </w:p>
    <w:p w:rsidR="00F03D07" w:rsidRPr="00F03D07" w:rsidRDefault="00F03D07" w:rsidP="00F03D07">
      <w:pPr>
        <w:spacing w:before="240" w:after="240" w:line="360" w:lineRule="auto"/>
        <w:ind w:right="142"/>
        <w:jc w:val="both"/>
        <w:rPr>
          <w:rFonts w:ascii="Palatino Linotype" w:eastAsia="Palatino Linotype" w:hAnsi="Palatino Linotype" w:cs="Palatino Linotype"/>
        </w:rPr>
      </w:pPr>
      <w:r w:rsidRPr="00F03D07">
        <w:rPr>
          <w:rFonts w:ascii="Palatino Linotype" w:eastAsia="Palatino Linotype" w:hAnsi="Palatino Linotype" w:cs="Palatino Linotype"/>
        </w:rPr>
        <w:t xml:space="preserve">El primero de ellos es la orientación. Al declarar que el sujeto obligado no es competente para atender la solicitud, se señala de manera clara cuál es la autoridad que posee, administra o genera la información </w:t>
      </w:r>
      <w:r>
        <w:rPr>
          <w:rFonts w:ascii="Palatino Linotype" w:eastAsia="Palatino Linotype" w:hAnsi="Palatino Linotype" w:cs="Palatino Linotype"/>
        </w:rPr>
        <w:t xml:space="preserve">de interés para </w:t>
      </w:r>
      <w:r w:rsidRPr="00F03D07">
        <w:rPr>
          <w:rFonts w:ascii="Palatino Linotype" w:eastAsia="Palatino Linotype" w:hAnsi="Palatino Linotype" w:cs="Palatino Linotype"/>
        </w:rPr>
        <w:t>el particular</w:t>
      </w:r>
      <w:r>
        <w:rPr>
          <w:rFonts w:ascii="Palatino Linotype" w:eastAsia="Palatino Linotype" w:hAnsi="Palatino Linotype" w:cs="Palatino Linotype"/>
        </w:rPr>
        <w:t>.</w:t>
      </w:r>
    </w:p>
    <w:p w:rsidR="00F03D07" w:rsidRDefault="00F03D07" w:rsidP="00F03D07">
      <w:pPr>
        <w:spacing w:before="240" w:after="240" w:line="360" w:lineRule="auto"/>
        <w:ind w:right="142"/>
        <w:jc w:val="both"/>
        <w:rPr>
          <w:rFonts w:ascii="Palatino Linotype" w:eastAsia="Palatino Linotype" w:hAnsi="Palatino Linotype" w:cs="Palatino Linotype"/>
        </w:rPr>
      </w:pPr>
      <w:r w:rsidRPr="00F03D07">
        <w:rPr>
          <w:rFonts w:ascii="Palatino Linotype" w:eastAsia="Palatino Linotype" w:hAnsi="Palatino Linotype" w:cs="Palatino Linotype"/>
        </w:rPr>
        <w:lastRenderedPageBreak/>
        <w:t>El segundo beneficio es una garantía para el derecho del particular. Al dejar claro que la solicitud debe ser dirigida a un sujeto obligado diferente, se</w:t>
      </w:r>
      <w:r>
        <w:rPr>
          <w:rFonts w:ascii="Palatino Linotype" w:eastAsia="Palatino Linotype" w:hAnsi="Palatino Linotype" w:cs="Palatino Linotype"/>
        </w:rPr>
        <w:t xml:space="preserve"> debe establecer en el estudio que se dejan a salvo los derechos del p</w:t>
      </w:r>
      <w:r w:rsidRPr="00F03D07">
        <w:rPr>
          <w:rFonts w:ascii="Palatino Linotype" w:eastAsia="Palatino Linotype" w:hAnsi="Palatino Linotype" w:cs="Palatino Linotype"/>
        </w:rPr>
        <w:t xml:space="preserve">articular </w:t>
      </w:r>
      <w:r>
        <w:rPr>
          <w:rFonts w:ascii="Palatino Linotype" w:eastAsia="Palatino Linotype" w:hAnsi="Palatino Linotype" w:cs="Palatino Linotype"/>
        </w:rPr>
        <w:t>para</w:t>
      </w:r>
      <w:r w:rsidRPr="00F03D07">
        <w:rPr>
          <w:rFonts w:ascii="Palatino Linotype" w:eastAsia="Palatino Linotype" w:hAnsi="Palatino Linotype" w:cs="Palatino Linotype"/>
        </w:rPr>
        <w:t xml:space="preserve"> presentar su solicitud ante la entidad que tiene las competencias, atribuciones y funci</w:t>
      </w:r>
      <w:r>
        <w:rPr>
          <w:rFonts w:ascii="Palatino Linotype" w:eastAsia="Palatino Linotype" w:hAnsi="Palatino Linotype" w:cs="Palatino Linotype"/>
        </w:rPr>
        <w:t>ones necesarias para atenderla.</w:t>
      </w:r>
    </w:p>
    <w:p w:rsidR="00F03D07" w:rsidRDefault="00F03D07" w:rsidP="00F03D07">
      <w:pPr>
        <w:spacing w:before="240" w:after="240" w:line="360" w:lineRule="auto"/>
        <w:ind w:right="142"/>
        <w:jc w:val="both"/>
        <w:rPr>
          <w:rFonts w:ascii="Palatino Linotype" w:eastAsia="Palatino Linotype" w:hAnsi="Palatino Linotype" w:cs="Palatino Linotype"/>
        </w:rPr>
      </w:pPr>
      <w:r w:rsidRPr="00F03D07">
        <w:rPr>
          <w:rFonts w:ascii="Palatino Linotype" w:eastAsia="Palatino Linotype" w:hAnsi="Palatino Linotype" w:cs="Palatino Linotype"/>
        </w:rPr>
        <w:t>De esta forma, se protege el derecho del particular</w:t>
      </w:r>
      <w:r>
        <w:rPr>
          <w:rFonts w:ascii="Palatino Linotype" w:eastAsia="Palatino Linotype" w:hAnsi="Palatino Linotype" w:cs="Palatino Linotype"/>
        </w:rPr>
        <w:t>, garantizando que la solicitud se presente ante el Sujeto Obligado idóneo y que se facilite la información requerida.</w:t>
      </w:r>
    </w:p>
    <w:p w:rsidR="00F03D07" w:rsidRDefault="00F03D07" w:rsidP="00F03D07">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Lo anterior, en razón que, como lo precisara el Sujeto Obligado, es competencia del Congreso de la Unión, pues de la información disponible en la página oficial de la Cámara de Diputados de la LXV Legislatura, la persona señalada en la solicitud ostentó el cargo de Diputada por Mayoría Relativa en representación del Partido Revolucionario Institucional por el periodo 2021-2024; se inserta imagen de referencia:</w:t>
      </w:r>
    </w:p>
    <w:p w:rsidR="007D52AD" w:rsidRDefault="007D52AD">
      <w:pPr>
        <w:spacing w:before="240" w:after="240" w:line="360" w:lineRule="auto"/>
        <w:ind w:right="142"/>
        <w:jc w:val="both"/>
        <w:rPr>
          <w:rFonts w:ascii="Palatino Linotype" w:eastAsia="Palatino Linotype" w:hAnsi="Palatino Linotype" w:cs="Palatino Linotype"/>
        </w:rPr>
      </w:pPr>
      <w:r w:rsidRPr="007D52AD">
        <w:rPr>
          <w:rFonts w:ascii="Palatino Linotype" w:eastAsia="Palatino Linotype" w:hAnsi="Palatino Linotype" w:cs="Palatino Linotype"/>
          <w:noProof/>
        </w:rPr>
        <w:drawing>
          <wp:inline distT="0" distB="0" distL="0" distR="0" wp14:anchorId="4A139246" wp14:editId="475B30DF">
            <wp:extent cx="5419725" cy="2241968"/>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56491" cy="2257177"/>
                    </a:xfrm>
                    <a:prstGeom prst="rect">
                      <a:avLst/>
                    </a:prstGeom>
                  </pic:spPr>
                </pic:pic>
              </a:graphicData>
            </a:graphic>
          </wp:inline>
        </w:drawing>
      </w:r>
    </w:p>
    <w:p w:rsidR="00F03D07" w:rsidRDefault="00F03D07" w:rsidP="00F03D07">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lastRenderedPageBreak/>
        <w:t>Dicho lo anterior, al haber señalado, el Sujeto Obligado desde su respuesta que la información de interés para el particular no es de su competencia por ser parte de las atribuciones, funciones y competencias del Congreso de la Unión, es que se determina que el sentido de la Resolución debió ser CONFIRMAR la respuesta del Partido Revolucionario Institucional.</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Con base a los argumentos que se han señalado en líneas anteriores, es que no se comparte el sentido de la resolución, y se emite el presente </w:t>
      </w:r>
      <w:r w:rsidRPr="00130E5B">
        <w:rPr>
          <w:rFonts w:ascii="Palatino Linotype" w:eastAsia="Palatino Linotype" w:hAnsi="Palatino Linotype" w:cs="Palatino Linotype"/>
          <w:b/>
        </w:rPr>
        <w:t>Voto Disidente</w:t>
      </w:r>
      <w:r w:rsidRPr="00130E5B">
        <w:rPr>
          <w:rFonts w:ascii="Palatino Linotype" w:eastAsia="Palatino Linotype" w:hAnsi="Palatino Linotype" w:cs="Palatino Linotype"/>
        </w:rPr>
        <w:t>.</w:t>
      </w:r>
    </w:p>
    <w:p w:rsidR="00D470BE" w:rsidRPr="00130E5B" w:rsidRDefault="00D470BE">
      <w:pPr>
        <w:spacing w:before="240" w:after="240" w:line="360" w:lineRule="auto"/>
        <w:ind w:right="142"/>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sectPr w:rsidR="00D470BE" w:rsidRPr="00130E5B">
          <w:headerReference w:type="default" r:id="rId9"/>
          <w:footerReference w:type="default" r:id="rId10"/>
          <w:pgSz w:w="12240" w:h="15840"/>
          <w:pgMar w:top="2438" w:right="1701" w:bottom="2778" w:left="1701" w:header="1134" w:footer="1134" w:gutter="0"/>
          <w:pgNumType w:start="1"/>
          <w:cols w:space="720"/>
        </w:sectPr>
      </w:pPr>
    </w:p>
    <w:p w:rsidR="00D470BE" w:rsidRPr="00130E5B" w:rsidRDefault="00D470BE">
      <w:pPr>
        <w:spacing w:before="240" w:after="240" w:line="360" w:lineRule="auto"/>
        <w:ind w:right="139"/>
        <w:jc w:val="both"/>
        <w:rPr>
          <w:rFonts w:ascii="Palatino Linotype" w:eastAsia="Palatino Linotype" w:hAnsi="Palatino Linotype" w:cs="Palatino Linotype"/>
        </w:rPr>
      </w:pPr>
      <w:bookmarkStart w:id="4" w:name="_heading=h.1fob9te" w:colFirst="0" w:colLast="0"/>
      <w:bookmarkEnd w:id="4"/>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sectPr w:rsidR="00D470BE" w:rsidRPr="00130E5B">
      <w:headerReference w:type="default" r:id="rId11"/>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0E5" w:rsidRDefault="008260E5">
      <w:pPr>
        <w:spacing w:after="0" w:line="240" w:lineRule="auto"/>
      </w:pPr>
      <w:r>
        <w:separator/>
      </w:r>
    </w:p>
  </w:endnote>
  <w:endnote w:type="continuationSeparator" w:id="0">
    <w:p w:rsidR="008260E5" w:rsidRDefault="0082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DF" w:rsidRDefault="004A79D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C3600">
      <w:rPr>
        <w:rFonts w:ascii="Palatino Linotype" w:eastAsia="Palatino Linotype" w:hAnsi="Palatino Linotype" w:cs="Palatino Linotype"/>
        <w:b/>
        <w:noProof/>
        <w:color w:val="000000"/>
        <w:sz w:val="20"/>
        <w:szCs w:val="20"/>
      </w:rPr>
      <w:t>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C3600">
      <w:rPr>
        <w:rFonts w:ascii="Palatino Linotype" w:eastAsia="Palatino Linotype" w:hAnsi="Palatino Linotype" w:cs="Palatino Linotype"/>
        <w:b/>
        <w:noProof/>
        <w:color w:val="000000"/>
        <w:sz w:val="20"/>
        <w:szCs w:val="20"/>
      </w:rPr>
      <w:t>6</w:t>
    </w:r>
    <w:r>
      <w:rPr>
        <w:rFonts w:ascii="Palatino Linotype" w:eastAsia="Palatino Linotype" w:hAnsi="Palatino Linotype" w:cs="Palatino Linotype"/>
        <w:b/>
        <w:color w:val="000000"/>
        <w:sz w:val="20"/>
        <w:szCs w:val="20"/>
      </w:rPr>
      <w:fldChar w:fldCharType="end"/>
    </w:r>
  </w:p>
  <w:p w:rsidR="004A79DF" w:rsidRDefault="004A79D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0E5" w:rsidRDefault="008260E5">
      <w:pPr>
        <w:spacing w:after="0" w:line="240" w:lineRule="auto"/>
      </w:pPr>
      <w:r>
        <w:separator/>
      </w:r>
    </w:p>
  </w:footnote>
  <w:footnote w:type="continuationSeparator" w:id="0">
    <w:p w:rsidR="008260E5" w:rsidRDefault="00826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DF" w:rsidRDefault="004A79D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18"/>
        <w:szCs w:val="18"/>
      </w:rPr>
    </w:pPr>
    <w:r w:rsidRPr="0052275A">
      <w:rPr>
        <w:noProof/>
        <w:sz w:val="18"/>
        <w:szCs w:val="18"/>
      </w:rPr>
      <w:drawing>
        <wp:anchor distT="0" distB="0" distL="0" distR="0" simplePos="0" relativeHeight="251658240" behindDoc="1" locked="0" layoutInCell="1" hidden="0" allowOverlap="1">
          <wp:simplePos x="0" y="0"/>
          <wp:positionH relativeFrom="page">
            <wp:align>right</wp:align>
          </wp:positionH>
          <wp:positionV relativeFrom="paragraph">
            <wp:posOffset>-152400</wp:posOffset>
          </wp:positionV>
          <wp:extent cx="7510628" cy="9883775"/>
          <wp:effectExtent l="0" t="0" r="0" b="3175"/>
          <wp:wrapNone/>
          <wp:docPr id="2716407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4A79DF" w:rsidRDefault="004A79DF" w:rsidP="0052275A">
    <w:pPr>
      <w:pBdr>
        <w:top w:val="nil"/>
        <w:left w:val="nil"/>
        <w:bottom w:val="nil"/>
        <w:right w:val="nil"/>
        <w:between w:val="nil"/>
      </w:pBdr>
      <w:tabs>
        <w:tab w:val="center" w:pos="4419"/>
        <w:tab w:val="left" w:pos="6795"/>
        <w:tab w:val="right" w:pos="8838"/>
      </w:tabs>
      <w:spacing w:after="0" w:line="240" w:lineRule="auto"/>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ab/>
    </w:r>
    <w:r>
      <w:rPr>
        <w:rFonts w:ascii="Palatino Linotype" w:eastAsia="Palatino Linotype" w:hAnsi="Palatino Linotype" w:cs="Palatino Linotype"/>
        <w:b/>
        <w:color w:val="000000"/>
        <w:sz w:val="18"/>
        <w:szCs w:val="18"/>
      </w:rPr>
      <w:tab/>
    </w:r>
  </w:p>
  <w:tbl>
    <w:tblPr>
      <w:tblW w:w="5245" w:type="dxa"/>
      <w:jc w:val="right"/>
      <w:tblLayout w:type="fixed"/>
      <w:tblLook w:val="0400" w:firstRow="0" w:lastRow="0" w:firstColumn="0" w:lastColumn="0" w:noHBand="0" w:noVBand="1"/>
    </w:tblPr>
    <w:tblGrid>
      <w:gridCol w:w="2410"/>
      <w:gridCol w:w="2835"/>
    </w:tblGrid>
    <w:tr w:rsidR="004A79DF" w:rsidRPr="0052275A" w:rsidTr="00FE7BA7">
      <w:trPr>
        <w:jc w:val="right"/>
      </w:trPr>
      <w:tc>
        <w:tcPr>
          <w:tcW w:w="2410" w:type="dxa"/>
          <w:vAlign w:val="center"/>
        </w:tcPr>
        <w:p w:rsidR="004A79DF" w:rsidRPr="0052275A" w:rsidRDefault="004A79DF" w:rsidP="005227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tc>
      <w:tc>
        <w:tcPr>
          <w:tcW w:w="2835" w:type="dxa"/>
          <w:vAlign w:val="center"/>
        </w:tcPr>
        <w:p w:rsidR="004A79DF" w:rsidRPr="0052275A" w:rsidRDefault="004A79DF" w:rsidP="005227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VOTO DISIDENTE</w:t>
          </w:r>
        </w:p>
      </w:tc>
    </w:tr>
    <w:tr w:rsidR="004A79DF" w:rsidRPr="0052275A" w:rsidTr="00FE7BA7">
      <w:trPr>
        <w:jc w:val="right"/>
      </w:trPr>
      <w:tc>
        <w:tcPr>
          <w:tcW w:w="2410" w:type="dxa"/>
          <w:vAlign w:val="center"/>
        </w:tcPr>
        <w:p w:rsidR="004A79DF" w:rsidRPr="0052275A" w:rsidRDefault="004A79DF"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Recurso de Revisión:</w:t>
          </w:r>
        </w:p>
      </w:tc>
      <w:tc>
        <w:tcPr>
          <w:tcW w:w="2835" w:type="dxa"/>
        </w:tcPr>
        <w:p w:rsidR="004A79DF" w:rsidRPr="0052275A" w:rsidRDefault="004A79DF" w:rsidP="004621BC">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0</w:t>
          </w:r>
          <w:r>
            <w:rPr>
              <w:rFonts w:ascii="Palatino Linotype" w:eastAsia="Palatino Linotype" w:hAnsi="Palatino Linotype" w:cs="Palatino Linotype"/>
              <w:b/>
              <w:color w:val="000000"/>
              <w:sz w:val="20"/>
              <w:szCs w:val="20"/>
            </w:rPr>
            <w:t>3790</w:t>
          </w:r>
          <w:r w:rsidRPr="0052275A">
            <w:rPr>
              <w:rFonts w:ascii="Palatino Linotype" w:eastAsia="Palatino Linotype" w:hAnsi="Palatino Linotype" w:cs="Palatino Linotype"/>
              <w:b/>
              <w:color w:val="000000"/>
              <w:sz w:val="20"/>
              <w:szCs w:val="20"/>
            </w:rPr>
            <w:t>/INFOEM/IP/RR/2025</w:t>
          </w:r>
        </w:p>
      </w:tc>
    </w:tr>
    <w:tr w:rsidR="004A79DF" w:rsidRPr="0052275A" w:rsidTr="00FE7BA7">
      <w:trPr>
        <w:jc w:val="right"/>
      </w:trPr>
      <w:tc>
        <w:tcPr>
          <w:tcW w:w="2410" w:type="dxa"/>
        </w:tcPr>
        <w:p w:rsidR="004A79DF" w:rsidRPr="0052275A" w:rsidRDefault="004A79DF"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Sujeto Obligado:</w:t>
          </w:r>
        </w:p>
      </w:tc>
      <w:tc>
        <w:tcPr>
          <w:tcW w:w="2835" w:type="dxa"/>
        </w:tcPr>
        <w:p w:rsidR="004A79DF" w:rsidRPr="0052275A" w:rsidRDefault="004A79DF" w:rsidP="004621BC">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Partido Revolucionario Institucional</w:t>
          </w:r>
        </w:p>
      </w:tc>
    </w:tr>
    <w:tr w:rsidR="004A79DF" w:rsidRPr="0052275A" w:rsidTr="00FE7BA7">
      <w:trPr>
        <w:jc w:val="right"/>
      </w:trPr>
      <w:tc>
        <w:tcPr>
          <w:tcW w:w="2410" w:type="dxa"/>
        </w:tcPr>
        <w:p w:rsidR="004A79DF" w:rsidRPr="0052275A" w:rsidRDefault="004A79DF" w:rsidP="00FE7BA7">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w:t>
          </w:r>
          <w:r w:rsidRPr="0052275A">
            <w:rPr>
              <w:rFonts w:ascii="Palatino Linotype" w:eastAsia="Palatino Linotype" w:hAnsi="Palatino Linotype" w:cs="Palatino Linotype"/>
              <w:b/>
              <w:color w:val="000000"/>
              <w:sz w:val="20"/>
              <w:szCs w:val="20"/>
            </w:rPr>
            <w:t xml:space="preserve"> </w:t>
          </w:r>
          <w:r>
            <w:rPr>
              <w:rFonts w:ascii="Palatino Linotype" w:eastAsia="Palatino Linotype" w:hAnsi="Palatino Linotype" w:cs="Palatino Linotype"/>
              <w:b/>
              <w:color w:val="000000"/>
              <w:sz w:val="20"/>
              <w:szCs w:val="20"/>
            </w:rPr>
            <w:t>P</w:t>
          </w:r>
          <w:r w:rsidRPr="0052275A">
            <w:rPr>
              <w:rFonts w:ascii="Palatino Linotype" w:eastAsia="Palatino Linotype" w:hAnsi="Palatino Linotype" w:cs="Palatino Linotype"/>
              <w:b/>
              <w:color w:val="000000"/>
              <w:sz w:val="20"/>
              <w:szCs w:val="20"/>
            </w:rPr>
            <w:t>onente:</w:t>
          </w:r>
        </w:p>
      </w:tc>
      <w:tc>
        <w:tcPr>
          <w:tcW w:w="2835" w:type="dxa"/>
        </w:tcPr>
        <w:p w:rsidR="004A79DF" w:rsidRPr="0052275A" w:rsidRDefault="004A79DF" w:rsidP="00FE7BA7">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rsidR="004A79DF" w:rsidRDefault="004A79D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DF" w:rsidRDefault="004A79D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FD8"/>
    <w:multiLevelType w:val="multilevel"/>
    <w:tmpl w:val="6F72CB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B642DC0"/>
    <w:multiLevelType w:val="multilevel"/>
    <w:tmpl w:val="A998D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D04000"/>
    <w:multiLevelType w:val="multilevel"/>
    <w:tmpl w:val="1C86B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22E0B"/>
    <w:multiLevelType w:val="multilevel"/>
    <w:tmpl w:val="9A948478"/>
    <w:lvl w:ilvl="0">
      <w:start w:val="1"/>
      <w:numFmt w:val="decimal"/>
      <w:lvlText w:val="%1."/>
      <w:lvlJc w:val="left"/>
      <w:pPr>
        <w:ind w:left="709" w:hanging="425"/>
      </w:pPr>
      <w:rPr>
        <w:rFonts w:hint="default"/>
        <w:b/>
        <w:bCs/>
        <w:i w:val="0"/>
        <w:iCs w:val="0"/>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8F7946"/>
    <w:multiLevelType w:val="multilevel"/>
    <w:tmpl w:val="730AB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DC647D"/>
    <w:multiLevelType w:val="hybridMultilevel"/>
    <w:tmpl w:val="C8C4A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C73CB8"/>
    <w:multiLevelType w:val="multilevel"/>
    <w:tmpl w:val="2B92FA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A51DE"/>
    <w:multiLevelType w:val="multilevel"/>
    <w:tmpl w:val="EAEE4B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2D753089"/>
    <w:multiLevelType w:val="multilevel"/>
    <w:tmpl w:val="625AA71E"/>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9" w15:restartNumberingAfterBreak="0">
    <w:nsid w:val="32F7663B"/>
    <w:multiLevelType w:val="multilevel"/>
    <w:tmpl w:val="65DAE3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1B61BD5"/>
    <w:multiLevelType w:val="multilevel"/>
    <w:tmpl w:val="C80897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43A43499"/>
    <w:multiLevelType w:val="multilevel"/>
    <w:tmpl w:val="328EB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157F9E"/>
    <w:multiLevelType w:val="multilevel"/>
    <w:tmpl w:val="44ACE81E"/>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05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E15455"/>
    <w:multiLevelType w:val="multilevel"/>
    <w:tmpl w:val="2410FD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2344D22"/>
    <w:multiLevelType w:val="multilevel"/>
    <w:tmpl w:val="B6AC7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59875BB"/>
    <w:multiLevelType w:val="multilevel"/>
    <w:tmpl w:val="A426F22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CE3F40"/>
    <w:multiLevelType w:val="multilevel"/>
    <w:tmpl w:val="78F4B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10"/>
  </w:num>
  <w:num w:numId="4">
    <w:abstractNumId w:val="15"/>
  </w:num>
  <w:num w:numId="5">
    <w:abstractNumId w:val="2"/>
  </w:num>
  <w:num w:numId="6">
    <w:abstractNumId w:val="14"/>
  </w:num>
  <w:num w:numId="7">
    <w:abstractNumId w:val="4"/>
  </w:num>
  <w:num w:numId="8">
    <w:abstractNumId w:val="8"/>
  </w:num>
  <w:num w:numId="9">
    <w:abstractNumId w:val="16"/>
  </w:num>
  <w:num w:numId="10">
    <w:abstractNumId w:val="1"/>
  </w:num>
  <w:num w:numId="11">
    <w:abstractNumId w:val="11"/>
  </w:num>
  <w:num w:numId="12">
    <w:abstractNumId w:val="13"/>
  </w:num>
  <w:num w:numId="13">
    <w:abstractNumId w:val="9"/>
  </w:num>
  <w:num w:numId="14">
    <w:abstractNumId w:val="7"/>
  </w:num>
  <w:num w:numId="15">
    <w:abstractNumId w:val="5"/>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BE"/>
    <w:rsid w:val="00034550"/>
    <w:rsid w:val="000F56BE"/>
    <w:rsid w:val="00130E5B"/>
    <w:rsid w:val="00281ED1"/>
    <w:rsid w:val="0030266E"/>
    <w:rsid w:val="00362F7A"/>
    <w:rsid w:val="0039656C"/>
    <w:rsid w:val="003C5CA2"/>
    <w:rsid w:val="004621BC"/>
    <w:rsid w:val="004A79DF"/>
    <w:rsid w:val="0052275A"/>
    <w:rsid w:val="00527257"/>
    <w:rsid w:val="00580341"/>
    <w:rsid w:val="005954FE"/>
    <w:rsid w:val="005C3600"/>
    <w:rsid w:val="00627888"/>
    <w:rsid w:val="006913C3"/>
    <w:rsid w:val="00697B15"/>
    <w:rsid w:val="007843E5"/>
    <w:rsid w:val="007D24B4"/>
    <w:rsid w:val="007D52AD"/>
    <w:rsid w:val="008260E5"/>
    <w:rsid w:val="008261F5"/>
    <w:rsid w:val="008754A1"/>
    <w:rsid w:val="00896E0F"/>
    <w:rsid w:val="008D685D"/>
    <w:rsid w:val="00936764"/>
    <w:rsid w:val="009E50CD"/>
    <w:rsid w:val="00A40123"/>
    <w:rsid w:val="00A75B60"/>
    <w:rsid w:val="00AD41D6"/>
    <w:rsid w:val="00B4336C"/>
    <w:rsid w:val="00B656BC"/>
    <w:rsid w:val="00B72A98"/>
    <w:rsid w:val="00BC444C"/>
    <w:rsid w:val="00C1074D"/>
    <w:rsid w:val="00C23EFF"/>
    <w:rsid w:val="00CB04F1"/>
    <w:rsid w:val="00CB1BB7"/>
    <w:rsid w:val="00CE318C"/>
    <w:rsid w:val="00D10646"/>
    <w:rsid w:val="00D470BE"/>
    <w:rsid w:val="00D61DF8"/>
    <w:rsid w:val="00D8687C"/>
    <w:rsid w:val="00E90325"/>
    <w:rsid w:val="00F03D07"/>
    <w:rsid w:val="00F64A01"/>
    <w:rsid w:val="00F8702B"/>
    <w:rsid w:val="00FD19CD"/>
    <w:rsid w:val="00FE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854205-3702-40AA-8A10-1AB50AFB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75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487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3rTxahV2X+yCz3eRVnrncR19YA==">CgMxLjAyCGguZ2pkZ3hzMg5oLmR1N2lvOXM2MnBiaTIJaC4xZm9iOXRlOAByITF1dG83VUhpVTNBamliQmowQ1E0WHdUcHZWaDNLYXRLWQ==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855</Words>
  <Characters>4703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INFOEM406</cp:lastModifiedBy>
  <cp:revision>3</cp:revision>
  <cp:lastPrinted>2025-06-23T18:24:00Z</cp:lastPrinted>
  <dcterms:created xsi:type="dcterms:W3CDTF">2025-06-20T18:21:00Z</dcterms:created>
  <dcterms:modified xsi:type="dcterms:W3CDTF">2025-06-23T18:24:00Z</dcterms:modified>
</cp:coreProperties>
</file>