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D12E1" w14:textId="33982668" w:rsidR="00B83F5F" w:rsidRPr="002B1000" w:rsidRDefault="00B83F5F" w:rsidP="00B83F5F">
      <w:pPr>
        <w:spacing w:after="0" w:line="360" w:lineRule="auto"/>
        <w:ind w:right="139"/>
        <w:jc w:val="both"/>
        <w:rPr>
          <w:rFonts w:ascii="Palatino Linotype" w:eastAsia="Palatino Linotype" w:hAnsi="Palatino Linotype" w:cs="Palatino Linotype"/>
          <w:b/>
        </w:rPr>
      </w:pPr>
      <w:r w:rsidRPr="002B1000">
        <w:rPr>
          <w:rFonts w:ascii="Palatino Linotype" w:eastAsia="Palatino Linotype" w:hAnsi="Palatino Linotype" w:cs="Palatino Linotype"/>
          <w:b/>
        </w:rPr>
        <w:t xml:space="preserve">VOTO DISIDENTE QUE FORMULA LA COMISIONADA SHARON CRISTINA MORALES MARTÍNEZ, EN RELACIÓN CON LA RESOLUCIÓN EN EL RECURSO DE REVISIÓN </w:t>
      </w:r>
      <w:r w:rsidR="00CD2119">
        <w:rPr>
          <w:rFonts w:ascii="Palatino Linotype" w:eastAsia="Palatino Linotype" w:hAnsi="Palatino Linotype" w:cs="Palatino Linotype"/>
          <w:b/>
        </w:rPr>
        <w:t>09840</w:t>
      </w:r>
      <w:r w:rsidR="002B1000" w:rsidRPr="002B1000">
        <w:rPr>
          <w:rFonts w:ascii="Palatino Linotype" w:eastAsia="Palatino Linotype" w:hAnsi="Palatino Linotype" w:cs="Palatino Linotype"/>
          <w:b/>
        </w:rPr>
        <w:t>/INFOEM/IP/RR/2025</w:t>
      </w:r>
      <w:r w:rsidRPr="002B1000">
        <w:rPr>
          <w:rFonts w:ascii="Palatino Linotype" w:eastAsia="Palatino Linotype" w:hAnsi="Palatino Linotype" w:cs="Palatino Linotype"/>
          <w:b/>
        </w:rPr>
        <w:t xml:space="preserve">, DICTADA POR EL PLENO DEL INSTITUTO DE TRANSPARENCIA, ACCESO A LA INFORMACIÓN PÚBLICA Y PROTECCIÓN DE DATOS PERSONALES DEL ESTADO DE MÉXICO Y MUNICIPIOS, EN LA TRIGÉSIMA </w:t>
      </w:r>
      <w:r w:rsidR="00CD2119">
        <w:rPr>
          <w:rFonts w:ascii="Palatino Linotype" w:eastAsia="Palatino Linotype" w:hAnsi="Palatino Linotype" w:cs="Palatino Linotype"/>
          <w:b/>
        </w:rPr>
        <w:t>SÉPTIMA</w:t>
      </w:r>
      <w:r w:rsidR="00AD6B6B">
        <w:rPr>
          <w:rFonts w:ascii="Palatino Linotype" w:eastAsia="Palatino Linotype" w:hAnsi="Palatino Linotype" w:cs="Palatino Linotype"/>
          <w:b/>
        </w:rPr>
        <w:t xml:space="preserve"> </w:t>
      </w:r>
      <w:r w:rsidR="002B1000" w:rsidRPr="002B1000">
        <w:rPr>
          <w:rFonts w:ascii="Palatino Linotype" w:eastAsia="Palatino Linotype" w:hAnsi="Palatino Linotype" w:cs="Palatino Linotype"/>
          <w:b/>
        </w:rPr>
        <w:t xml:space="preserve">SESIÓN </w:t>
      </w:r>
      <w:r w:rsidRPr="002B1000">
        <w:rPr>
          <w:rFonts w:ascii="Palatino Linotype" w:eastAsia="Palatino Linotype" w:hAnsi="Palatino Linotype" w:cs="Palatino Linotype"/>
          <w:b/>
        </w:rPr>
        <w:t xml:space="preserve">ORDINARIA CELEBRADA EL </w:t>
      </w:r>
      <w:r w:rsidR="00CD2119">
        <w:rPr>
          <w:rFonts w:ascii="Palatino Linotype" w:eastAsia="Palatino Linotype" w:hAnsi="Palatino Linotype" w:cs="Palatino Linotype"/>
          <w:b/>
        </w:rPr>
        <w:t>QUINCE DE OCTUBRE</w:t>
      </w:r>
      <w:r w:rsidRPr="002B1000">
        <w:rPr>
          <w:rFonts w:ascii="Palatino Linotype" w:eastAsia="Palatino Linotype" w:hAnsi="Palatino Linotype" w:cs="Palatino Linotype"/>
          <w:b/>
        </w:rPr>
        <w:t xml:space="preserve"> DE DOS MIL VEINTICINCO.</w:t>
      </w:r>
    </w:p>
    <w:p w14:paraId="3DBA0F4A" w14:textId="77777777" w:rsidR="00325CEC" w:rsidRPr="002B1000" w:rsidRDefault="00325CEC">
      <w:pPr>
        <w:spacing w:after="0" w:line="360" w:lineRule="auto"/>
        <w:ind w:right="139"/>
        <w:jc w:val="both"/>
        <w:rPr>
          <w:rFonts w:ascii="Palatino Linotype" w:eastAsia="Palatino Linotype" w:hAnsi="Palatino Linotype" w:cs="Palatino Linotype"/>
          <w:b/>
        </w:rPr>
      </w:pPr>
    </w:p>
    <w:p w14:paraId="25E97209" w14:textId="53781820" w:rsidR="00325CEC" w:rsidRPr="002B1000" w:rsidRDefault="00D1467C">
      <w:pPr>
        <w:spacing w:after="0" w:line="360" w:lineRule="auto"/>
        <w:ind w:right="139"/>
        <w:jc w:val="both"/>
        <w:rPr>
          <w:rFonts w:ascii="Palatino Linotype" w:eastAsia="Palatino Linotype" w:hAnsi="Palatino Linotype" w:cs="Palatino Linotype"/>
        </w:rPr>
      </w:pPr>
      <w:r w:rsidRPr="002B1000">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r w:rsidRPr="002B1000">
        <w:rPr>
          <w:rFonts w:ascii="Palatino Linotype" w:eastAsia="Palatino Linotype" w:hAnsi="Palatino Linotype" w:cs="Palatino Linotype"/>
          <w:b/>
        </w:rPr>
        <w:t>Sharon Cristina Morales Martínez</w:t>
      </w:r>
      <w:r w:rsidRPr="002B1000">
        <w:rPr>
          <w:rFonts w:ascii="Palatino Linotype" w:eastAsia="Palatino Linotype" w:hAnsi="Palatino Linotype" w:cs="Palatino Linotype"/>
        </w:rPr>
        <w:t xml:space="preserve"> emite </w:t>
      </w:r>
      <w:r w:rsidRPr="002B1000">
        <w:rPr>
          <w:rFonts w:ascii="Palatino Linotype" w:eastAsia="Palatino Linotype" w:hAnsi="Palatino Linotype" w:cs="Palatino Linotype"/>
          <w:b/>
        </w:rPr>
        <w:t xml:space="preserve">Voto Disidente </w:t>
      </w:r>
      <w:r w:rsidRPr="002B1000">
        <w:rPr>
          <w:rFonts w:ascii="Palatino Linotype" w:eastAsia="Palatino Linotype" w:hAnsi="Palatino Linotype" w:cs="Palatino Linotype"/>
        </w:rPr>
        <w:t xml:space="preserve">respecto a la resolución dictada en </w:t>
      </w:r>
      <w:r w:rsidR="002B1000" w:rsidRPr="002B1000">
        <w:rPr>
          <w:rFonts w:ascii="Palatino Linotype" w:eastAsia="Palatino Linotype" w:hAnsi="Palatino Linotype" w:cs="Palatino Linotype"/>
        </w:rPr>
        <w:t>el</w:t>
      </w:r>
      <w:r w:rsidRPr="002B1000">
        <w:rPr>
          <w:rFonts w:ascii="Palatino Linotype" w:eastAsia="Palatino Linotype" w:hAnsi="Palatino Linotype" w:cs="Palatino Linotype"/>
        </w:rPr>
        <w:t xml:space="preserve"> recurso de revisión </w:t>
      </w:r>
      <w:r w:rsidR="00CD2119">
        <w:rPr>
          <w:rFonts w:ascii="Palatino Linotype" w:eastAsia="Palatino Linotype" w:hAnsi="Palatino Linotype" w:cs="Palatino Linotype"/>
          <w:b/>
        </w:rPr>
        <w:t>09840</w:t>
      </w:r>
      <w:r w:rsidR="00B83F5F" w:rsidRPr="002B1000">
        <w:rPr>
          <w:rFonts w:ascii="Palatino Linotype" w:eastAsia="Palatino Linotype" w:hAnsi="Palatino Linotype" w:cs="Palatino Linotype"/>
          <w:b/>
        </w:rPr>
        <w:t>/INFOEM/IP/RR/2025</w:t>
      </w:r>
      <w:r w:rsidRPr="002B1000">
        <w:rPr>
          <w:rFonts w:ascii="Palatino Linotype" w:eastAsia="Palatino Linotype" w:hAnsi="Palatino Linotype" w:cs="Palatino Linotype"/>
          <w:b/>
        </w:rPr>
        <w:t xml:space="preserve">, </w:t>
      </w:r>
      <w:r w:rsidRPr="002B1000">
        <w:rPr>
          <w:rFonts w:ascii="Palatino Linotype" w:eastAsia="Palatino Linotype" w:hAnsi="Palatino Linotype" w:cs="Palatino Linotype"/>
        </w:rPr>
        <w:t>pronunciada por el Pleno de este Instituto a</w:t>
      </w:r>
      <w:r w:rsidR="00B83F5F" w:rsidRPr="002B1000">
        <w:rPr>
          <w:rFonts w:ascii="Palatino Linotype" w:eastAsia="Palatino Linotype" w:hAnsi="Palatino Linotype" w:cs="Palatino Linotype"/>
        </w:rPr>
        <w:t xml:space="preserve">nte el proyecto presentado por </w:t>
      </w:r>
      <w:r w:rsidR="00CD2119">
        <w:rPr>
          <w:rFonts w:ascii="Palatino Linotype" w:eastAsia="Palatino Linotype" w:hAnsi="Palatino Linotype" w:cs="Palatino Linotype"/>
        </w:rPr>
        <w:t>el</w:t>
      </w:r>
      <w:r w:rsidRPr="002B1000">
        <w:rPr>
          <w:rFonts w:ascii="Palatino Linotype" w:eastAsia="Palatino Linotype" w:hAnsi="Palatino Linotype" w:cs="Palatino Linotype"/>
        </w:rPr>
        <w:t xml:space="preserve"> Comisionad</w:t>
      </w:r>
      <w:r w:rsidR="00CD2119">
        <w:rPr>
          <w:rFonts w:ascii="Palatino Linotype" w:eastAsia="Palatino Linotype" w:hAnsi="Palatino Linotype" w:cs="Palatino Linotype"/>
        </w:rPr>
        <w:t>o José Martínez Vilchis</w:t>
      </w:r>
      <w:r w:rsidRPr="002B1000">
        <w:rPr>
          <w:rFonts w:ascii="Palatino Linotype" w:eastAsia="Palatino Linotype" w:hAnsi="Palatino Linotype" w:cs="Palatino Linotype"/>
        </w:rPr>
        <w:t xml:space="preserve">, conforme al criterio mayoritario, que es del tenor siguiente: </w:t>
      </w:r>
    </w:p>
    <w:p w14:paraId="07C8892E" w14:textId="77777777" w:rsidR="00325CEC" w:rsidRPr="002B1000" w:rsidRDefault="00325CEC">
      <w:pPr>
        <w:spacing w:after="0" w:line="360" w:lineRule="auto"/>
        <w:ind w:right="139"/>
        <w:jc w:val="both"/>
        <w:rPr>
          <w:rFonts w:ascii="Palatino Linotype" w:eastAsia="Palatino Linotype" w:hAnsi="Palatino Linotype" w:cs="Palatino Linotype"/>
        </w:rPr>
      </w:pPr>
    </w:p>
    <w:p w14:paraId="33436F3F" w14:textId="77777777" w:rsidR="00325CEC" w:rsidRPr="002B1000" w:rsidRDefault="00D1467C">
      <w:pPr>
        <w:numPr>
          <w:ilvl w:val="0"/>
          <w:numId w:val="1"/>
        </w:numPr>
        <w:spacing w:after="0" w:line="360" w:lineRule="auto"/>
        <w:ind w:left="567" w:right="139" w:hanging="283"/>
        <w:jc w:val="both"/>
        <w:rPr>
          <w:rFonts w:ascii="Palatino Linotype" w:eastAsia="Palatino Linotype" w:hAnsi="Palatino Linotype" w:cs="Palatino Linotype"/>
        </w:rPr>
      </w:pPr>
      <w:r w:rsidRPr="002B1000">
        <w:rPr>
          <w:rFonts w:ascii="Palatino Linotype" w:eastAsia="Palatino Linotype" w:hAnsi="Palatino Linotype" w:cs="Palatino Linotype"/>
          <w:b/>
        </w:rPr>
        <w:t>Antecedentes</w:t>
      </w:r>
    </w:p>
    <w:p w14:paraId="3D0F8CF1" w14:textId="31CE48AE" w:rsidR="00B83F5F" w:rsidRPr="002B1000" w:rsidRDefault="00D1467C" w:rsidP="0047259F">
      <w:pPr>
        <w:tabs>
          <w:tab w:val="left" w:pos="411"/>
        </w:tabs>
        <w:spacing w:before="120" w:after="120" w:line="360" w:lineRule="auto"/>
        <w:jc w:val="both"/>
        <w:rPr>
          <w:rFonts w:ascii="Palatino Linotype" w:eastAsia="Palatino Linotype" w:hAnsi="Palatino Linotype" w:cs="Palatino Linotype"/>
        </w:rPr>
      </w:pPr>
      <w:r w:rsidRPr="002B1000">
        <w:rPr>
          <w:rFonts w:ascii="Palatino Linotype" w:eastAsia="Palatino Linotype" w:hAnsi="Palatino Linotype" w:cs="Palatino Linotype"/>
        </w:rPr>
        <w:t>A través de la solicitud de acceso a la información que nos ocupa, la persona solicitante requirió del</w:t>
      </w:r>
      <w:r w:rsidR="002B1000">
        <w:rPr>
          <w:rFonts w:ascii="Palatino Linotype" w:eastAsia="Palatino Linotype" w:hAnsi="Palatino Linotype" w:cs="Palatino Linotype"/>
        </w:rPr>
        <w:t xml:space="preserve"> </w:t>
      </w:r>
      <w:r w:rsidR="00CD2119">
        <w:rPr>
          <w:rFonts w:ascii="Palatino Linotype" w:hAnsi="Palatino Linotype" w:cs="Arial"/>
          <w:szCs w:val="20"/>
        </w:rPr>
        <w:t>Ayuntamiento de Toluca</w:t>
      </w:r>
      <w:r w:rsidR="0047259F" w:rsidRPr="002B1000">
        <w:rPr>
          <w:rFonts w:ascii="Palatino Linotype" w:eastAsia="Palatino Linotype" w:hAnsi="Palatino Linotype" w:cs="Palatino Linotype"/>
          <w:b/>
          <w:bCs/>
        </w:rPr>
        <w:t>,</w:t>
      </w:r>
      <w:r w:rsidR="0047259F" w:rsidRPr="002B1000">
        <w:rPr>
          <w:rFonts w:ascii="Palatino Linotype" w:eastAsia="Palatino Linotype" w:hAnsi="Palatino Linotype" w:cs="Palatino Linotype"/>
        </w:rPr>
        <w:t xml:space="preserve"> (</w:t>
      </w:r>
      <w:r w:rsidRPr="002B1000">
        <w:rPr>
          <w:rFonts w:ascii="Palatino Linotype" w:eastAsia="Palatino Linotype" w:hAnsi="Palatino Linotype" w:cs="Palatino Linotype"/>
          <w:b/>
        </w:rPr>
        <w:t>Sujeto Obligado</w:t>
      </w:r>
      <w:r w:rsidR="0047259F" w:rsidRPr="002B1000">
        <w:rPr>
          <w:rFonts w:ascii="Palatino Linotype" w:eastAsia="Palatino Linotype" w:hAnsi="Palatino Linotype" w:cs="Palatino Linotype"/>
          <w:b/>
        </w:rPr>
        <w:t xml:space="preserve">, </w:t>
      </w:r>
      <w:r w:rsidR="0047259F" w:rsidRPr="002B1000">
        <w:rPr>
          <w:rFonts w:ascii="Palatino Linotype" w:eastAsia="Palatino Linotype" w:hAnsi="Palatino Linotype" w:cs="Palatino Linotype"/>
          <w:bCs/>
        </w:rPr>
        <w:t>en adelante),</w:t>
      </w:r>
      <w:r w:rsidRPr="002B1000">
        <w:rPr>
          <w:rFonts w:ascii="Palatino Linotype" w:eastAsia="Palatino Linotype" w:hAnsi="Palatino Linotype" w:cs="Palatino Linotype"/>
        </w:rPr>
        <w:t xml:space="preserve"> </w:t>
      </w:r>
      <w:r w:rsidR="00B83F5F" w:rsidRPr="002B1000">
        <w:rPr>
          <w:rFonts w:ascii="Palatino Linotype" w:eastAsia="Palatino Linotype" w:hAnsi="Palatino Linotype" w:cs="Palatino Linotype"/>
        </w:rPr>
        <w:t>lo siguiente:</w:t>
      </w:r>
    </w:p>
    <w:p w14:paraId="19EB49F8" w14:textId="1A96A8BD" w:rsidR="00AD6B6B" w:rsidRPr="006E5113" w:rsidRDefault="00CD2119" w:rsidP="00AD6B6B">
      <w:pPr>
        <w:spacing w:before="240" w:after="240" w:line="276" w:lineRule="auto"/>
        <w:ind w:left="567" w:right="900"/>
        <w:jc w:val="both"/>
        <w:rPr>
          <w:rFonts w:ascii="Palatino Linotype" w:eastAsia="Palatino Linotype" w:hAnsi="Palatino Linotype" w:cs="Palatino Linotype"/>
          <w:i/>
        </w:rPr>
      </w:pPr>
      <w:r w:rsidRPr="00CD2119">
        <w:rPr>
          <w:rFonts w:ascii="Palatino Linotype" w:eastAsia="Palatino Linotype" w:hAnsi="Palatino Linotype" w:cs="Palatino Linotype"/>
          <w:i/>
        </w:rPr>
        <w:t xml:space="preserve">“Las listas de asistencia, lector óptico, cv, expediente completo, credencial de servidor público certificaciones, curso que tienen en materia de transparencia y datos personales, los recibos de </w:t>
      </w:r>
      <w:proofErr w:type="spellStart"/>
      <w:r w:rsidRPr="00CD2119">
        <w:rPr>
          <w:rFonts w:ascii="Palatino Linotype" w:eastAsia="Palatino Linotype" w:hAnsi="Palatino Linotype" w:cs="Palatino Linotype"/>
          <w:i/>
        </w:rPr>
        <w:t>nomina</w:t>
      </w:r>
      <w:proofErr w:type="spellEnd"/>
      <w:r w:rsidRPr="00CD2119">
        <w:rPr>
          <w:rFonts w:ascii="Palatino Linotype" w:eastAsia="Palatino Linotype" w:hAnsi="Palatino Linotype" w:cs="Palatino Linotype"/>
          <w:i/>
        </w:rPr>
        <w:t xml:space="preserve"> firmado y enviados a </w:t>
      </w:r>
      <w:proofErr w:type="spellStart"/>
      <w:r w:rsidRPr="00CD2119">
        <w:rPr>
          <w:rFonts w:ascii="Palatino Linotype" w:eastAsia="Palatino Linotype" w:hAnsi="Palatino Linotype" w:cs="Palatino Linotype"/>
          <w:i/>
        </w:rPr>
        <w:t>osfem</w:t>
      </w:r>
      <w:proofErr w:type="spellEnd"/>
      <w:r w:rsidRPr="00CD2119">
        <w:rPr>
          <w:rFonts w:ascii="Palatino Linotype" w:eastAsia="Palatino Linotype" w:hAnsi="Palatino Linotype" w:cs="Palatino Linotype"/>
          <w:i/>
        </w:rPr>
        <w:t xml:space="preserve"> de la quincena 1 a la quincena 14 de 2025 con los recibos de pago de aguinaldo y de prima vacacional de todo el personal que labora y labora en la Unidad de Transparencia del 1 de enero a </w:t>
      </w:r>
      <w:r w:rsidRPr="00CD2119">
        <w:rPr>
          <w:rFonts w:ascii="Palatino Linotype" w:eastAsia="Palatino Linotype" w:hAnsi="Palatino Linotype" w:cs="Palatino Linotype"/>
          <w:i/>
        </w:rPr>
        <w:lastRenderedPageBreak/>
        <w:t xml:space="preserve">la fecha, los documentos y como es que ingreso Cielo Aranza </w:t>
      </w:r>
      <w:proofErr w:type="spellStart"/>
      <w:r w:rsidRPr="00CD2119">
        <w:rPr>
          <w:rFonts w:ascii="Palatino Linotype" w:eastAsia="Palatino Linotype" w:hAnsi="Palatino Linotype" w:cs="Palatino Linotype"/>
          <w:i/>
        </w:rPr>
        <w:t>Mendez</w:t>
      </w:r>
      <w:proofErr w:type="spellEnd"/>
      <w:r w:rsidRPr="00CD2119">
        <w:rPr>
          <w:rFonts w:ascii="Palatino Linotype" w:eastAsia="Palatino Linotype" w:hAnsi="Palatino Linotype" w:cs="Palatino Linotype"/>
          <w:i/>
        </w:rPr>
        <w:t>, como fue contratada y el visto bueno del Secretario del Ayuntamiento y Presidente para contratar a esa mosca muerta acosadora y arribista” (Sic)</w:t>
      </w:r>
    </w:p>
    <w:p w14:paraId="23B62632" w14:textId="77777777" w:rsidR="00CD2119" w:rsidRDefault="00CD2119">
      <w:pPr>
        <w:tabs>
          <w:tab w:val="left" w:pos="411"/>
        </w:tabs>
        <w:spacing w:before="120" w:after="120" w:line="360" w:lineRule="auto"/>
        <w:jc w:val="both"/>
        <w:rPr>
          <w:rFonts w:ascii="Palatino Linotype" w:eastAsia="Palatino Linotype" w:hAnsi="Palatino Linotype" w:cs="Palatino Linotype"/>
          <w:color w:val="000000"/>
        </w:rPr>
      </w:pPr>
    </w:p>
    <w:p w14:paraId="198FDB83" w14:textId="2DB92634" w:rsidR="00B83F5F" w:rsidRDefault="00D1467C">
      <w:pPr>
        <w:tabs>
          <w:tab w:val="left" w:pos="411"/>
        </w:tabs>
        <w:spacing w:before="120" w:after="120" w:line="360" w:lineRule="auto"/>
        <w:jc w:val="both"/>
        <w:rPr>
          <w:rFonts w:ascii="Palatino Linotype" w:eastAsia="Palatino Linotype" w:hAnsi="Palatino Linotype" w:cs="Palatino Linotype"/>
          <w:color w:val="000000"/>
        </w:rPr>
      </w:pPr>
      <w:r w:rsidRPr="002B1000">
        <w:rPr>
          <w:rFonts w:ascii="Palatino Linotype" w:eastAsia="Palatino Linotype" w:hAnsi="Palatino Linotype" w:cs="Palatino Linotype"/>
          <w:color w:val="000000"/>
        </w:rPr>
        <w:t xml:space="preserve">El </w:t>
      </w:r>
      <w:r w:rsidRPr="002B1000">
        <w:rPr>
          <w:rFonts w:ascii="Palatino Linotype" w:eastAsia="Palatino Linotype" w:hAnsi="Palatino Linotype" w:cs="Palatino Linotype"/>
          <w:b/>
          <w:color w:val="000000"/>
        </w:rPr>
        <w:t xml:space="preserve">Sujeto Obligado, </w:t>
      </w:r>
      <w:r w:rsidRPr="002B1000">
        <w:rPr>
          <w:rFonts w:ascii="Palatino Linotype" w:eastAsia="Palatino Linotype" w:hAnsi="Palatino Linotype" w:cs="Palatino Linotype"/>
          <w:color w:val="000000"/>
        </w:rPr>
        <w:t xml:space="preserve">emitió su respuesta </w:t>
      </w:r>
      <w:r w:rsidR="00B83F5F" w:rsidRPr="002B1000">
        <w:rPr>
          <w:rFonts w:ascii="Palatino Linotype" w:eastAsia="Palatino Linotype" w:hAnsi="Palatino Linotype" w:cs="Palatino Linotype"/>
          <w:color w:val="000000"/>
        </w:rPr>
        <w:t>de la siguiente manera:</w:t>
      </w:r>
    </w:p>
    <w:p w14:paraId="32FB5A27" w14:textId="6FBE6C06" w:rsidR="00CD2119" w:rsidRDefault="00CD2119">
      <w:pPr>
        <w:tabs>
          <w:tab w:val="left" w:pos="411"/>
        </w:tabs>
        <w:spacing w:before="120" w:after="120" w:line="360" w:lineRule="auto"/>
        <w:jc w:val="both"/>
        <w:rPr>
          <w:rFonts w:ascii="Palatino Linotype" w:eastAsia="Palatino Linotype" w:hAnsi="Palatino Linotype" w:cs="Palatino Linotype"/>
          <w:color w:val="000000"/>
        </w:rPr>
      </w:pPr>
    </w:p>
    <w:p w14:paraId="6112CED1" w14:textId="77777777" w:rsidR="00CD2119" w:rsidRPr="00525CE6" w:rsidRDefault="00CD2119" w:rsidP="00CD2119">
      <w:pPr>
        <w:pStyle w:val="Prrafodelista"/>
        <w:numPr>
          <w:ilvl w:val="0"/>
          <w:numId w:val="3"/>
        </w:numPr>
        <w:spacing w:after="240" w:line="360" w:lineRule="auto"/>
        <w:contextualSpacing w:val="0"/>
        <w:jc w:val="both"/>
        <w:rPr>
          <w:rFonts w:ascii="Palatino Linotype" w:hAnsi="Palatino Linotype" w:cs="Arial"/>
          <w:b/>
          <w:bCs/>
          <w:color w:val="000000"/>
          <w:lang w:val="es-ES_tradnl"/>
        </w:rPr>
      </w:pPr>
      <w:r w:rsidRPr="00A50EB9">
        <w:rPr>
          <w:rFonts w:ascii="Palatino Linotype" w:hAnsi="Palatino Linotype" w:cs="Arial"/>
          <w:b/>
          <w:bCs/>
          <w:color w:val="000000"/>
          <w:lang w:val="es-ES_tradnl"/>
        </w:rPr>
        <w:t>“R. 04054_25.pdf”:</w:t>
      </w:r>
      <w:r>
        <w:rPr>
          <w:rFonts w:ascii="Palatino Linotype" w:hAnsi="Palatino Linotype" w:cs="Arial"/>
          <w:b/>
          <w:bCs/>
          <w:color w:val="000000"/>
          <w:lang w:val="es-ES_tradnl"/>
        </w:rPr>
        <w:t xml:space="preserve"> </w:t>
      </w:r>
      <w:r>
        <w:rPr>
          <w:rFonts w:ascii="Palatino Linotype" w:hAnsi="Palatino Linotype" w:cs="Arial"/>
          <w:color w:val="000000"/>
          <w:lang w:val="es-ES_tradnl"/>
        </w:rPr>
        <w:t xml:space="preserve">Oficio sin número signado por el titular de la unidad de transparencia, dirigido al solicitante, de fecha catorce de agosto de dos mil veinticinco, en términos generales refiere que la solicitud formulada por el ciudadano se traduce en un derecho de petición. </w:t>
      </w:r>
    </w:p>
    <w:p w14:paraId="6EB49322" w14:textId="1D9A3576" w:rsidR="002B1000" w:rsidRDefault="00D1467C">
      <w:pPr>
        <w:pBdr>
          <w:top w:val="nil"/>
          <w:left w:val="nil"/>
          <w:bottom w:val="nil"/>
          <w:right w:val="nil"/>
          <w:between w:val="nil"/>
        </w:pBdr>
        <w:spacing w:before="240" w:after="240" w:line="360" w:lineRule="auto"/>
        <w:ind w:right="142"/>
        <w:jc w:val="both"/>
        <w:rPr>
          <w:rFonts w:ascii="Palatino Linotype" w:eastAsia="Palatino Linotype" w:hAnsi="Palatino Linotype" w:cs="Palatino Linotype"/>
          <w:color w:val="000000"/>
        </w:rPr>
      </w:pPr>
      <w:r w:rsidRPr="002B1000">
        <w:rPr>
          <w:rFonts w:ascii="Palatino Linotype" w:eastAsia="Palatino Linotype" w:hAnsi="Palatino Linotype" w:cs="Palatino Linotype"/>
          <w:color w:val="000000"/>
        </w:rPr>
        <w:t xml:space="preserve">Al no estar conforme con los términos de la respuesta emitida, la parte </w:t>
      </w:r>
      <w:r w:rsidRPr="002B1000">
        <w:rPr>
          <w:rFonts w:ascii="Palatino Linotype" w:eastAsia="Palatino Linotype" w:hAnsi="Palatino Linotype" w:cs="Palatino Linotype"/>
          <w:b/>
          <w:color w:val="000000"/>
        </w:rPr>
        <w:t xml:space="preserve">Recurrente </w:t>
      </w:r>
      <w:r w:rsidRPr="002B1000">
        <w:rPr>
          <w:rFonts w:ascii="Palatino Linotype" w:eastAsia="Palatino Linotype" w:hAnsi="Palatino Linotype" w:cs="Palatino Linotype"/>
          <w:color w:val="000000"/>
        </w:rPr>
        <w:t xml:space="preserve">interpuso el recurso de revisión que se resolvió, consideró </w:t>
      </w:r>
      <w:r w:rsidR="00B83F5F" w:rsidRPr="002B1000">
        <w:rPr>
          <w:rFonts w:ascii="Palatino Linotype" w:eastAsia="Palatino Linotype" w:hAnsi="Palatino Linotype" w:cs="Palatino Linotype"/>
          <w:color w:val="000000"/>
        </w:rPr>
        <w:t xml:space="preserve">que </w:t>
      </w:r>
      <w:r w:rsidR="00CD2119">
        <w:rPr>
          <w:rFonts w:ascii="Palatino Linotype" w:eastAsia="Palatino Linotype" w:hAnsi="Palatino Linotype" w:cs="Palatino Linotype"/>
          <w:color w:val="000000"/>
        </w:rPr>
        <w:t>la respuesta era corrupta y opaca, y exige que se entregue la información porque es pública.</w:t>
      </w:r>
    </w:p>
    <w:p w14:paraId="6D6657C2" w14:textId="77777777" w:rsidR="00325CEC" w:rsidRPr="002B1000" w:rsidRDefault="00D1467C">
      <w:pPr>
        <w:pBdr>
          <w:top w:val="nil"/>
          <w:left w:val="nil"/>
          <w:bottom w:val="nil"/>
          <w:right w:val="nil"/>
          <w:between w:val="nil"/>
        </w:pBdr>
        <w:spacing w:after="0" w:line="360" w:lineRule="auto"/>
        <w:ind w:right="142"/>
        <w:jc w:val="both"/>
        <w:rPr>
          <w:rFonts w:ascii="Palatino Linotype" w:eastAsia="Palatino Linotype" w:hAnsi="Palatino Linotype" w:cs="Palatino Linotype"/>
          <w:i/>
          <w:color w:val="000000"/>
        </w:rPr>
      </w:pPr>
      <w:r w:rsidRPr="002B1000">
        <w:rPr>
          <w:rFonts w:ascii="Palatino Linotype" w:eastAsia="Palatino Linotype" w:hAnsi="Palatino Linotype" w:cs="Palatino Linotype"/>
          <w:color w:val="000000"/>
        </w:rPr>
        <w:t xml:space="preserve">Durante la etapa de instrucción, el </w:t>
      </w:r>
      <w:r w:rsidRPr="002B1000">
        <w:rPr>
          <w:rFonts w:ascii="Palatino Linotype" w:eastAsia="Palatino Linotype" w:hAnsi="Palatino Linotype" w:cs="Palatino Linotype"/>
          <w:b/>
          <w:color w:val="000000"/>
        </w:rPr>
        <w:t>Sujeto Obligado</w:t>
      </w:r>
      <w:r w:rsidRPr="002B1000">
        <w:rPr>
          <w:rFonts w:ascii="Palatino Linotype" w:eastAsia="Palatino Linotype" w:hAnsi="Palatino Linotype" w:cs="Palatino Linotype"/>
          <w:color w:val="000000"/>
        </w:rPr>
        <w:t xml:space="preserve"> ratificó la respuesta emitida en primera instancia.</w:t>
      </w:r>
    </w:p>
    <w:p w14:paraId="0A418E10" w14:textId="1D338C62" w:rsidR="00B83F5F" w:rsidRPr="002B1000" w:rsidRDefault="00B83F5F" w:rsidP="00B83F5F">
      <w:pPr>
        <w:spacing w:before="240" w:line="360" w:lineRule="auto"/>
        <w:jc w:val="both"/>
        <w:rPr>
          <w:rFonts w:ascii="Palatino Linotype" w:eastAsia="Times New Roman" w:hAnsi="Palatino Linotype" w:cs="Tahoma"/>
          <w:color w:val="000000"/>
        </w:rPr>
      </w:pPr>
      <w:r w:rsidRPr="002B1000">
        <w:rPr>
          <w:rFonts w:ascii="Palatino Linotype" w:eastAsia="Times New Roman" w:hAnsi="Palatino Linotype" w:cs="Tahoma"/>
          <w:color w:val="000000"/>
        </w:rPr>
        <w:t xml:space="preserve">Así las cosas, el Instituto considero procedente </w:t>
      </w:r>
      <w:r w:rsidRPr="002B1000">
        <w:rPr>
          <w:rFonts w:ascii="Palatino Linotype" w:eastAsia="Palatino Linotype" w:hAnsi="Palatino Linotype" w:cs="Palatino Linotype"/>
          <w:b/>
        </w:rPr>
        <w:t>Sobreseer,</w:t>
      </w:r>
      <w:r w:rsidRPr="002B1000">
        <w:rPr>
          <w:rFonts w:ascii="Palatino Linotype" w:eastAsia="Palatino Linotype" w:hAnsi="Palatino Linotype" w:cs="Palatino Linotype"/>
        </w:rPr>
        <w:t xml:space="preserve"> </w:t>
      </w:r>
      <w:r w:rsidR="002B1000">
        <w:rPr>
          <w:rFonts w:ascii="Palatino Linotype" w:eastAsia="Palatino Linotype" w:hAnsi="Palatino Linotype" w:cs="Palatino Linotype"/>
        </w:rPr>
        <w:t xml:space="preserve">el </w:t>
      </w:r>
      <w:r w:rsidRPr="002B1000">
        <w:rPr>
          <w:rFonts w:ascii="Palatino Linotype" w:eastAsia="Palatino Linotype" w:hAnsi="Palatino Linotype" w:cs="Palatino Linotype"/>
        </w:rPr>
        <w:t>recurso de revisión</w:t>
      </w:r>
      <w:r w:rsidRPr="002B1000">
        <w:rPr>
          <w:rFonts w:ascii="Palatino Linotype" w:eastAsia="Palatino Linotype" w:hAnsi="Palatino Linotype" w:cs="Palatino Linotype"/>
          <w:b/>
        </w:rPr>
        <w:t xml:space="preserve">, </w:t>
      </w:r>
      <w:bookmarkStart w:id="0" w:name="_heading=h.lo8ig4d43h06" w:colFirst="0" w:colLast="0"/>
      <w:bookmarkEnd w:id="0"/>
      <w:r w:rsidRPr="002B1000">
        <w:rPr>
          <w:rFonts w:ascii="Palatino Linotype" w:eastAsia="Palatino Linotype" w:hAnsi="Palatino Linotype" w:cs="Palatino Linotype"/>
        </w:rPr>
        <w:t>conforme a la fracción V del artículo 192 de la Ley de Transparencia y Acceso a la Información Pública del Estado de México y Municipios, de la siguiente manera:</w:t>
      </w:r>
    </w:p>
    <w:p w14:paraId="70791C3F" w14:textId="5B005096" w:rsidR="00F643A0" w:rsidRPr="002B1000" w:rsidRDefault="0047259F" w:rsidP="00110460">
      <w:pPr>
        <w:spacing w:line="240" w:lineRule="auto"/>
        <w:ind w:left="851" w:right="616"/>
        <w:contextualSpacing/>
        <w:jc w:val="both"/>
        <w:rPr>
          <w:rFonts w:ascii="Palatino Linotype" w:eastAsia="Times New Roman" w:hAnsi="Palatino Linotype" w:cs="Tahoma"/>
          <w:i/>
          <w:color w:val="000000"/>
        </w:rPr>
      </w:pPr>
      <w:r w:rsidRPr="002B1000">
        <w:rPr>
          <w:rFonts w:ascii="Palatino Linotype" w:eastAsia="Times New Roman" w:hAnsi="Palatino Linotype" w:cs="Tahoma"/>
          <w:i/>
          <w:color w:val="000000"/>
        </w:rPr>
        <w:t>“</w:t>
      </w:r>
      <w:r w:rsidR="00CD2119" w:rsidRPr="00CD2119">
        <w:rPr>
          <w:rFonts w:ascii="Palatino Linotype" w:eastAsia="Times New Roman" w:hAnsi="Palatino Linotype" w:cs="Tahoma"/>
          <w:b/>
          <w:i/>
          <w:color w:val="000000"/>
        </w:rPr>
        <w:t>PRIMERO.</w:t>
      </w:r>
      <w:r w:rsidR="00CD2119" w:rsidRPr="00CD2119">
        <w:rPr>
          <w:rFonts w:ascii="Palatino Linotype" w:eastAsia="Times New Roman" w:hAnsi="Palatino Linotype" w:cs="Tahoma"/>
          <w:i/>
          <w:color w:val="000000"/>
        </w:rPr>
        <w:t xml:space="preserve"> Se </w:t>
      </w:r>
      <w:r w:rsidR="00CD2119" w:rsidRPr="00CD2119">
        <w:rPr>
          <w:rFonts w:ascii="Palatino Linotype" w:eastAsia="Times New Roman" w:hAnsi="Palatino Linotype" w:cs="Tahoma"/>
          <w:b/>
          <w:i/>
          <w:color w:val="000000"/>
        </w:rPr>
        <w:t>SOBRESEE</w:t>
      </w:r>
      <w:r w:rsidR="00CD2119" w:rsidRPr="00CD2119">
        <w:rPr>
          <w:rFonts w:ascii="Palatino Linotype" w:eastAsia="Times New Roman" w:hAnsi="Palatino Linotype" w:cs="Tahoma"/>
          <w:i/>
          <w:color w:val="000000"/>
        </w:rPr>
        <w:t xml:space="preserve"> el recurso de revisión número </w:t>
      </w:r>
      <w:r w:rsidR="00CD2119" w:rsidRPr="00CD2119">
        <w:rPr>
          <w:rFonts w:ascii="Palatino Linotype" w:eastAsia="Times New Roman" w:hAnsi="Palatino Linotype" w:cs="Tahoma"/>
          <w:b/>
          <w:i/>
          <w:color w:val="000000"/>
        </w:rPr>
        <w:t>09840/INFOEM/IP/RR/2025</w:t>
      </w:r>
      <w:r w:rsidR="00CD2119" w:rsidRPr="00CD2119">
        <w:rPr>
          <w:rFonts w:ascii="Palatino Linotype" w:eastAsia="Times New Roman" w:hAnsi="Palatino Linotype" w:cs="Tahoma"/>
          <w:i/>
          <w:color w:val="000000"/>
        </w:rPr>
        <w:t xml:space="preserve">, en términos del artículo 192, fracción V, de la Ley de Transparencia y Acceso a la Información Pública del Estado de México y </w:t>
      </w:r>
      <w:r w:rsidR="00CD2119" w:rsidRPr="00CD2119">
        <w:rPr>
          <w:rFonts w:ascii="Palatino Linotype" w:eastAsia="Times New Roman" w:hAnsi="Palatino Linotype" w:cs="Tahoma"/>
          <w:i/>
          <w:color w:val="000000"/>
        </w:rPr>
        <w:lastRenderedPageBreak/>
        <w:t xml:space="preserve">Municipios, de conformidad con el considerando </w:t>
      </w:r>
      <w:r w:rsidR="00CD2119" w:rsidRPr="00CD2119">
        <w:rPr>
          <w:rFonts w:ascii="Palatino Linotype" w:eastAsia="Times New Roman" w:hAnsi="Palatino Linotype" w:cs="Tahoma"/>
          <w:b/>
          <w:i/>
          <w:color w:val="000000"/>
        </w:rPr>
        <w:t>CUARTO</w:t>
      </w:r>
      <w:r w:rsidR="00CD2119" w:rsidRPr="00CD2119">
        <w:rPr>
          <w:rFonts w:ascii="Palatino Linotype" w:eastAsia="Times New Roman" w:hAnsi="Palatino Linotype" w:cs="Tahoma"/>
          <w:i/>
          <w:color w:val="000000"/>
        </w:rPr>
        <w:t xml:space="preserve"> de la presente Resolución.    </w:t>
      </w:r>
    </w:p>
    <w:p w14:paraId="50F1DFF6" w14:textId="44F4186D" w:rsidR="00B83F5F" w:rsidRPr="002B1000" w:rsidRDefault="002B1000" w:rsidP="00B83F5F">
      <w:pPr>
        <w:spacing w:line="240" w:lineRule="auto"/>
        <w:ind w:left="851" w:right="616"/>
        <w:contextualSpacing/>
        <w:jc w:val="both"/>
        <w:rPr>
          <w:rFonts w:ascii="Palatino Linotype" w:hAnsi="Palatino Linotype" w:cs="Tahoma"/>
          <w:bCs/>
          <w:i/>
        </w:rPr>
      </w:pPr>
      <w:r w:rsidRPr="002B1000">
        <w:rPr>
          <w:rFonts w:ascii="Palatino Linotype" w:hAnsi="Palatino Linotype" w:cs="Tahoma"/>
          <w:bCs/>
          <w:i/>
        </w:rPr>
        <w:t xml:space="preserve"> </w:t>
      </w:r>
      <w:r w:rsidR="0047259F" w:rsidRPr="002B1000">
        <w:rPr>
          <w:rFonts w:ascii="Palatino Linotype" w:hAnsi="Palatino Linotype" w:cs="Tahoma"/>
          <w:bCs/>
          <w:i/>
        </w:rPr>
        <w:t>(…)</w:t>
      </w:r>
      <w:r w:rsidR="00B83F5F" w:rsidRPr="002B1000">
        <w:rPr>
          <w:rFonts w:ascii="Palatino Linotype" w:hAnsi="Palatino Linotype" w:cs="Tahoma"/>
          <w:bCs/>
          <w:i/>
        </w:rPr>
        <w:t>.”</w:t>
      </w:r>
    </w:p>
    <w:p w14:paraId="6A29D149" w14:textId="77777777" w:rsidR="00B83F5F" w:rsidRPr="002B1000" w:rsidRDefault="00B83F5F" w:rsidP="00B83F5F">
      <w:pPr>
        <w:spacing w:line="240" w:lineRule="auto"/>
        <w:ind w:left="851" w:right="616"/>
        <w:contextualSpacing/>
        <w:jc w:val="both"/>
        <w:rPr>
          <w:rFonts w:ascii="Palatino Linotype" w:hAnsi="Palatino Linotype" w:cs="Tahoma"/>
          <w:b/>
          <w:bCs/>
          <w:i/>
        </w:rPr>
      </w:pPr>
    </w:p>
    <w:p w14:paraId="614EBABB" w14:textId="77777777" w:rsidR="00B83F5F" w:rsidRPr="002B1000" w:rsidRDefault="00B83F5F" w:rsidP="00B83F5F">
      <w:pPr>
        <w:spacing w:line="240" w:lineRule="auto"/>
        <w:ind w:left="851" w:right="616"/>
        <w:contextualSpacing/>
        <w:jc w:val="both"/>
        <w:rPr>
          <w:rFonts w:ascii="Palatino Linotype" w:hAnsi="Palatino Linotype" w:cs="Tahoma"/>
          <w:b/>
          <w:bCs/>
          <w:i/>
        </w:rPr>
      </w:pPr>
    </w:p>
    <w:p w14:paraId="245E7047" w14:textId="77777777" w:rsidR="00325CEC" w:rsidRPr="002B1000" w:rsidRDefault="00D1467C">
      <w:pPr>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2B1000">
        <w:rPr>
          <w:rFonts w:ascii="Palatino Linotype" w:eastAsia="Palatino Linotype" w:hAnsi="Palatino Linotype" w:cs="Palatino Linotype"/>
          <w:b/>
        </w:rPr>
        <w:t xml:space="preserve">Razones del Voto Disidente </w:t>
      </w:r>
    </w:p>
    <w:p w14:paraId="56060D30" w14:textId="77777777" w:rsidR="00325CEC" w:rsidRPr="002B1000" w:rsidRDefault="00325CEC">
      <w:pPr>
        <w:pBdr>
          <w:top w:val="nil"/>
          <w:left w:val="nil"/>
          <w:bottom w:val="nil"/>
          <w:right w:val="nil"/>
          <w:between w:val="nil"/>
        </w:pBdr>
        <w:spacing w:after="0" w:line="360" w:lineRule="auto"/>
        <w:ind w:left="1080" w:right="139"/>
        <w:jc w:val="both"/>
        <w:rPr>
          <w:rFonts w:ascii="Palatino Linotype" w:eastAsia="Palatino Linotype" w:hAnsi="Palatino Linotype" w:cs="Palatino Linotype"/>
        </w:rPr>
      </w:pPr>
    </w:p>
    <w:p w14:paraId="4134C986" w14:textId="77777777" w:rsidR="00325CEC" w:rsidRPr="002B1000" w:rsidRDefault="00D1467C">
      <w:pPr>
        <w:spacing w:after="0" w:line="360" w:lineRule="auto"/>
        <w:ind w:right="49"/>
        <w:jc w:val="both"/>
        <w:rPr>
          <w:rFonts w:ascii="Palatino Linotype" w:eastAsia="Palatino Linotype" w:hAnsi="Palatino Linotype" w:cs="Palatino Linotype"/>
        </w:rPr>
      </w:pPr>
      <w:r w:rsidRPr="002B1000">
        <w:rPr>
          <w:rFonts w:ascii="Palatino Linotype" w:eastAsia="Palatino Linotype" w:hAnsi="Palatino Linotype" w:cs="Palatino Linotype"/>
        </w:rPr>
        <w:t>Considero que el derecho de acceso a la información pública debiera ser ejercido con el debido respeto personal e institucional, sin hacer uso de expresiones peyorativas, ofensivas o denigrantes, es indispensable analizar la naturaleza y finalidad del derecho de acceso a la información, el principio de libertad de expresión y el derecho al honor; por ello, a continuación, me permito exponer los motivos por los que, aún en el contexto de palabras altisonantes, se debe garantizar la entrega de la información solicitada.</w:t>
      </w:r>
    </w:p>
    <w:p w14:paraId="2123E06A" w14:textId="77777777" w:rsidR="00325CEC" w:rsidRPr="002B1000" w:rsidRDefault="00325CEC">
      <w:pPr>
        <w:spacing w:after="0" w:line="360" w:lineRule="auto"/>
        <w:ind w:right="49"/>
        <w:jc w:val="both"/>
        <w:rPr>
          <w:rFonts w:ascii="Palatino Linotype" w:eastAsia="Palatino Linotype" w:hAnsi="Palatino Linotype" w:cs="Palatino Linotype"/>
        </w:rPr>
      </w:pPr>
    </w:p>
    <w:p w14:paraId="786507F7" w14:textId="77777777" w:rsidR="00325CEC" w:rsidRPr="002B1000" w:rsidRDefault="00D1467C">
      <w:pPr>
        <w:spacing w:after="0" w:line="360" w:lineRule="auto"/>
        <w:ind w:right="49"/>
        <w:jc w:val="both"/>
        <w:rPr>
          <w:rFonts w:ascii="Palatino Linotype" w:eastAsia="Palatino Linotype" w:hAnsi="Palatino Linotype" w:cs="Palatino Linotype"/>
        </w:rPr>
      </w:pPr>
      <w:r w:rsidRPr="002B1000">
        <w:rPr>
          <w:rFonts w:ascii="Palatino Linotype" w:eastAsia="Palatino Linotype" w:hAnsi="Palatino Linotype" w:cs="Palatino Linotype"/>
        </w:rPr>
        <w:t>Negarse a tramitar solicitudes con base en el tono o lenguaje empleado en ellas no se encuentra contemplado en la Constitución ni en la Ley General de Transparencia y Acceso a la Información Pública. En consecuencia, no se protege el derecho fundamental de acceso a la información si se toma tal criterio.</w:t>
      </w:r>
    </w:p>
    <w:p w14:paraId="56EF772E" w14:textId="77777777" w:rsidR="00B83F5F" w:rsidRPr="002B1000" w:rsidRDefault="00B83F5F">
      <w:pPr>
        <w:spacing w:after="0" w:line="360" w:lineRule="auto"/>
        <w:ind w:right="49"/>
        <w:jc w:val="both"/>
        <w:rPr>
          <w:rFonts w:ascii="Palatino Linotype" w:eastAsia="Palatino Linotype" w:hAnsi="Palatino Linotype" w:cs="Palatino Linotype"/>
        </w:rPr>
      </w:pPr>
    </w:p>
    <w:p w14:paraId="3BBC01A5" w14:textId="77777777" w:rsidR="00325CEC" w:rsidRPr="002B1000" w:rsidRDefault="00D1467C">
      <w:pPr>
        <w:spacing w:after="0" w:line="360" w:lineRule="auto"/>
        <w:ind w:right="49"/>
        <w:jc w:val="both"/>
        <w:rPr>
          <w:rFonts w:ascii="Palatino Linotype" w:eastAsia="Palatino Linotype" w:hAnsi="Palatino Linotype" w:cs="Palatino Linotype"/>
        </w:rPr>
      </w:pPr>
      <w:bookmarkStart w:id="1" w:name="_tisonhrzz7l5" w:colFirst="0" w:colLast="0"/>
      <w:bookmarkEnd w:id="1"/>
      <w:r w:rsidRPr="002B1000">
        <w:rPr>
          <w:rFonts w:ascii="Palatino Linotype" w:eastAsia="Palatino Linotype" w:hAnsi="Palatino Linotype" w:cs="Palatino Linotype"/>
        </w:rPr>
        <w:t>Asimismo, el artículo 124 de la Ley General establece los requisitos de procedencia de la solicitud, y estos no pueden excederse en ninguna circunstancia. El artículo 128 afirma que solo se puede considerar no presentada una solicitud cuando el solicitante no responda a un requerimiento previo y no de manera automática como primera acción.</w:t>
      </w:r>
    </w:p>
    <w:p w14:paraId="3697D9EE" w14:textId="77777777" w:rsidR="00325CEC" w:rsidRPr="002B1000" w:rsidRDefault="00325CEC">
      <w:pPr>
        <w:spacing w:after="0" w:line="360" w:lineRule="auto"/>
        <w:ind w:right="49"/>
        <w:jc w:val="both"/>
        <w:rPr>
          <w:rFonts w:ascii="Palatino Linotype" w:eastAsia="Palatino Linotype" w:hAnsi="Palatino Linotype" w:cs="Palatino Linotype"/>
        </w:rPr>
      </w:pPr>
    </w:p>
    <w:p w14:paraId="7A9041C5" w14:textId="77777777" w:rsidR="00325CEC" w:rsidRPr="002B1000" w:rsidRDefault="00D1467C">
      <w:pPr>
        <w:spacing w:after="0" w:line="360" w:lineRule="auto"/>
        <w:ind w:right="49"/>
        <w:jc w:val="both"/>
        <w:rPr>
          <w:rFonts w:ascii="Palatino Linotype" w:eastAsia="Palatino Linotype" w:hAnsi="Palatino Linotype" w:cs="Palatino Linotype"/>
        </w:rPr>
      </w:pPr>
      <w:r w:rsidRPr="002B1000">
        <w:rPr>
          <w:rFonts w:ascii="Palatino Linotype" w:eastAsia="Palatino Linotype" w:hAnsi="Palatino Linotype" w:cs="Palatino Linotype"/>
        </w:rPr>
        <w:lastRenderedPageBreak/>
        <w:t xml:space="preserve">Debemos tener en cuenta que el acceso a la información pública es un derecho fundamental que busca garantizar la transparencia gubernamental, permitiendo el escrutinio público y empoderando a los ciudadanos a participar activamente en la democracia. Limitar este derecho basándonos en el tono o contenido adjetivo de una solicitud, iría en contra del propósito principal de promover un gobierno abierto y transparente. </w:t>
      </w:r>
    </w:p>
    <w:p w14:paraId="0B381942" w14:textId="77777777" w:rsidR="00325CEC" w:rsidRPr="002B1000" w:rsidRDefault="00325CEC">
      <w:pPr>
        <w:spacing w:after="0" w:line="360" w:lineRule="auto"/>
        <w:ind w:right="49"/>
        <w:jc w:val="both"/>
        <w:rPr>
          <w:rFonts w:ascii="Palatino Linotype" w:eastAsia="Palatino Linotype" w:hAnsi="Palatino Linotype" w:cs="Palatino Linotype"/>
        </w:rPr>
      </w:pPr>
    </w:p>
    <w:p w14:paraId="022DA1AB" w14:textId="77777777" w:rsidR="00325CEC" w:rsidRPr="002B1000" w:rsidRDefault="00D1467C">
      <w:pPr>
        <w:spacing w:after="0" w:line="360" w:lineRule="auto"/>
        <w:ind w:right="49"/>
        <w:jc w:val="both"/>
        <w:rPr>
          <w:rFonts w:ascii="Palatino Linotype" w:eastAsia="Palatino Linotype" w:hAnsi="Palatino Linotype" w:cs="Palatino Linotype"/>
        </w:rPr>
      </w:pPr>
      <w:r w:rsidRPr="002B1000">
        <w:rPr>
          <w:rFonts w:ascii="Palatino Linotype" w:eastAsia="Palatino Linotype" w:hAnsi="Palatino Linotype" w:cs="Palatino Linotype"/>
        </w:rPr>
        <w:t>El contenido sustantivo de una solicitud de acceso a la información (es decir, la información que se solicita) debe ser tratado de manera independiente a cualquier comentario o expresión adjunta que pueda acompañarla. Permitir que la entrega de información se vea afectada por expresiones adicionales, aunque sean inapropiadas, sentaría un precedente peligroso que podría desincentivar o complicar futuros requerimientos de información.</w:t>
      </w:r>
    </w:p>
    <w:p w14:paraId="2B9FC270" w14:textId="77777777" w:rsidR="00325CEC" w:rsidRPr="002B1000" w:rsidRDefault="00325CEC">
      <w:pPr>
        <w:spacing w:after="0" w:line="360" w:lineRule="auto"/>
        <w:ind w:right="49"/>
        <w:jc w:val="both"/>
        <w:rPr>
          <w:rFonts w:ascii="Palatino Linotype" w:eastAsia="Palatino Linotype" w:hAnsi="Palatino Linotype" w:cs="Palatino Linotype"/>
        </w:rPr>
      </w:pPr>
    </w:p>
    <w:p w14:paraId="2AF307B3" w14:textId="77777777" w:rsidR="00325CEC" w:rsidRPr="002B1000" w:rsidRDefault="00D1467C">
      <w:pPr>
        <w:spacing w:after="0" w:line="360" w:lineRule="auto"/>
        <w:ind w:right="49"/>
        <w:jc w:val="both"/>
        <w:rPr>
          <w:rFonts w:ascii="Palatino Linotype" w:eastAsia="Palatino Linotype" w:hAnsi="Palatino Linotype" w:cs="Palatino Linotype"/>
        </w:rPr>
      </w:pPr>
      <w:r w:rsidRPr="002B1000">
        <w:rPr>
          <w:rFonts w:ascii="Palatino Linotype" w:eastAsia="Palatino Linotype" w:hAnsi="Palatino Linotype" w:cs="Palatino Linotype"/>
        </w:rPr>
        <w:t>Por otro lado, la libertad de expresión es un derecho fundamental que permite a los ciudadanos expresar sus opiniones, incluidas las críticas hacia la administración pública. Aunque este derecho no es absoluto y no justifica el uso de lenguaje ofensivo, es esencial recordar que su protección es vital para el funcionamiento de una sociedad democrática. Si bien el derecho al honor es esencial y protege la reputación y dignidad de las personas, considero que, en el contexto de una solicitud de acceso a la información, la preservación de la transparencia gubernamental y la promoción de la rendición de cuentas deben tener prioridad.</w:t>
      </w:r>
    </w:p>
    <w:p w14:paraId="487B33AC" w14:textId="77777777" w:rsidR="00325CEC" w:rsidRPr="002B1000" w:rsidRDefault="00325CEC">
      <w:pPr>
        <w:spacing w:after="0" w:line="360" w:lineRule="auto"/>
        <w:ind w:right="49"/>
        <w:jc w:val="both"/>
        <w:rPr>
          <w:rFonts w:ascii="Palatino Linotype" w:eastAsia="Palatino Linotype" w:hAnsi="Palatino Linotype" w:cs="Palatino Linotype"/>
        </w:rPr>
      </w:pPr>
    </w:p>
    <w:p w14:paraId="397A1890" w14:textId="77777777" w:rsidR="00325CEC" w:rsidRPr="002B1000" w:rsidRDefault="00D1467C">
      <w:pPr>
        <w:spacing w:after="0" w:line="360" w:lineRule="auto"/>
        <w:ind w:right="49"/>
        <w:jc w:val="both"/>
        <w:rPr>
          <w:rFonts w:ascii="Palatino Linotype" w:eastAsia="Palatino Linotype" w:hAnsi="Palatino Linotype" w:cs="Palatino Linotype"/>
        </w:rPr>
      </w:pPr>
      <w:r w:rsidRPr="002B1000">
        <w:rPr>
          <w:rFonts w:ascii="Palatino Linotype" w:eastAsia="Palatino Linotype" w:hAnsi="Palatino Linotype" w:cs="Palatino Linotype"/>
        </w:rPr>
        <w:t>Sin embargo, en el presente asunto tuvo mayor peso, de acuerdo al Criterio Mayoritario, lo que manifestó el particular en su solicitud y en los motivos de inconformidad al expresar cuestiones altisonantes, sobreseyendo el recurso de revisión.</w:t>
      </w:r>
    </w:p>
    <w:p w14:paraId="1C0D264E" w14:textId="77777777" w:rsidR="00325CEC" w:rsidRPr="002B1000" w:rsidRDefault="00325CEC">
      <w:pPr>
        <w:spacing w:after="0" w:line="360" w:lineRule="auto"/>
        <w:ind w:right="49"/>
        <w:jc w:val="both"/>
        <w:rPr>
          <w:rFonts w:ascii="Palatino Linotype" w:eastAsia="Palatino Linotype" w:hAnsi="Palatino Linotype" w:cs="Palatino Linotype"/>
        </w:rPr>
      </w:pPr>
    </w:p>
    <w:p w14:paraId="3F833795" w14:textId="09302613" w:rsidR="00325CEC" w:rsidRDefault="00D1467C">
      <w:pPr>
        <w:spacing w:after="0" w:line="360" w:lineRule="auto"/>
        <w:ind w:right="49"/>
        <w:jc w:val="both"/>
        <w:rPr>
          <w:rFonts w:ascii="Palatino Linotype" w:eastAsia="Palatino Linotype" w:hAnsi="Palatino Linotype" w:cs="Palatino Linotype"/>
        </w:rPr>
      </w:pPr>
      <w:r w:rsidRPr="002B1000">
        <w:rPr>
          <w:rFonts w:ascii="Palatino Linotype" w:eastAsia="Palatino Linotype" w:hAnsi="Palatino Linotype" w:cs="Palatino Linotype"/>
        </w:rPr>
        <w:t xml:space="preserve">Derivado de lo anterior, se emite </w:t>
      </w:r>
      <w:r w:rsidRPr="002B1000">
        <w:rPr>
          <w:rFonts w:ascii="Palatino Linotype" w:eastAsia="Palatino Linotype" w:hAnsi="Palatino Linotype" w:cs="Palatino Linotype"/>
          <w:b/>
        </w:rPr>
        <w:t>VOTO DISIDENTE</w:t>
      </w:r>
      <w:r w:rsidRPr="002B1000">
        <w:rPr>
          <w:rFonts w:ascii="Palatino Linotype" w:eastAsia="Palatino Linotype" w:hAnsi="Palatino Linotype" w:cs="Palatino Linotype"/>
        </w:rPr>
        <w:t>,</w:t>
      </w:r>
      <w:r w:rsidRPr="002B1000">
        <w:rPr>
          <w:rFonts w:ascii="Palatino Linotype" w:eastAsia="Palatino Linotype" w:hAnsi="Palatino Linotype" w:cs="Palatino Linotype"/>
          <w:b/>
        </w:rPr>
        <w:t xml:space="preserve"> </w:t>
      </w:r>
      <w:r w:rsidRPr="002B1000">
        <w:rPr>
          <w:rFonts w:ascii="Palatino Linotype" w:eastAsia="Palatino Linotype" w:hAnsi="Palatino Linotype" w:cs="Palatino Linotype"/>
        </w:rPr>
        <w:t xml:space="preserve">pues considero que se debió privilegiar la </w:t>
      </w:r>
      <w:r w:rsidRPr="002B1000">
        <w:rPr>
          <w:rFonts w:ascii="Palatino Linotype" w:eastAsia="Palatino Linotype" w:hAnsi="Palatino Linotype" w:cs="Palatino Linotype"/>
          <w:b/>
        </w:rPr>
        <w:t>entrega de la información peticionada, independientemente de las expresiones subjetivas contenidas en la</w:t>
      </w:r>
      <w:r w:rsidR="009E1132" w:rsidRPr="002B1000">
        <w:rPr>
          <w:rFonts w:ascii="Palatino Linotype" w:eastAsia="Palatino Linotype" w:hAnsi="Palatino Linotype" w:cs="Palatino Linotype"/>
          <w:b/>
        </w:rPr>
        <w:t>s</w:t>
      </w:r>
      <w:r w:rsidRPr="002B1000">
        <w:rPr>
          <w:rFonts w:ascii="Palatino Linotype" w:eastAsia="Palatino Linotype" w:hAnsi="Palatino Linotype" w:cs="Palatino Linotype"/>
          <w:b/>
        </w:rPr>
        <w:t xml:space="preserve"> solicitud</w:t>
      </w:r>
      <w:r w:rsidR="009E1132" w:rsidRPr="002B1000">
        <w:rPr>
          <w:rFonts w:ascii="Palatino Linotype" w:eastAsia="Palatino Linotype" w:hAnsi="Palatino Linotype" w:cs="Palatino Linotype"/>
          <w:b/>
        </w:rPr>
        <w:t>es</w:t>
      </w:r>
      <w:r w:rsidR="0047259F" w:rsidRPr="002B1000">
        <w:rPr>
          <w:rFonts w:ascii="Palatino Linotype" w:eastAsia="Palatino Linotype" w:hAnsi="Palatino Linotype" w:cs="Palatino Linotype"/>
          <w:b/>
        </w:rPr>
        <w:t>.</w:t>
      </w:r>
    </w:p>
    <w:p w14:paraId="27F82047" w14:textId="77777777" w:rsidR="00325CEC" w:rsidRDefault="00325CEC">
      <w:pPr>
        <w:spacing w:after="0" w:line="360" w:lineRule="auto"/>
        <w:rPr>
          <w:rFonts w:ascii="Palatino Linotype" w:eastAsia="Palatino Linotype" w:hAnsi="Palatino Linotype" w:cs="Palatino Linotype"/>
        </w:rPr>
      </w:pPr>
    </w:p>
    <w:p w14:paraId="74FB12C4" w14:textId="77777777" w:rsidR="00325CEC" w:rsidRDefault="00325CEC">
      <w:pPr>
        <w:spacing w:after="0" w:line="360" w:lineRule="auto"/>
        <w:rPr>
          <w:rFonts w:ascii="Palatino Linotype" w:eastAsia="Palatino Linotype" w:hAnsi="Palatino Linotype" w:cs="Palatino Linotype"/>
        </w:rPr>
      </w:pPr>
    </w:p>
    <w:p w14:paraId="5F0BD446" w14:textId="77777777" w:rsidR="00325CEC" w:rsidRDefault="00325CEC">
      <w:pPr>
        <w:spacing w:after="0" w:line="360" w:lineRule="auto"/>
        <w:rPr>
          <w:rFonts w:ascii="Palatino Linotype" w:eastAsia="Palatino Linotype" w:hAnsi="Palatino Linotype" w:cs="Palatino Linotype"/>
        </w:rPr>
      </w:pPr>
    </w:p>
    <w:p w14:paraId="63DB70FF" w14:textId="77777777" w:rsidR="00325CEC" w:rsidRDefault="00325CEC">
      <w:pPr>
        <w:spacing w:after="0" w:line="360" w:lineRule="auto"/>
        <w:rPr>
          <w:rFonts w:ascii="Palatino Linotype" w:eastAsia="Palatino Linotype" w:hAnsi="Palatino Linotype" w:cs="Palatino Linotype"/>
        </w:rPr>
      </w:pPr>
    </w:p>
    <w:p w14:paraId="748AD23B" w14:textId="77777777" w:rsidR="00325CEC" w:rsidRDefault="00325CEC">
      <w:pPr>
        <w:spacing w:after="0" w:line="360" w:lineRule="auto"/>
        <w:rPr>
          <w:rFonts w:ascii="Palatino Linotype" w:eastAsia="Palatino Linotype" w:hAnsi="Palatino Linotype" w:cs="Palatino Linotype"/>
        </w:rPr>
      </w:pPr>
    </w:p>
    <w:p w14:paraId="0CB01B58" w14:textId="77777777" w:rsidR="00325CEC" w:rsidRDefault="00325CEC">
      <w:pPr>
        <w:spacing w:after="0" w:line="360" w:lineRule="auto"/>
        <w:rPr>
          <w:rFonts w:ascii="Palatino Linotype" w:eastAsia="Palatino Linotype" w:hAnsi="Palatino Linotype" w:cs="Palatino Linotype"/>
        </w:rPr>
      </w:pPr>
    </w:p>
    <w:p w14:paraId="5B15C6D3" w14:textId="77777777" w:rsidR="00325CEC" w:rsidRDefault="00325CEC">
      <w:pPr>
        <w:spacing w:after="0" w:line="360" w:lineRule="auto"/>
        <w:rPr>
          <w:rFonts w:ascii="Palatino Linotype" w:eastAsia="Palatino Linotype" w:hAnsi="Palatino Linotype" w:cs="Palatino Linotype"/>
        </w:rPr>
      </w:pPr>
    </w:p>
    <w:p w14:paraId="6D796DE8" w14:textId="77777777" w:rsidR="00325CEC" w:rsidRDefault="00325CEC">
      <w:pPr>
        <w:spacing w:after="0" w:line="360" w:lineRule="auto"/>
        <w:rPr>
          <w:rFonts w:ascii="Palatino Linotype" w:eastAsia="Palatino Linotype" w:hAnsi="Palatino Linotype" w:cs="Palatino Linotype"/>
        </w:rPr>
      </w:pPr>
    </w:p>
    <w:p w14:paraId="667A54A4" w14:textId="77777777" w:rsidR="00325CEC" w:rsidRDefault="00325CEC">
      <w:pPr>
        <w:spacing w:after="0" w:line="360" w:lineRule="auto"/>
        <w:rPr>
          <w:rFonts w:ascii="Palatino Linotype" w:eastAsia="Palatino Linotype" w:hAnsi="Palatino Linotype" w:cs="Palatino Linotype"/>
        </w:rPr>
      </w:pPr>
    </w:p>
    <w:p w14:paraId="7E0DFF0D" w14:textId="77777777" w:rsidR="00325CEC" w:rsidRDefault="00325CEC">
      <w:pPr>
        <w:spacing w:after="0" w:line="360" w:lineRule="auto"/>
        <w:rPr>
          <w:rFonts w:ascii="Palatino Linotype" w:eastAsia="Palatino Linotype" w:hAnsi="Palatino Linotype" w:cs="Palatino Linotype"/>
        </w:rPr>
      </w:pPr>
    </w:p>
    <w:p w14:paraId="79FE9001" w14:textId="77777777" w:rsidR="00325CEC" w:rsidRDefault="00325CEC">
      <w:pPr>
        <w:spacing w:after="0" w:line="360" w:lineRule="auto"/>
        <w:rPr>
          <w:rFonts w:ascii="Palatino Linotype" w:eastAsia="Palatino Linotype" w:hAnsi="Palatino Linotype" w:cs="Palatino Linotype"/>
        </w:rPr>
      </w:pPr>
    </w:p>
    <w:p w14:paraId="35E760FD" w14:textId="77777777" w:rsidR="00325CEC" w:rsidRDefault="00325CEC">
      <w:pPr>
        <w:spacing w:after="0" w:line="360" w:lineRule="auto"/>
        <w:rPr>
          <w:rFonts w:ascii="Palatino Linotype" w:eastAsia="Palatino Linotype" w:hAnsi="Palatino Linotype" w:cs="Palatino Linotype"/>
        </w:rPr>
      </w:pPr>
    </w:p>
    <w:p w14:paraId="08808FAC" w14:textId="77777777" w:rsidR="00325CEC" w:rsidRDefault="00325CEC">
      <w:pPr>
        <w:spacing w:after="0" w:line="360" w:lineRule="auto"/>
        <w:rPr>
          <w:rFonts w:ascii="Palatino Linotype" w:eastAsia="Palatino Linotype" w:hAnsi="Palatino Linotype" w:cs="Palatino Linotype"/>
        </w:rPr>
      </w:pPr>
    </w:p>
    <w:p w14:paraId="47147115" w14:textId="77777777" w:rsidR="00325CEC" w:rsidRDefault="00325CEC">
      <w:pPr>
        <w:spacing w:after="0" w:line="360" w:lineRule="auto"/>
        <w:rPr>
          <w:rFonts w:ascii="Palatino Linotype" w:eastAsia="Palatino Linotype" w:hAnsi="Palatino Linotype" w:cs="Palatino Linotype"/>
        </w:rPr>
      </w:pPr>
    </w:p>
    <w:p w14:paraId="764303EC" w14:textId="77777777" w:rsidR="00325CEC" w:rsidRDefault="00325CEC">
      <w:pPr>
        <w:spacing w:after="0" w:line="360" w:lineRule="auto"/>
        <w:rPr>
          <w:rFonts w:ascii="Palatino Linotype" w:eastAsia="Palatino Linotype" w:hAnsi="Palatino Linotype" w:cs="Palatino Linotype"/>
        </w:rPr>
      </w:pPr>
    </w:p>
    <w:p w14:paraId="03FA7803" w14:textId="77777777" w:rsidR="00325CEC" w:rsidRDefault="00325CEC">
      <w:pPr>
        <w:spacing w:after="0" w:line="360" w:lineRule="auto"/>
        <w:rPr>
          <w:rFonts w:ascii="Palatino Linotype" w:eastAsia="Palatino Linotype" w:hAnsi="Palatino Linotype" w:cs="Palatino Linotype"/>
        </w:rPr>
      </w:pPr>
    </w:p>
    <w:p w14:paraId="3ADAC78F" w14:textId="77777777" w:rsidR="00325CEC" w:rsidRDefault="00325CEC">
      <w:pPr>
        <w:spacing w:after="0" w:line="360" w:lineRule="auto"/>
        <w:rPr>
          <w:rFonts w:ascii="Palatino Linotype" w:eastAsia="Palatino Linotype" w:hAnsi="Palatino Linotype" w:cs="Palatino Linotype"/>
        </w:rPr>
      </w:pPr>
    </w:p>
    <w:p w14:paraId="762682D3" w14:textId="77777777" w:rsidR="00325CEC" w:rsidRDefault="00325CEC">
      <w:pPr>
        <w:spacing w:after="0" w:line="360" w:lineRule="auto"/>
        <w:rPr>
          <w:rFonts w:ascii="Palatino Linotype" w:eastAsia="Palatino Linotype" w:hAnsi="Palatino Linotype" w:cs="Palatino Linotype"/>
        </w:rPr>
      </w:pPr>
    </w:p>
    <w:p w14:paraId="3E75DC9A" w14:textId="77777777" w:rsidR="00325CEC" w:rsidRDefault="00325CEC">
      <w:pPr>
        <w:spacing w:after="0" w:line="360" w:lineRule="auto"/>
        <w:rPr>
          <w:rFonts w:ascii="Palatino Linotype" w:eastAsia="Palatino Linotype" w:hAnsi="Palatino Linotype" w:cs="Palatino Linotype"/>
        </w:rPr>
      </w:pPr>
    </w:p>
    <w:p w14:paraId="4A9CD4D7" w14:textId="77777777" w:rsidR="00325CEC" w:rsidRDefault="00325CEC">
      <w:pPr>
        <w:spacing w:after="0" w:line="360" w:lineRule="auto"/>
        <w:rPr>
          <w:rFonts w:ascii="Palatino Linotype" w:eastAsia="Palatino Linotype" w:hAnsi="Palatino Linotype" w:cs="Palatino Linotype"/>
        </w:rPr>
      </w:pPr>
    </w:p>
    <w:p w14:paraId="7D9E0E39" w14:textId="77777777" w:rsidR="00325CEC" w:rsidRDefault="00325CEC">
      <w:pPr>
        <w:spacing w:after="0" w:line="360" w:lineRule="auto"/>
        <w:rPr>
          <w:rFonts w:ascii="Palatino Linotype" w:eastAsia="Palatino Linotype" w:hAnsi="Palatino Linotype" w:cs="Palatino Linotype"/>
        </w:rPr>
      </w:pPr>
    </w:p>
    <w:p w14:paraId="3394A3E8" w14:textId="77777777" w:rsidR="00325CEC" w:rsidRDefault="00325CEC">
      <w:pPr>
        <w:spacing w:after="0" w:line="360" w:lineRule="auto"/>
        <w:rPr>
          <w:rFonts w:ascii="Palatino Linotype" w:eastAsia="Palatino Linotype" w:hAnsi="Palatino Linotype" w:cs="Palatino Linotype"/>
        </w:rPr>
      </w:pPr>
    </w:p>
    <w:p w14:paraId="6860D737" w14:textId="77777777" w:rsidR="00325CEC" w:rsidRDefault="00325CEC">
      <w:pPr>
        <w:spacing w:after="0" w:line="360" w:lineRule="auto"/>
        <w:rPr>
          <w:rFonts w:ascii="Palatino Linotype" w:eastAsia="Palatino Linotype" w:hAnsi="Palatino Linotype" w:cs="Palatino Linotype"/>
        </w:rPr>
      </w:pPr>
    </w:p>
    <w:p w14:paraId="662D544F" w14:textId="77777777" w:rsidR="00325CEC" w:rsidRDefault="00325CEC">
      <w:pPr>
        <w:spacing w:after="0" w:line="360" w:lineRule="auto"/>
        <w:rPr>
          <w:rFonts w:ascii="Palatino Linotype" w:eastAsia="Palatino Linotype" w:hAnsi="Palatino Linotype" w:cs="Palatino Linotype"/>
        </w:rPr>
      </w:pPr>
    </w:p>
    <w:p w14:paraId="74085A26" w14:textId="77777777" w:rsidR="00325CEC" w:rsidRDefault="00325CEC">
      <w:pPr>
        <w:spacing w:after="0" w:line="360" w:lineRule="auto"/>
        <w:rPr>
          <w:rFonts w:ascii="Palatino Linotype" w:eastAsia="Palatino Linotype" w:hAnsi="Palatino Linotype" w:cs="Palatino Linotype"/>
        </w:rPr>
      </w:pPr>
    </w:p>
    <w:p w14:paraId="7F7762E1" w14:textId="77777777" w:rsidR="00325CEC" w:rsidRDefault="00325CEC">
      <w:pPr>
        <w:spacing w:after="0" w:line="360" w:lineRule="auto"/>
        <w:rPr>
          <w:rFonts w:ascii="Palatino Linotype" w:eastAsia="Palatino Linotype" w:hAnsi="Palatino Linotype" w:cs="Palatino Linotype"/>
        </w:rPr>
      </w:pPr>
    </w:p>
    <w:sectPr w:rsidR="00325CEC">
      <w:headerReference w:type="default" r:id="rId7"/>
      <w:pgSz w:w="12240" w:h="15840"/>
      <w:pgMar w:top="2438" w:right="1701" w:bottom="2778" w:left="1701"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A69F5" w14:textId="77777777" w:rsidR="00963995" w:rsidRDefault="00963995">
      <w:pPr>
        <w:spacing w:after="0" w:line="240" w:lineRule="auto"/>
      </w:pPr>
      <w:r>
        <w:separator/>
      </w:r>
    </w:p>
  </w:endnote>
  <w:endnote w:type="continuationSeparator" w:id="0">
    <w:p w14:paraId="4F895399" w14:textId="77777777" w:rsidR="00963995" w:rsidRDefault="00963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52CF5" w14:textId="77777777" w:rsidR="00963995" w:rsidRDefault="00963995">
      <w:pPr>
        <w:spacing w:after="0" w:line="240" w:lineRule="auto"/>
      </w:pPr>
      <w:r>
        <w:separator/>
      </w:r>
    </w:p>
  </w:footnote>
  <w:footnote w:type="continuationSeparator" w:id="0">
    <w:p w14:paraId="08CA01BE" w14:textId="77777777" w:rsidR="00963995" w:rsidRDefault="00963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D3304" w14:textId="77777777" w:rsidR="00325CEC" w:rsidRDefault="00D1467C">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18"/>
        <w:szCs w:val="18"/>
      </w:rPr>
    </w:pPr>
    <w:r>
      <w:rPr>
        <w:rFonts w:ascii="Palatino Linotype" w:eastAsia="Palatino Linotype" w:hAnsi="Palatino Linotype" w:cs="Palatino Linotype"/>
        <w:b/>
        <w:color w:val="000000"/>
        <w:sz w:val="18"/>
        <w:szCs w:val="18"/>
      </w:rPr>
      <w:t>VOTO DISIDENTE</w:t>
    </w:r>
    <w:r>
      <w:rPr>
        <w:noProof/>
      </w:rPr>
      <w:drawing>
        <wp:anchor distT="0" distB="0" distL="0" distR="0" simplePos="0" relativeHeight="251658240" behindDoc="1" locked="0" layoutInCell="1" hidden="0" allowOverlap="1" wp14:anchorId="6859E2D3" wp14:editId="5B5F9E54">
          <wp:simplePos x="0" y="0"/>
          <wp:positionH relativeFrom="column">
            <wp:posOffset>-857245</wp:posOffset>
          </wp:positionH>
          <wp:positionV relativeFrom="paragraph">
            <wp:posOffset>-690240</wp:posOffset>
          </wp:positionV>
          <wp:extent cx="7510628" cy="98837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p w14:paraId="631AFEA3" w14:textId="12D81024" w:rsidR="00325CEC" w:rsidRDefault="00CD2119">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Pr>
        <w:rFonts w:ascii="Palatino Linotype" w:eastAsia="Palatino Linotype" w:hAnsi="Palatino Linotype" w:cs="Palatino Linotype"/>
        <w:b/>
        <w:color w:val="000000"/>
        <w:sz w:val="18"/>
        <w:szCs w:val="18"/>
      </w:rPr>
      <w:t>RECURSO DE REVISIÓN 09840</w:t>
    </w:r>
    <w:r w:rsidR="00D1467C">
      <w:rPr>
        <w:rFonts w:ascii="Palatino Linotype" w:eastAsia="Palatino Linotype" w:hAnsi="Palatino Linotype" w:cs="Palatino Linotype"/>
        <w:b/>
        <w:color w:val="000000"/>
        <w:sz w:val="18"/>
        <w:szCs w:val="18"/>
      </w:rPr>
      <w:t>/INFOEM/IP/RR/2025</w:t>
    </w:r>
    <w:r w:rsidR="00D1467C">
      <w:rPr>
        <w:noProof/>
      </w:rPr>
      <w:drawing>
        <wp:anchor distT="0" distB="0" distL="0" distR="0" simplePos="0" relativeHeight="251659264" behindDoc="1" locked="0" layoutInCell="1" hidden="0" allowOverlap="1" wp14:anchorId="7E49E902" wp14:editId="747CF287">
          <wp:simplePos x="0" y="0"/>
          <wp:positionH relativeFrom="column">
            <wp:posOffset>-856613</wp:posOffset>
          </wp:positionH>
          <wp:positionV relativeFrom="paragraph">
            <wp:posOffset>-638173</wp:posOffset>
          </wp:positionV>
          <wp:extent cx="7510628" cy="988377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548B3"/>
    <w:multiLevelType w:val="multilevel"/>
    <w:tmpl w:val="70F010B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806E28"/>
    <w:multiLevelType w:val="hybridMultilevel"/>
    <w:tmpl w:val="C368F2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B3619AD"/>
    <w:multiLevelType w:val="hybridMultilevel"/>
    <w:tmpl w:val="06CC3A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53398286">
    <w:abstractNumId w:val="0"/>
  </w:num>
  <w:num w:numId="2" w16cid:durableId="522209170">
    <w:abstractNumId w:val="1"/>
  </w:num>
  <w:num w:numId="3" w16cid:durableId="1112171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CEC"/>
    <w:rsid w:val="000468FA"/>
    <w:rsid w:val="00110460"/>
    <w:rsid w:val="002B1000"/>
    <w:rsid w:val="00325CEC"/>
    <w:rsid w:val="0047259F"/>
    <w:rsid w:val="004C4E56"/>
    <w:rsid w:val="00553A47"/>
    <w:rsid w:val="00567F2F"/>
    <w:rsid w:val="00963995"/>
    <w:rsid w:val="009E1132"/>
    <w:rsid w:val="00AD6B6B"/>
    <w:rsid w:val="00B83F5F"/>
    <w:rsid w:val="00C6221F"/>
    <w:rsid w:val="00CD2119"/>
    <w:rsid w:val="00D13CEA"/>
    <w:rsid w:val="00D1467C"/>
    <w:rsid w:val="00F643A0"/>
    <w:rsid w:val="00FF67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365D0"/>
  <w15:docId w15:val="{B1CA888D-0E44-4801-A2CE-4C6289055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B83F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3F5F"/>
  </w:style>
  <w:style w:type="paragraph" w:styleId="Piedepgina">
    <w:name w:val="footer"/>
    <w:basedOn w:val="Normal"/>
    <w:link w:val="PiedepginaCar"/>
    <w:uiPriority w:val="99"/>
    <w:unhideWhenUsed/>
    <w:rsid w:val="00B83F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3F5F"/>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643A0"/>
    <w:pPr>
      <w:spacing w:after="0" w:line="240" w:lineRule="auto"/>
      <w:ind w:left="720"/>
      <w:contextualSpacing/>
    </w:pPr>
    <w:rPr>
      <w:rFonts w:ascii="Cambria" w:eastAsia="Cambria" w:hAnsi="Cambria" w:cs="Cambria"/>
      <w:sz w:val="24"/>
      <w:szCs w:val="24"/>
    </w:rPr>
  </w:style>
  <w:style w:type="character" w:styleId="Hipervnculo">
    <w:name w:val="Hyperlink"/>
    <w:basedOn w:val="Fuentedeprrafopredeter"/>
    <w:uiPriority w:val="99"/>
    <w:unhideWhenUsed/>
    <w:rsid w:val="00F643A0"/>
    <w:rPr>
      <w:color w:val="0000FF" w:themeColor="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F643A0"/>
    <w:rPr>
      <w:rFonts w:ascii="Cambria" w:eastAsia="Cambria" w:hAnsi="Cambria" w:cs="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951</Words>
  <Characters>5235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cp:lastModifiedBy>Infoem642</cp:lastModifiedBy>
  <cp:revision>3</cp:revision>
  <dcterms:created xsi:type="dcterms:W3CDTF">2025-10-19T22:03:00Z</dcterms:created>
  <dcterms:modified xsi:type="dcterms:W3CDTF">2025-10-20T15:54:00Z</dcterms:modified>
</cp:coreProperties>
</file>