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0BE" w:rsidRPr="00130E5B" w:rsidRDefault="00F8702B">
      <w:pPr>
        <w:spacing w:before="240" w:after="240" w:line="360" w:lineRule="auto"/>
        <w:ind w:right="139"/>
        <w:jc w:val="both"/>
        <w:rPr>
          <w:rFonts w:ascii="Palatino Linotype" w:eastAsia="Palatino Linotype" w:hAnsi="Palatino Linotype" w:cs="Palatino Linotype"/>
          <w:b/>
        </w:rPr>
      </w:pPr>
      <w:bookmarkStart w:id="0" w:name="_heading=h.gjdgxs" w:colFirst="0" w:colLast="0"/>
      <w:bookmarkStart w:id="1" w:name="_GoBack"/>
      <w:bookmarkEnd w:id="0"/>
      <w:bookmarkEnd w:id="1"/>
      <w:r w:rsidRPr="00130E5B">
        <w:rPr>
          <w:rFonts w:ascii="Palatino Linotype" w:eastAsia="Palatino Linotype" w:hAnsi="Palatino Linotype" w:cs="Palatino Linotype"/>
          <w:b/>
        </w:rPr>
        <w:t xml:space="preserve">VOTO DISIDENTE QUE FORMULA LA COMISIONADA GUADALUPE RAMÍREZ PEÑA, EN RELACIÓN CON LA RESOLUCIÓN DICTADA POR EL PLENO DEL INSTITUTO DE TRANSPARENCIA, ACCESO A LA INFORMACIÓN PÚBLICA Y PROTECCIÓN DE DATOS PERSONALES DEL ESTADO DE MÉXICO Y MUNICIPIOS, EN LA VIGÉSIMA </w:t>
      </w:r>
      <w:r w:rsidR="00896E0F">
        <w:rPr>
          <w:rFonts w:ascii="Palatino Linotype" w:eastAsia="Palatino Linotype" w:hAnsi="Palatino Linotype" w:cs="Palatino Linotype"/>
          <w:b/>
        </w:rPr>
        <w:t xml:space="preserve">PRIMERA </w:t>
      </w:r>
      <w:r w:rsidRPr="00130E5B">
        <w:rPr>
          <w:rFonts w:ascii="Palatino Linotype" w:eastAsia="Palatino Linotype" w:hAnsi="Palatino Linotype" w:cs="Palatino Linotype"/>
          <w:b/>
        </w:rPr>
        <w:t xml:space="preserve">SESIÓN ORDINARIA CELEBRADA EL </w:t>
      </w:r>
      <w:r w:rsidR="00896E0F">
        <w:rPr>
          <w:rFonts w:ascii="Palatino Linotype" w:eastAsia="Palatino Linotype" w:hAnsi="Palatino Linotype" w:cs="Palatino Linotype"/>
          <w:b/>
        </w:rPr>
        <w:t>ONCE</w:t>
      </w:r>
      <w:r w:rsidRPr="00130E5B">
        <w:rPr>
          <w:rFonts w:ascii="Palatino Linotype" w:eastAsia="Palatino Linotype" w:hAnsi="Palatino Linotype" w:cs="Palatino Linotype"/>
          <w:b/>
        </w:rPr>
        <w:t xml:space="preserve"> DE JUNIO DE DOS MIL VEINTICINCO, EN EL RECURSO DE REVISIÓN 0</w:t>
      </w:r>
      <w:r w:rsidR="00FE7BA7">
        <w:rPr>
          <w:rFonts w:ascii="Palatino Linotype" w:eastAsia="Palatino Linotype" w:hAnsi="Palatino Linotype" w:cs="Palatino Linotype"/>
          <w:b/>
        </w:rPr>
        <w:t>1844</w:t>
      </w:r>
      <w:r w:rsidRPr="00130E5B">
        <w:rPr>
          <w:rFonts w:ascii="Palatino Linotype" w:eastAsia="Palatino Linotype" w:hAnsi="Palatino Linotype" w:cs="Palatino Linotype"/>
          <w:b/>
        </w:rPr>
        <w:t xml:space="preserve">/INFOEM/IP/RR/2025.  </w:t>
      </w:r>
    </w:p>
    <w:p w:rsidR="00D470BE" w:rsidRPr="00130E5B" w:rsidRDefault="00F8702B">
      <w:pPr>
        <w:spacing w:before="240" w:after="240" w:line="360" w:lineRule="auto"/>
        <w:ind w:right="139"/>
        <w:jc w:val="both"/>
        <w:rPr>
          <w:rFonts w:ascii="Palatino Linotype" w:eastAsia="Palatino Linotype" w:hAnsi="Palatino Linotype" w:cs="Palatino Linotype"/>
          <w:b/>
        </w:rPr>
      </w:pPr>
      <w:bookmarkStart w:id="2" w:name="_heading=h.du7io9s62pbi" w:colFirst="0" w:colLast="0"/>
      <w:bookmarkEnd w:id="2"/>
      <w:r w:rsidRPr="00130E5B">
        <w:rPr>
          <w:rFonts w:ascii="Palatino Linotype" w:eastAsia="Palatino Linotype" w:hAnsi="Palatino Linotype" w:cs="Palatino Linotype"/>
        </w:rPr>
        <w:t>Con fundamento en lo dispuesto por el artículo 14, fracciones X y XI, del Reglamento del Instituto de Transparencia, Acceso a la Información Pública y Protección de Datos Personales del Estado de México y Municipios, la que suscribe</w:t>
      </w:r>
      <w:r w:rsidRPr="00130E5B">
        <w:rPr>
          <w:rFonts w:ascii="Palatino Linotype" w:eastAsia="Palatino Linotype" w:hAnsi="Palatino Linotype" w:cs="Palatino Linotype"/>
          <w:b/>
        </w:rPr>
        <w:t xml:space="preserve">, </w:t>
      </w:r>
      <w:r w:rsidRPr="00130E5B">
        <w:rPr>
          <w:rFonts w:ascii="Palatino Linotype" w:eastAsia="Palatino Linotype" w:hAnsi="Palatino Linotype" w:cs="Palatino Linotype"/>
        </w:rPr>
        <w:t xml:space="preserve">emite </w:t>
      </w:r>
      <w:r w:rsidRPr="00130E5B">
        <w:rPr>
          <w:rFonts w:ascii="Palatino Linotype" w:eastAsia="Palatino Linotype" w:hAnsi="Palatino Linotype" w:cs="Palatino Linotype"/>
          <w:b/>
        </w:rPr>
        <w:t xml:space="preserve">Voto Disidente </w:t>
      </w:r>
      <w:r w:rsidRPr="00130E5B">
        <w:rPr>
          <w:rFonts w:ascii="Palatino Linotype" w:eastAsia="Palatino Linotype" w:hAnsi="Palatino Linotype" w:cs="Palatino Linotype"/>
        </w:rPr>
        <w:t xml:space="preserve">respecto a la resolución dictada en el recurso de revisión </w:t>
      </w:r>
      <w:r w:rsidRPr="00130E5B">
        <w:rPr>
          <w:rFonts w:ascii="Palatino Linotype" w:eastAsia="Palatino Linotype" w:hAnsi="Palatino Linotype" w:cs="Palatino Linotype"/>
          <w:b/>
        </w:rPr>
        <w:t>0</w:t>
      </w:r>
      <w:r w:rsidR="00FE7BA7">
        <w:rPr>
          <w:rFonts w:ascii="Palatino Linotype" w:eastAsia="Palatino Linotype" w:hAnsi="Palatino Linotype" w:cs="Palatino Linotype"/>
          <w:b/>
        </w:rPr>
        <w:t>1844</w:t>
      </w:r>
      <w:r w:rsidRPr="00130E5B">
        <w:rPr>
          <w:rFonts w:ascii="Palatino Linotype" w:eastAsia="Palatino Linotype" w:hAnsi="Palatino Linotype" w:cs="Palatino Linotype"/>
          <w:b/>
        </w:rPr>
        <w:t>/INFOEM/IP/RR/2025</w:t>
      </w:r>
      <w:r w:rsidR="00FE7BA7">
        <w:rPr>
          <w:rFonts w:ascii="Palatino Linotype" w:eastAsia="Palatino Linotype" w:hAnsi="Palatino Linotype" w:cs="Palatino Linotype"/>
          <w:b/>
        </w:rPr>
        <w:t xml:space="preserve"> al tenor de lo siguiente:</w:t>
      </w:r>
      <w:r w:rsidRPr="00130E5B">
        <w:rPr>
          <w:rFonts w:ascii="Palatino Linotype" w:eastAsia="Palatino Linotype" w:hAnsi="Palatino Linotype" w:cs="Palatino Linotype"/>
        </w:rPr>
        <w:t xml:space="preserve"> </w:t>
      </w:r>
    </w:p>
    <w:p w:rsidR="00D470BE" w:rsidRPr="00130E5B" w:rsidRDefault="00F8702B">
      <w:pPr>
        <w:numPr>
          <w:ilvl w:val="0"/>
          <w:numId w:val="1"/>
        </w:numPr>
        <w:spacing w:after="0" w:line="360" w:lineRule="auto"/>
        <w:ind w:left="567" w:right="139" w:hanging="283"/>
        <w:jc w:val="both"/>
        <w:rPr>
          <w:rFonts w:ascii="Palatino Linotype" w:eastAsia="Palatino Linotype" w:hAnsi="Palatino Linotype" w:cs="Palatino Linotype"/>
        </w:rPr>
      </w:pPr>
      <w:r w:rsidRPr="00130E5B">
        <w:rPr>
          <w:rFonts w:ascii="Palatino Linotype" w:eastAsia="Palatino Linotype" w:hAnsi="Palatino Linotype" w:cs="Palatino Linotype"/>
          <w:b/>
        </w:rPr>
        <w:t>Antecedentes.</w:t>
      </w:r>
    </w:p>
    <w:p w:rsidR="00D470BE" w:rsidRPr="00130E5B" w:rsidRDefault="00F8702B">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A través de la solicitud de acceso a la información que nos ocupa, la persona solicitante requirió al </w:t>
      </w:r>
      <w:r w:rsidRPr="00130E5B">
        <w:rPr>
          <w:rFonts w:ascii="Palatino Linotype" w:eastAsia="Palatino Linotype" w:hAnsi="Palatino Linotype" w:cs="Palatino Linotype"/>
          <w:b/>
        </w:rPr>
        <w:t xml:space="preserve">Sujeto Obligado </w:t>
      </w:r>
      <w:r w:rsidR="00FE7BA7">
        <w:rPr>
          <w:rFonts w:ascii="Palatino Linotype" w:eastAsia="Palatino Linotype" w:hAnsi="Palatino Linotype" w:cs="Palatino Linotype"/>
          <w:b/>
        </w:rPr>
        <w:t>las actas de defunción del día diecisiete de noviembre del año 2000.</w:t>
      </w:r>
      <w:r w:rsidRPr="00130E5B">
        <w:rPr>
          <w:rFonts w:ascii="Palatino Linotype" w:eastAsia="Palatino Linotype" w:hAnsi="Palatino Linotype" w:cs="Palatino Linotype"/>
        </w:rPr>
        <w:t xml:space="preserve"> </w:t>
      </w:r>
    </w:p>
    <w:p w:rsidR="00FE7BA7" w:rsidRDefault="00F8702B">
      <w:pPr>
        <w:pBdr>
          <w:top w:val="nil"/>
          <w:left w:val="nil"/>
          <w:bottom w:val="nil"/>
          <w:right w:val="nil"/>
          <w:between w:val="nil"/>
        </w:pBdr>
        <w:spacing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En respuesta, el </w:t>
      </w:r>
      <w:r w:rsidR="00FE7BA7">
        <w:rPr>
          <w:rFonts w:ascii="Palatino Linotype" w:eastAsia="Palatino Linotype" w:hAnsi="Palatino Linotype" w:cs="Palatino Linotype"/>
        </w:rPr>
        <w:t xml:space="preserve">Titular de la Unidad de Transparencia declaró incompetencia a favor de la </w:t>
      </w:r>
      <w:r w:rsidR="00FE7BA7">
        <w:rPr>
          <w:rFonts w:ascii="Palatino Linotype" w:eastAsia="Palatino Linotype" w:hAnsi="Palatino Linotype" w:cs="Palatino Linotype"/>
          <w:color w:val="000000"/>
        </w:rPr>
        <w:t>Dirección General del Registro Civil del Estado de México, por ser el Sujeto Obligado con atribuciones, funciones y competencias para generar, administrar y poseer la información requerida.</w:t>
      </w:r>
    </w:p>
    <w:p w:rsidR="00FE7BA7" w:rsidRDefault="00FE7BA7">
      <w:pPr>
        <w:pBdr>
          <w:top w:val="nil"/>
          <w:left w:val="nil"/>
          <w:bottom w:val="nil"/>
          <w:right w:val="nil"/>
          <w:between w:val="nil"/>
        </w:pBdr>
        <w:spacing w:line="360" w:lineRule="auto"/>
        <w:jc w:val="both"/>
        <w:rPr>
          <w:rFonts w:ascii="Palatino Linotype" w:eastAsia="Palatino Linotype" w:hAnsi="Palatino Linotype" w:cs="Palatino Linotype"/>
        </w:rPr>
      </w:pPr>
    </w:p>
    <w:p w:rsidR="00D470BE" w:rsidRPr="00FE7BA7" w:rsidRDefault="0030266E">
      <w:pPr>
        <w:spacing w:before="240" w:after="240" w:line="360" w:lineRule="auto"/>
        <w:jc w:val="both"/>
        <w:rPr>
          <w:rFonts w:ascii="Palatino Linotype" w:eastAsia="Palatino Linotype" w:hAnsi="Palatino Linotype" w:cs="Palatino Linotype"/>
          <w:i/>
        </w:rPr>
      </w:pPr>
      <w:r w:rsidRPr="00130E5B">
        <w:rPr>
          <w:rFonts w:ascii="Palatino Linotype" w:eastAsia="Palatino Linotype" w:hAnsi="Palatino Linotype" w:cs="Palatino Linotype"/>
        </w:rPr>
        <w:t xml:space="preserve">La parte </w:t>
      </w:r>
      <w:r w:rsidRPr="00130E5B">
        <w:rPr>
          <w:rFonts w:ascii="Palatino Linotype" w:eastAsia="Palatino Linotype" w:hAnsi="Palatino Linotype" w:cs="Palatino Linotype"/>
          <w:b/>
        </w:rPr>
        <w:t>Recurrente</w:t>
      </w:r>
      <w:r w:rsidR="00F8702B" w:rsidRPr="00130E5B">
        <w:rPr>
          <w:rFonts w:ascii="Palatino Linotype" w:eastAsia="Palatino Linotype" w:hAnsi="Palatino Linotype" w:cs="Palatino Linotype"/>
        </w:rPr>
        <w:t xml:space="preserve"> promovió el recurso de revisión correspondiente, mediante el cual manifestó </w:t>
      </w:r>
      <w:r w:rsidR="00FE7BA7">
        <w:rPr>
          <w:rFonts w:ascii="Palatino Linotype" w:eastAsia="Palatino Linotype" w:hAnsi="Palatino Linotype" w:cs="Palatino Linotype"/>
        </w:rPr>
        <w:t>como agravio la negativa de la información, “…</w:t>
      </w:r>
      <w:r w:rsidR="00FE7BA7">
        <w:rPr>
          <w:rFonts w:ascii="Palatino Linotype" w:eastAsia="Palatino Linotype" w:hAnsi="Palatino Linotype" w:cs="Palatino Linotype"/>
          <w:i/>
        </w:rPr>
        <w:t>a pesar de tener registro civil y oficialías de Toluca…</w:t>
      </w:r>
      <w:r w:rsidR="00F8702B" w:rsidRPr="00130E5B">
        <w:rPr>
          <w:rFonts w:ascii="Palatino Linotype" w:eastAsia="Palatino Linotype" w:hAnsi="Palatino Linotype" w:cs="Palatino Linotype"/>
        </w:rPr>
        <w:t>”</w:t>
      </w:r>
      <w:r w:rsidRPr="00130E5B">
        <w:rPr>
          <w:rFonts w:ascii="Palatino Linotype" w:eastAsia="Palatino Linotype" w:hAnsi="Palatino Linotype" w:cs="Palatino Linotype"/>
        </w:rPr>
        <w:t xml:space="preserve"> (sic)</w:t>
      </w:r>
    </w:p>
    <w:p w:rsidR="00FE7BA7" w:rsidRDefault="00F8702B">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Durante la etapa de manifestaciones el </w:t>
      </w:r>
      <w:r w:rsidRPr="00130E5B">
        <w:rPr>
          <w:rFonts w:ascii="Palatino Linotype" w:eastAsia="Palatino Linotype" w:hAnsi="Palatino Linotype" w:cs="Palatino Linotype"/>
          <w:b/>
        </w:rPr>
        <w:t xml:space="preserve">Sujeto Obligado </w:t>
      </w:r>
      <w:r w:rsidRPr="00130E5B">
        <w:rPr>
          <w:rFonts w:ascii="Palatino Linotype" w:eastAsia="Palatino Linotype" w:hAnsi="Palatino Linotype" w:cs="Palatino Linotype"/>
        </w:rPr>
        <w:t>r</w:t>
      </w:r>
      <w:r w:rsidR="00FE7BA7">
        <w:rPr>
          <w:rFonts w:ascii="Palatino Linotype" w:eastAsia="Palatino Linotype" w:hAnsi="Palatino Linotype" w:cs="Palatino Linotype"/>
        </w:rPr>
        <w:t xml:space="preserve">atificó su respuesta inicial, declarando incompetencia a la </w:t>
      </w:r>
      <w:r w:rsidR="00FE7BA7">
        <w:rPr>
          <w:rFonts w:ascii="Palatino Linotype" w:eastAsia="Palatino Linotype" w:hAnsi="Palatino Linotype" w:cs="Palatino Linotype"/>
          <w:color w:val="000000"/>
        </w:rPr>
        <w:t>Dirección General del Registro Civil del Estado de México.</w:t>
      </w:r>
    </w:p>
    <w:p w:rsidR="00FE7BA7" w:rsidRDefault="00F8702B" w:rsidP="00D61DF8">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Así las cosas, el Instituto consideró que las razones o motivos de inconformidad hechos valer por la parte </w:t>
      </w:r>
      <w:r w:rsidRPr="00130E5B">
        <w:rPr>
          <w:rFonts w:ascii="Palatino Linotype" w:eastAsia="Palatino Linotype" w:hAnsi="Palatino Linotype" w:cs="Palatino Linotype"/>
          <w:b/>
        </w:rPr>
        <w:t xml:space="preserve">Recurrente </w:t>
      </w:r>
      <w:r w:rsidRPr="00130E5B">
        <w:rPr>
          <w:rFonts w:ascii="Palatino Linotype" w:eastAsia="Palatino Linotype" w:hAnsi="Palatino Linotype" w:cs="Palatino Linotype"/>
        </w:rPr>
        <w:t>resultan infund</w:t>
      </w:r>
      <w:r w:rsidR="00FE7BA7">
        <w:rPr>
          <w:rFonts w:ascii="Palatino Linotype" w:eastAsia="Palatino Linotype" w:hAnsi="Palatino Linotype" w:cs="Palatino Linotype"/>
        </w:rPr>
        <w:t xml:space="preserve">ados, ya que de un análisis a la normatividad que rige al Ayuntamiento y a la Dirección General del Registro Civil, se determinó que la autoridad responsable de generar, administrar y poseer la información requerida, es la Dirección General, conforme a </w:t>
      </w:r>
      <w:r w:rsidR="00FE7BA7">
        <w:rPr>
          <w:rFonts w:ascii="Palatino Linotype" w:hAnsi="Palatino Linotype"/>
        </w:rPr>
        <w:t>los artículos 3 fracciones XIII y XIV, 15 y 16 del Reglamento Interno del Registro Civil del Estado de México.</w:t>
      </w:r>
    </w:p>
    <w:p w:rsidR="00D470BE" w:rsidRPr="00130E5B" w:rsidRDefault="00F8702B">
      <w:pPr>
        <w:numPr>
          <w:ilvl w:val="0"/>
          <w:numId w:val="1"/>
        </w:numPr>
        <w:pBdr>
          <w:top w:val="nil"/>
          <w:left w:val="nil"/>
          <w:bottom w:val="nil"/>
          <w:right w:val="nil"/>
          <w:between w:val="nil"/>
        </w:pBdr>
        <w:spacing w:before="240" w:after="240" w:line="360" w:lineRule="auto"/>
        <w:ind w:left="567" w:right="139" w:hanging="425"/>
        <w:jc w:val="both"/>
        <w:rPr>
          <w:rFonts w:ascii="Palatino Linotype" w:eastAsia="Palatino Linotype" w:hAnsi="Palatino Linotype" w:cs="Palatino Linotype"/>
        </w:rPr>
      </w:pPr>
      <w:r w:rsidRPr="00130E5B">
        <w:rPr>
          <w:rFonts w:ascii="Palatino Linotype" w:eastAsia="Palatino Linotype" w:hAnsi="Palatino Linotype" w:cs="Palatino Linotype"/>
          <w:b/>
        </w:rPr>
        <w:t xml:space="preserve">Razones del Voto Disidente. </w:t>
      </w:r>
    </w:p>
    <w:p w:rsidR="00D61DF8" w:rsidRDefault="00D61DF8">
      <w:pPr>
        <w:spacing w:before="240" w:after="240" w:line="360" w:lineRule="auto"/>
        <w:ind w:right="142"/>
        <w:jc w:val="both"/>
        <w:rPr>
          <w:rFonts w:ascii="Palatino Linotype" w:eastAsia="Palatino Linotype" w:hAnsi="Palatino Linotype" w:cs="Palatino Linotype"/>
        </w:rPr>
      </w:pPr>
      <w:r>
        <w:rPr>
          <w:rFonts w:ascii="Palatino Linotype" w:eastAsia="Palatino Linotype" w:hAnsi="Palatino Linotype" w:cs="Palatino Linotype"/>
        </w:rPr>
        <w:t>No se comparte que se confirme la declaración de incompetencia por las siguientes consideraciones de hecho y de derecho:</w:t>
      </w:r>
    </w:p>
    <w:p w:rsidR="00D61DF8" w:rsidRDefault="00A40123" w:rsidP="00D61DF8">
      <w:pPr>
        <w:spacing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E</w:t>
      </w:r>
      <w:r w:rsidR="00D61DF8">
        <w:rPr>
          <w:rFonts w:ascii="Palatino Linotype" w:eastAsia="Palatino Linotype" w:hAnsi="Palatino Linotype" w:cs="Palatino Linotype"/>
        </w:rPr>
        <w:t>l Reglamento Interno del Registro Civil del Estado de México establece lo siguiente, respecto a las oficialías de registro civil:</w:t>
      </w:r>
    </w:p>
    <w:p w:rsidR="00D61DF8" w:rsidRDefault="00D61DF8" w:rsidP="00D61DF8">
      <w:pPr>
        <w:spacing w:after="240" w:line="360" w:lineRule="auto"/>
        <w:ind w:right="49"/>
        <w:jc w:val="both"/>
        <w:rPr>
          <w:rFonts w:ascii="Palatino Linotype" w:eastAsia="Palatino Linotype" w:hAnsi="Palatino Linotype" w:cs="Palatino Linotype"/>
        </w:rPr>
      </w:pPr>
    </w:p>
    <w:p w:rsidR="00D61DF8" w:rsidRDefault="00D61DF8" w:rsidP="00D61DF8">
      <w:pPr>
        <w:spacing w:after="240"/>
        <w:ind w:left="567" w:right="616"/>
        <w:jc w:val="center"/>
        <w:rPr>
          <w:rFonts w:ascii="Palatino Linotype" w:eastAsia="Palatino Linotype" w:hAnsi="Palatino Linotype" w:cs="Palatino Linotype"/>
          <w:b/>
          <w:i/>
        </w:rPr>
      </w:pPr>
      <w:r>
        <w:rPr>
          <w:rFonts w:ascii="Palatino Linotype" w:eastAsia="Palatino Linotype" w:hAnsi="Palatino Linotype" w:cs="Palatino Linotype"/>
          <w:b/>
          <w:i/>
        </w:rPr>
        <w:lastRenderedPageBreak/>
        <w:t>CAPÍTULO CUARTO</w:t>
      </w:r>
    </w:p>
    <w:p w:rsidR="00D61DF8" w:rsidRDefault="00D61DF8" w:rsidP="00D61DF8">
      <w:pPr>
        <w:spacing w:after="240"/>
        <w:ind w:left="567" w:right="616"/>
        <w:jc w:val="center"/>
        <w:rPr>
          <w:rFonts w:ascii="Palatino Linotype" w:eastAsia="Palatino Linotype" w:hAnsi="Palatino Linotype" w:cs="Palatino Linotype"/>
          <w:b/>
          <w:i/>
        </w:rPr>
      </w:pPr>
      <w:r>
        <w:rPr>
          <w:rFonts w:ascii="Palatino Linotype" w:eastAsia="Palatino Linotype" w:hAnsi="Palatino Linotype" w:cs="Palatino Linotype"/>
          <w:b/>
          <w:i/>
        </w:rPr>
        <w:t>DE LAS OFICIALÍAS</w:t>
      </w:r>
    </w:p>
    <w:p w:rsidR="00D61DF8" w:rsidRDefault="00D61DF8" w:rsidP="00D61DF8">
      <w:pPr>
        <w:spacing w:after="240"/>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 xml:space="preserve">Artículo 15. Para el debido cumplimiento de sus funciones, el Registro Civil contará con las oficialías necesarias en el Estado de México, de acuerdo con la situación sociodemográfica de cada municipio, de conformidad con los ordenamientos jurídicos correspondientes. </w:t>
      </w:r>
    </w:p>
    <w:p w:rsidR="00D61DF8" w:rsidRDefault="00D61DF8" w:rsidP="00D61DF8">
      <w:pPr>
        <w:spacing w:after="240"/>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 xml:space="preserve">Artículo 16. Las Oficialías estarán a cargo de una persona Oficial quien será nombrada por la persona titular de la Subsecretaría, previo al cumplimiento de los requisitos señalados en el presente Reglamento, quien para el mejor desempeño de sus funciones se auxiliará de personas servidoras públicas municipales. </w:t>
      </w:r>
    </w:p>
    <w:p w:rsidR="00D61DF8" w:rsidRDefault="00D61DF8" w:rsidP="00D61DF8">
      <w:pPr>
        <w:spacing w:after="240"/>
        <w:ind w:left="567" w:right="616"/>
        <w:jc w:val="both"/>
        <w:rPr>
          <w:rFonts w:ascii="Palatino Linotype" w:eastAsia="Palatino Linotype" w:hAnsi="Palatino Linotype" w:cs="Palatino Linotype"/>
          <w:i/>
        </w:rPr>
      </w:pPr>
      <w:r>
        <w:rPr>
          <w:rFonts w:ascii="Palatino Linotype" w:eastAsia="Palatino Linotype" w:hAnsi="Palatino Linotype" w:cs="Palatino Linotype"/>
          <w:b/>
          <w:i/>
        </w:rPr>
        <w:t>Las oficialías del Registro Civil dependen administrativamente del Ayuntamiento</w:t>
      </w:r>
      <w:r>
        <w:rPr>
          <w:rFonts w:ascii="Palatino Linotype" w:eastAsia="Palatino Linotype" w:hAnsi="Palatino Linotype" w:cs="Palatino Linotype"/>
          <w:i/>
        </w:rPr>
        <w:t xml:space="preserve">, y por cuanto a sus funciones, atribuciones y obligaciones están adscritas al Gobierno del Estado de México, a través de la Dirección General. </w:t>
      </w:r>
    </w:p>
    <w:p w:rsidR="00D61DF8" w:rsidRDefault="00D61DF8" w:rsidP="00D61DF8">
      <w:pPr>
        <w:spacing w:after="240"/>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 xml:space="preserve">El Gobierno del Estado emitirá los lineamientos administrativos relativos a los recursos humanos, materiales y financieros, suficientes y oportunos para el buen funcionamiento de las oficialías. </w:t>
      </w:r>
    </w:p>
    <w:p w:rsidR="00D61DF8" w:rsidRDefault="00D61DF8" w:rsidP="00D61DF8">
      <w:pPr>
        <w:spacing w:after="240"/>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 xml:space="preserve">Cuando algún Ayuntamiento incumpla con lo ordenado en los lineamientos, el Gobierno del Estado emitirá Decreto para que la o las oficialías queden bajo su control. </w:t>
      </w:r>
    </w:p>
    <w:p w:rsidR="00D61DF8" w:rsidRDefault="00D61DF8" w:rsidP="00D61DF8">
      <w:pPr>
        <w:spacing w:after="240"/>
        <w:ind w:left="567" w:right="616"/>
        <w:jc w:val="both"/>
        <w:rPr>
          <w:rFonts w:ascii="Palatino Linotype" w:eastAsia="Palatino Linotype" w:hAnsi="Palatino Linotype" w:cs="Palatino Linotype"/>
          <w:i/>
        </w:rPr>
      </w:pPr>
      <w:r>
        <w:rPr>
          <w:rFonts w:ascii="Palatino Linotype" w:eastAsia="Palatino Linotype" w:hAnsi="Palatino Linotype" w:cs="Palatino Linotype"/>
          <w:i/>
        </w:rPr>
        <w:t>El sello que utilice el/la Oficial del Registro Civil, para validar los actos y/o hechos del estado civil deberá cumplir con las especificaciones y requerimientos que la Dirección General determine.</w:t>
      </w:r>
    </w:p>
    <w:p w:rsidR="00D61DF8" w:rsidRDefault="00D61DF8" w:rsidP="00D61DF8">
      <w:pPr>
        <w:spacing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 xml:space="preserve">Lo anterior establece que dentro del Territorio Municipal se contarán con las oficialías necesarias de acuerdo con la situación sociodemográfica de cada municipio y dependerán </w:t>
      </w:r>
      <w:r>
        <w:rPr>
          <w:rFonts w:ascii="Palatino Linotype" w:eastAsia="Palatino Linotype" w:hAnsi="Palatino Linotype" w:cs="Palatino Linotype"/>
        </w:rPr>
        <w:lastRenderedPageBreak/>
        <w:t xml:space="preserve">administrativamente del Ayuntamiento, es decir, fungirán como unidades administrativas dentro de la estructura orgánica municipal. </w:t>
      </w:r>
    </w:p>
    <w:p w:rsidR="00D61DF8" w:rsidRDefault="00D61DF8" w:rsidP="00D61DF8">
      <w:pPr>
        <w:spacing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Por su parte, son obligaciones del oficial del registro civil, las siguientes:</w:t>
      </w:r>
    </w:p>
    <w:p w:rsidR="00D61DF8" w:rsidRDefault="00D61DF8" w:rsidP="00D61DF8">
      <w:pPr>
        <w:spacing w:line="360" w:lineRule="auto"/>
        <w:ind w:right="49"/>
        <w:jc w:val="both"/>
        <w:rPr>
          <w:rFonts w:ascii="Palatino Linotype" w:eastAsia="Palatino Linotype" w:hAnsi="Palatino Linotype" w:cs="Palatino Linotype"/>
        </w:rPr>
      </w:pPr>
    </w:p>
    <w:p w:rsidR="00D61DF8" w:rsidRDefault="00D61DF8" w:rsidP="00D61DF8">
      <w:pPr>
        <w:ind w:left="567" w:right="560"/>
        <w:jc w:val="both"/>
        <w:rPr>
          <w:rFonts w:ascii="Palatino Linotype" w:eastAsia="Palatino Linotype" w:hAnsi="Palatino Linotype" w:cs="Palatino Linotype"/>
          <w:i/>
        </w:rPr>
      </w:pPr>
      <w:r>
        <w:rPr>
          <w:rFonts w:ascii="Palatino Linotype" w:eastAsia="Palatino Linotype" w:hAnsi="Palatino Linotype" w:cs="Palatino Linotype"/>
          <w:b/>
          <w:i/>
        </w:rPr>
        <w:t>Artículo 20</w:t>
      </w:r>
      <w:r>
        <w:rPr>
          <w:rFonts w:ascii="Palatino Linotype" w:eastAsia="Palatino Linotype" w:hAnsi="Palatino Linotype" w:cs="Palatino Linotype"/>
          <w:i/>
        </w:rPr>
        <w:t>. Son obligaciones del/de la Oficial del Registro Civil:</w:t>
      </w:r>
      <w:r>
        <w:rPr>
          <w:rFonts w:ascii="Palatino Linotype" w:eastAsia="Palatino Linotype" w:hAnsi="Palatino Linotype" w:cs="Palatino Linotype"/>
          <w:i/>
        </w:rPr>
        <w:br/>
        <w:t>…</w:t>
      </w:r>
    </w:p>
    <w:p w:rsidR="00D61DF8" w:rsidRDefault="00D61DF8" w:rsidP="00D61DF8">
      <w:pPr>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VII. Tener bajo su custodia y responsabilidad los formatos para el asentamiento de hechos y actos del estado civil y las hojas de papel seguridad para copias certificadas, órdenes de inhumación o cremación, apéndices y demás documentos necesarios para el ejercicio de sus atribuciones, así como el equipo y herramientas necesarias para el procedimiento de automatización.</w:t>
      </w:r>
    </w:p>
    <w:p w:rsidR="00D61DF8" w:rsidRDefault="00D61DF8" w:rsidP="00D61DF8">
      <w:pPr>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w:t>
      </w:r>
    </w:p>
    <w:p w:rsidR="00D61DF8" w:rsidRDefault="00D61DF8" w:rsidP="00D61DF8">
      <w:pPr>
        <w:ind w:left="567" w:right="560"/>
        <w:jc w:val="both"/>
        <w:rPr>
          <w:rFonts w:ascii="Palatino Linotype" w:eastAsia="Palatino Linotype" w:hAnsi="Palatino Linotype" w:cs="Palatino Linotype"/>
          <w:b/>
          <w:i/>
        </w:rPr>
      </w:pPr>
      <w:r>
        <w:rPr>
          <w:rFonts w:ascii="Palatino Linotype" w:eastAsia="Palatino Linotype" w:hAnsi="Palatino Linotype" w:cs="Palatino Linotype"/>
          <w:b/>
          <w:i/>
        </w:rPr>
        <w:t>XVIII. Mantener actualizado el inventario de libros e índices de la Oficialía a su cargo.</w:t>
      </w:r>
    </w:p>
    <w:p w:rsidR="00D61DF8" w:rsidRDefault="00D61DF8" w:rsidP="00D61DF8">
      <w:pPr>
        <w:ind w:left="567" w:right="560"/>
        <w:jc w:val="both"/>
        <w:rPr>
          <w:rFonts w:ascii="Palatino Linotype" w:eastAsia="Palatino Linotype" w:hAnsi="Palatino Linotype" w:cs="Palatino Linotype"/>
          <w:i/>
        </w:rPr>
      </w:pPr>
      <w:r>
        <w:rPr>
          <w:rFonts w:ascii="Palatino Linotype" w:eastAsia="Palatino Linotype" w:hAnsi="Palatino Linotype" w:cs="Palatino Linotype"/>
          <w:i/>
        </w:rPr>
        <w:t>…</w:t>
      </w:r>
    </w:p>
    <w:p w:rsidR="00D61DF8" w:rsidRDefault="00D61DF8" w:rsidP="00D61DF8">
      <w:pPr>
        <w:ind w:right="560"/>
        <w:jc w:val="both"/>
        <w:rPr>
          <w:rFonts w:ascii="Palatino Linotype" w:eastAsia="Palatino Linotype" w:hAnsi="Palatino Linotype" w:cs="Palatino Linotype"/>
          <w:i/>
        </w:rPr>
      </w:pPr>
    </w:p>
    <w:p w:rsidR="00D61DF8" w:rsidRDefault="00D61DF8" w:rsidP="00D61DF8">
      <w:pPr>
        <w:spacing w:line="360" w:lineRule="auto"/>
        <w:ind w:right="-7"/>
        <w:jc w:val="both"/>
        <w:rPr>
          <w:rFonts w:ascii="Palatino Linotype" w:eastAsia="Palatino Linotype" w:hAnsi="Palatino Linotype" w:cs="Palatino Linotype"/>
        </w:rPr>
      </w:pPr>
      <w:r>
        <w:rPr>
          <w:rFonts w:ascii="Palatino Linotype" w:eastAsia="Palatino Linotype" w:hAnsi="Palatino Linotype" w:cs="Palatino Linotype"/>
        </w:rPr>
        <w:t xml:space="preserve">Asimismo, es de mencionar que, </w:t>
      </w:r>
      <w:r>
        <w:rPr>
          <w:rFonts w:ascii="Palatino Linotype" w:eastAsia="Palatino Linotype" w:hAnsi="Palatino Linotype" w:cs="Palatino Linotype"/>
          <w:b/>
        </w:rPr>
        <w:t xml:space="preserve">los libros del Registro Civil </w:t>
      </w:r>
      <w:r>
        <w:rPr>
          <w:rFonts w:ascii="Palatino Linotype" w:eastAsia="Palatino Linotype" w:hAnsi="Palatino Linotype" w:cs="Palatino Linotype"/>
        </w:rPr>
        <w:t xml:space="preserve">se integrarán con las actas asentadas en los formatos autorizados por la Dirección General y deberán ser almacenados en un sistema informático, además, en ellas, </w:t>
      </w:r>
      <w:r>
        <w:rPr>
          <w:rFonts w:ascii="Palatino Linotype" w:eastAsia="Palatino Linotype" w:hAnsi="Palatino Linotype" w:cs="Palatino Linotype"/>
          <w:b/>
        </w:rPr>
        <w:t xml:space="preserve">se asentarán los hechos y actos del estado civil </w:t>
      </w:r>
      <w:r>
        <w:rPr>
          <w:rFonts w:ascii="Palatino Linotype" w:eastAsia="Palatino Linotype" w:hAnsi="Palatino Linotype" w:cs="Palatino Linotype"/>
        </w:rPr>
        <w:t>y deberán ser firmados con la rúbrica del Director General en forma autógrafa, tal como se advierte a continuación:</w:t>
      </w:r>
    </w:p>
    <w:p w:rsidR="00D61DF8" w:rsidRDefault="00D61DF8" w:rsidP="00D61DF8">
      <w:pPr>
        <w:spacing w:line="360" w:lineRule="auto"/>
        <w:ind w:right="-7"/>
        <w:jc w:val="both"/>
        <w:rPr>
          <w:rFonts w:ascii="Palatino Linotype" w:eastAsia="Palatino Linotype" w:hAnsi="Palatino Linotype" w:cs="Palatino Linotype"/>
        </w:rPr>
      </w:pPr>
    </w:p>
    <w:p w:rsidR="00D61DF8" w:rsidRDefault="00D61DF8" w:rsidP="00A40123">
      <w:pPr>
        <w:ind w:left="567" w:right="560"/>
        <w:jc w:val="both"/>
        <w:rPr>
          <w:rFonts w:ascii="Palatino Linotype" w:eastAsia="Palatino Linotype" w:hAnsi="Palatino Linotype" w:cs="Palatino Linotype"/>
          <w:i/>
        </w:rPr>
      </w:pPr>
      <w:r>
        <w:rPr>
          <w:rFonts w:ascii="Palatino Linotype" w:eastAsia="Palatino Linotype" w:hAnsi="Palatino Linotype" w:cs="Palatino Linotype"/>
          <w:b/>
          <w:i/>
        </w:rPr>
        <w:lastRenderedPageBreak/>
        <w:t>Artículo 48.</w:t>
      </w:r>
      <w:r>
        <w:rPr>
          <w:rFonts w:ascii="Palatino Linotype" w:eastAsia="Palatino Linotype" w:hAnsi="Palatino Linotype" w:cs="Palatino Linotype"/>
          <w:i/>
        </w:rPr>
        <w:t xml:space="preserve"> Los libros del Registro Civil </w:t>
      </w:r>
      <w:r>
        <w:rPr>
          <w:rFonts w:ascii="Palatino Linotype" w:eastAsia="Palatino Linotype" w:hAnsi="Palatino Linotype" w:cs="Palatino Linotype"/>
          <w:i/>
          <w:u w:val="single"/>
        </w:rPr>
        <w:t>se integrarán con las actas asentadas</w:t>
      </w:r>
      <w:r>
        <w:rPr>
          <w:rFonts w:ascii="Palatino Linotype" w:eastAsia="Palatino Linotype" w:hAnsi="Palatino Linotype" w:cs="Palatino Linotype"/>
          <w:i/>
        </w:rPr>
        <w:t xml:space="preserve"> en los formatos autorizados por la Dirección General y deberán ser almacenados en un sistema informático central establecido por la Dirección. </w:t>
      </w:r>
    </w:p>
    <w:p w:rsidR="00D61DF8" w:rsidRDefault="00D61DF8" w:rsidP="00A40123">
      <w:pPr>
        <w:ind w:left="567" w:right="560"/>
        <w:jc w:val="both"/>
        <w:rPr>
          <w:rFonts w:ascii="Palatino Linotype" w:eastAsia="Palatino Linotype" w:hAnsi="Palatino Linotype" w:cs="Palatino Linotype"/>
          <w:i/>
        </w:rPr>
      </w:pPr>
      <w:r>
        <w:rPr>
          <w:rFonts w:ascii="Palatino Linotype" w:eastAsia="Palatino Linotype" w:hAnsi="Palatino Linotype" w:cs="Palatino Linotype"/>
          <w:b/>
          <w:i/>
        </w:rPr>
        <w:t>Artículo 49.</w:t>
      </w:r>
      <w:r>
        <w:rPr>
          <w:rFonts w:ascii="Palatino Linotype" w:eastAsia="Palatino Linotype" w:hAnsi="Palatino Linotype" w:cs="Palatino Linotype"/>
          <w:i/>
        </w:rPr>
        <w:t xml:space="preserve"> Los/las Oficiales asentarán en las actas los hechos y actos del estado civil integrando los libros de: nacimiento, reconocimiento de hijo/a, matrimonio, divorcio, </w:t>
      </w:r>
      <w:r>
        <w:rPr>
          <w:rFonts w:ascii="Palatino Linotype" w:eastAsia="Palatino Linotype" w:hAnsi="Palatino Linotype" w:cs="Palatino Linotype"/>
          <w:b/>
          <w:i/>
        </w:rPr>
        <w:t>defunción</w:t>
      </w:r>
      <w:r>
        <w:rPr>
          <w:rFonts w:ascii="Palatino Linotype" w:eastAsia="Palatino Linotype" w:hAnsi="Palatino Linotype" w:cs="Palatino Linotype"/>
          <w:i/>
        </w:rPr>
        <w:t xml:space="preserve"> e inscripción de sentencias.</w:t>
      </w:r>
    </w:p>
    <w:p w:rsidR="00D61DF8" w:rsidRDefault="00D61DF8" w:rsidP="00D61DF8">
      <w:pPr>
        <w:ind w:left="567" w:right="560"/>
        <w:jc w:val="both"/>
        <w:rPr>
          <w:rFonts w:ascii="Palatino Linotype" w:eastAsia="Palatino Linotype" w:hAnsi="Palatino Linotype" w:cs="Palatino Linotype"/>
          <w:i/>
        </w:rPr>
      </w:pPr>
      <w:r>
        <w:rPr>
          <w:rFonts w:ascii="Palatino Linotype" w:eastAsia="Palatino Linotype" w:hAnsi="Palatino Linotype" w:cs="Palatino Linotype"/>
          <w:b/>
          <w:i/>
        </w:rPr>
        <w:t>Artículo 50.</w:t>
      </w:r>
      <w:r>
        <w:rPr>
          <w:rFonts w:ascii="Palatino Linotype" w:eastAsia="Palatino Linotype" w:hAnsi="Palatino Linotype" w:cs="Palatino Linotype"/>
          <w:i/>
        </w:rPr>
        <w:t xml:space="preserve"> Todos los libros del Registro Civil serán firmados con la rúbrica del/de la Director/a General en forma autógrafa, digitalizada o cualquier otro medio, en el transcurso del siguiente año al ejercicio de que se trate.</w:t>
      </w:r>
    </w:p>
    <w:p w:rsidR="00D61DF8" w:rsidRDefault="00D61DF8" w:rsidP="00D61DF8">
      <w:pPr>
        <w:tabs>
          <w:tab w:val="left" w:pos="8222"/>
        </w:tabs>
        <w:spacing w:line="360" w:lineRule="auto"/>
        <w:ind w:right="-7"/>
        <w:jc w:val="both"/>
        <w:rPr>
          <w:rFonts w:ascii="Palatino Linotype" w:eastAsia="Palatino Linotype" w:hAnsi="Palatino Linotype" w:cs="Palatino Linotype"/>
        </w:rPr>
      </w:pPr>
    </w:p>
    <w:p w:rsidR="00D61DF8" w:rsidRDefault="00D61DF8" w:rsidP="00D61DF8">
      <w:pPr>
        <w:spacing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De lo anterior, se colige que, el Sujeto Obligado cuenta con atribuciones, facultades y competencia, para poseer y administrar la información solicitada respecto a las actas de defunción</w:t>
      </w:r>
      <w:r w:rsidR="00A40123">
        <w:rPr>
          <w:rFonts w:ascii="Palatino Linotype" w:eastAsia="Palatino Linotype" w:hAnsi="Palatino Linotype" w:cs="Palatino Linotype"/>
        </w:rPr>
        <w:t xml:space="preserve"> emitidas por las Oficialías dentro del Municipio.</w:t>
      </w:r>
    </w:p>
    <w:p w:rsidR="00D61DF8" w:rsidRDefault="00D61DF8" w:rsidP="00D61DF8">
      <w:pPr>
        <w:spacing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A efecto de robustecer lo antes dicho, es necesario señalar que, el Manual de Organización de la Secretaría del Ayuntamiento, vigente en la administración 2022-2024, contemplaba dentro de su estructura orgánica las siguientes oficialías:</w:t>
      </w:r>
    </w:p>
    <w:p w:rsidR="00D61DF8" w:rsidRDefault="00D61DF8" w:rsidP="00D61DF8">
      <w:pPr>
        <w:spacing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noProof/>
        </w:rPr>
        <w:drawing>
          <wp:inline distT="0" distB="0" distL="0" distR="0" wp14:anchorId="3EFBDEB8" wp14:editId="5F9C1D79">
            <wp:extent cx="5612130" cy="933450"/>
            <wp:effectExtent l="0" t="0" r="0" b="0"/>
            <wp:docPr id="77020157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612130" cy="933450"/>
                    </a:xfrm>
                    <a:prstGeom prst="rect">
                      <a:avLst/>
                    </a:prstGeom>
                    <a:ln/>
                  </pic:spPr>
                </pic:pic>
              </a:graphicData>
            </a:graphic>
          </wp:inline>
        </w:drawing>
      </w:r>
    </w:p>
    <w:p w:rsidR="00D61DF8" w:rsidRDefault="00D61DF8" w:rsidP="00D61DF8">
      <w:pPr>
        <w:spacing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En ese mismo sentido, la actual página oficial del Ayuntamiento de Toluca, entre los trámites que ofrece la Secretaría del Ayuntamiento se localizan los siguientes:</w:t>
      </w:r>
    </w:p>
    <w:p w:rsidR="00D61DF8" w:rsidRDefault="00D61DF8" w:rsidP="00D61DF8">
      <w:pPr>
        <w:spacing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noProof/>
        </w:rPr>
        <w:lastRenderedPageBreak/>
        <w:drawing>
          <wp:inline distT="0" distB="0" distL="0" distR="0" wp14:anchorId="032382A1" wp14:editId="0456FB89">
            <wp:extent cx="5612130" cy="1968500"/>
            <wp:effectExtent l="0" t="0" r="0" b="0"/>
            <wp:docPr id="77020157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5612130" cy="1968500"/>
                    </a:xfrm>
                    <a:prstGeom prst="rect">
                      <a:avLst/>
                    </a:prstGeom>
                    <a:ln/>
                  </pic:spPr>
                </pic:pic>
              </a:graphicData>
            </a:graphic>
          </wp:inline>
        </w:drawing>
      </w:r>
    </w:p>
    <w:p w:rsidR="00D61DF8" w:rsidRDefault="00D61DF8" w:rsidP="00A40123">
      <w:pPr>
        <w:spacing w:after="240" w:line="360" w:lineRule="auto"/>
        <w:ind w:right="49"/>
        <w:jc w:val="center"/>
        <w:rPr>
          <w:rFonts w:ascii="Palatino Linotype" w:eastAsia="Palatino Linotype" w:hAnsi="Palatino Linotype" w:cs="Palatino Linotype"/>
        </w:rPr>
      </w:pPr>
      <w:r>
        <w:rPr>
          <w:rFonts w:ascii="Palatino Linotype" w:eastAsia="Palatino Linotype" w:hAnsi="Palatino Linotype" w:cs="Palatino Linotype"/>
          <w:noProof/>
        </w:rPr>
        <w:drawing>
          <wp:inline distT="0" distB="0" distL="0" distR="0" wp14:anchorId="17FC6E39" wp14:editId="4A1D34B3">
            <wp:extent cx="4788568" cy="4090737"/>
            <wp:effectExtent l="0" t="0" r="0" b="0"/>
            <wp:docPr id="77020157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4826620" cy="4123244"/>
                    </a:xfrm>
                    <a:prstGeom prst="rect">
                      <a:avLst/>
                    </a:prstGeom>
                    <a:ln/>
                  </pic:spPr>
                </pic:pic>
              </a:graphicData>
            </a:graphic>
          </wp:inline>
        </w:drawing>
      </w:r>
    </w:p>
    <w:p w:rsidR="00D61DF8" w:rsidRPr="00A40123" w:rsidRDefault="00D61DF8" w:rsidP="00D61DF8">
      <w:pPr>
        <w:spacing w:line="360" w:lineRule="auto"/>
        <w:jc w:val="both"/>
        <w:rPr>
          <w:rFonts w:ascii="Palatino Linotype" w:eastAsia="Palatino Linotype" w:hAnsi="Palatino Linotype" w:cs="Palatino Linotype"/>
        </w:rPr>
      </w:pPr>
      <w:r w:rsidRPr="00A40123">
        <w:rPr>
          <w:rFonts w:ascii="Palatino Linotype" w:eastAsia="Palatino Linotype" w:hAnsi="Palatino Linotype" w:cs="Palatino Linotype"/>
        </w:rPr>
        <w:lastRenderedPageBreak/>
        <w:t xml:space="preserve">Tal y como se aprecia, entre los trámites y servicios que ofrece el Ayuntamiento de Toluca se encuentra la inscripción de Actas de Defunción, siendo esta atribución de la Secretaría del Ayuntamiento, por lo que al ser una atribución del Sujeto Obligado, se determina que la información debe existir en sus archivos y en consecuencia, se debió turnar la solicitud a la Secretaría del Ayuntamiento, por ser la unidad administrativa encargada de brindar el servicio a través de las oficialías de registro civil que se encuentran dentro del Municipio de Toluca. </w:t>
      </w:r>
    </w:p>
    <w:p w:rsidR="00D470BE" w:rsidRPr="00A40123" w:rsidRDefault="00D61DF8" w:rsidP="00A40123">
      <w:pPr>
        <w:spacing w:line="360" w:lineRule="auto"/>
        <w:jc w:val="both"/>
        <w:rPr>
          <w:rFonts w:ascii="Palatino Linotype" w:eastAsia="Palatino Linotype" w:hAnsi="Palatino Linotype" w:cs="Palatino Linotype"/>
          <w:b/>
          <w:u w:val="single"/>
        </w:rPr>
      </w:pPr>
      <w:r w:rsidRPr="00A40123">
        <w:rPr>
          <w:rFonts w:ascii="Palatino Linotype" w:eastAsia="Palatino Linotype" w:hAnsi="Palatino Linotype" w:cs="Palatino Linotype"/>
        </w:rPr>
        <w:t xml:space="preserve">De lo anterior, se advierte que hay fuente obligacional para que el Sujeto Obligado denominado Ayuntamiento de Toluca conozca de la información que requiere el particular, por corresponder a unidades administrativas que se encuentran dentro de su estructura orgánica. Más bien, es estudio debió versar sobre la publicidad o clasificación de la información, ya que su integración corresponde al estado civil de las personas, y constan en libros de registro, es decir, </w:t>
      </w:r>
      <w:r w:rsidRPr="00A40123">
        <w:rPr>
          <w:rFonts w:ascii="Palatino Linotype" w:eastAsia="Palatino Linotype" w:hAnsi="Palatino Linotype" w:cs="Palatino Linotype"/>
          <w:b/>
          <w:u w:val="single"/>
        </w:rPr>
        <w:t>atañen</w:t>
      </w:r>
      <w:r w:rsidR="00A40123" w:rsidRPr="00A40123">
        <w:rPr>
          <w:rFonts w:ascii="Palatino Linotype" w:eastAsia="Palatino Linotype" w:hAnsi="Palatino Linotype" w:cs="Palatino Linotype"/>
          <w:b/>
          <w:u w:val="single"/>
        </w:rPr>
        <w:t xml:space="preserve"> directamente </w:t>
      </w:r>
      <w:r w:rsidRPr="00A40123">
        <w:rPr>
          <w:rFonts w:ascii="Palatino Linotype" w:eastAsia="Palatino Linotype" w:hAnsi="Palatino Linotype" w:cs="Palatino Linotype"/>
          <w:b/>
          <w:u w:val="single"/>
        </w:rPr>
        <w:t>a la esfera privada de los particulares, por lo que, se colige que, la parte Recurrente pretende acceder a información de índole privada</w:t>
      </w:r>
      <w:r w:rsidR="00A40123" w:rsidRPr="00A40123">
        <w:rPr>
          <w:rFonts w:ascii="Palatino Linotype" w:eastAsia="Palatino Linotype" w:hAnsi="Palatino Linotype" w:cs="Palatino Linotype"/>
          <w:b/>
          <w:u w:val="single"/>
        </w:rPr>
        <w:t xml:space="preserve"> de particulares.</w:t>
      </w:r>
    </w:p>
    <w:p w:rsidR="00D470BE" w:rsidRPr="00130E5B" w:rsidRDefault="00F8702B">
      <w:pPr>
        <w:spacing w:before="240" w:after="240" w:line="360" w:lineRule="auto"/>
        <w:jc w:val="both"/>
        <w:rPr>
          <w:rFonts w:ascii="Palatino Linotype" w:eastAsia="Palatino Linotype" w:hAnsi="Palatino Linotype" w:cs="Palatino Linotype"/>
        </w:rPr>
      </w:pPr>
      <w:r w:rsidRPr="00130E5B">
        <w:rPr>
          <w:rFonts w:ascii="Palatino Linotype" w:eastAsia="Palatino Linotype" w:hAnsi="Palatino Linotype" w:cs="Palatino Linotype"/>
        </w:rPr>
        <w:t xml:space="preserve">Con base a los argumentos que se han señalado en líneas anteriores, es que no se comparte el sentido de la resolución, y se emite el presente </w:t>
      </w:r>
      <w:r w:rsidRPr="00130E5B">
        <w:rPr>
          <w:rFonts w:ascii="Palatino Linotype" w:eastAsia="Palatino Linotype" w:hAnsi="Palatino Linotype" w:cs="Palatino Linotype"/>
          <w:b/>
        </w:rPr>
        <w:t>Voto Disidente</w:t>
      </w:r>
      <w:r w:rsidRPr="00130E5B">
        <w:rPr>
          <w:rFonts w:ascii="Palatino Linotype" w:eastAsia="Palatino Linotype" w:hAnsi="Palatino Linotype" w:cs="Palatino Linotype"/>
        </w:rPr>
        <w:t>.</w:t>
      </w:r>
    </w:p>
    <w:p w:rsidR="00D470BE" w:rsidRPr="00130E5B" w:rsidRDefault="00D470BE">
      <w:pPr>
        <w:spacing w:before="240" w:after="240" w:line="360" w:lineRule="auto"/>
        <w:ind w:right="142"/>
        <w:jc w:val="both"/>
        <w:rPr>
          <w:rFonts w:ascii="Palatino Linotype" w:eastAsia="Palatino Linotype" w:hAnsi="Palatino Linotype" w:cs="Palatino Linotype"/>
        </w:rPr>
      </w:pPr>
    </w:p>
    <w:p w:rsidR="00D470BE" w:rsidRPr="00130E5B" w:rsidRDefault="00D470BE">
      <w:pPr>
        <w:spacing w:before="240" w:after="240" w:line="360" w:lineRule="auto"/>
        <w:ind w:right="139"/>
        <w:jc w:val="both"/>
        <w:rPr>
          <w:rFonts w:ascii="Palatino Linotype" w:eastAsia="Palatino Linotype" w:hAnsi="Palatino Linotype" w:cs="Palatino Linotype"/>
        </w:rPr>
      </w:pPr>
    </w:p>
    <w:p w:rsidR="00D470BE" w:rsidRPr="00130E5B" w:rsidRDefault="00D470BE">
      <w:pPr>
        <w:spacing w:before="240" w:after="240" w:line="360" w:lineRule="auto"/>
        <w:ind w:right="139"/>
        <w:jc w:val="both"/>
        <w:rPr>
          <w:rFonts w:ascii="Palatino Linotype" w:eastAsia="Palatino Linotype" w:hAnsi="Palatino Linotype" w:cs="Palatino Linotype"/>
        </w:rPr>
        <w:sectPr w:rsidR="00D470BE" w:rsidRPr="00130E5B">
          <w:headerReference w:type="default" r:id="rId11"/>
          <w:footerReference w:type="default" r:id="rId12"/>
          <w:pgSz w:w="12240" w:h="15840"/>
          <w:pgMar w:top="2438" w:right="1701" w:bottom="2778" w:left="1701" w:header="1134" w:footer="1134" w:gutter="0"/>
          <w:pgNumType w:start="1"/>
          <w:cols w:space="720"/>
        </w:sectPr>
      </w:pPr>
    </w:p>
    <w:p w:rsidR="00D470BE" w:rsidRPr="00130E5B" w:rsidRDefault="00D470BE">
      <w:pPr>
        <w:spacing w:before="240" w:after="240" w:line="360" w:lineRule="auto"/>
        <w:ind w:right="139"/>
        <w:jc w:val="both"/>
        <w:rPr>
          <w:rFonts w:ascii="Palatino Linotype" w:eastAsia="Palatino Linotype" w:hAnsi="Palatino Linotype" w:cs="Palatino Linotype"/>
        </w:rPr>
      </w:pPr>
      <w:bookmarkStart w:id="3" w:name="_heading=h.1fob9te" w:colFirst="0" w:colLast="0"/>
      <w:bookmarkEnd w:id="3"/>
    </w:p>
    <w:p w:rsidR="00D470BE" w:rsidRPr="00130E5B" w:rsidRDefault="00D470BE">
      <w:pPr>
        <w:spacing w:before="240" w:after="240" w:line="360" w:lineRule="auto"/>
        <w:ind w:right="139"/>
        <w:jc w:val="both"/>
        <w:rPr>
          <w:rFonts w:ascii="Palatino Linotype" w:eastAsia="Palatino Linotype" w:hAnsi="Palatino Linotype" w:cs="Palatino Linotype"/>
        </w:rPr>
      </w:pPr>
    </w:p>
    <w:p w:rsidR="00D470BE" w:rsidRPr="00130E5B" w:rsidRDefault="00D470BE">
      <w:pPr>
        <w:spacing w:before="240" w:after="240" w:line="360" w:lineRule="auto"/>
        <w:ind w:right="139"/>
        <w:jc w:val="both"/>
        <w:rPr>
          <w:rFonts w:ascii="Palatino Linotype" w:eastAsia="Palatino Linotype" w:hAnsi="Palatino Linotype" w:cs="Palatino Linotype"/>
        </w:rPr>
      </w:pPr>
    </w:p>
    <w:p w:rsidR="00D470BE" w:rsidRPr="00130E5B" w:rsidRDefault="00D470BE">
      <w:pPr>
        <w:spacing w:before="240" w:after="240" w:line="360" w:lineRule="auto"/>
        <w:ind w:right="139"/>
        <w:jc w:val="both"/>
        <w:rPr>
          <w:rFonts w:ascii="Palatino Linotype" w:eastAsia="Palatino Linotype" w:hAnsi="Palatino Linotype" w:cs="Palatino Linotype"/>
        </w:rPr>
      </w:pPr>
    </w:p>
    <w:p w:rsidR="00D470BE" w:rsidRPr="00130E5B" w:rsidRDefault="00D470BE">
      <w:pPr>
        <w:spacing w:before="240" w:after="240" w:line="360" w:lineRule="auto"/>
        <w:ind w:right="139"/>
        <w:jc w:val="both"/>
        <w:rPr>
          <w:rFonts w:ascii="Palatino Linotype" w:eastAsia="Palatino Linotype" w:hAnsi="Palatino Linotype" w:cs="Palatino Linotype"/>
        </w:rPr>
      </w:pPr>
    </w:p>
    <w:p w:rsidR="00D470BE" w:rsidRPr="00130E5B" w:rsidRDefault="00D470BE">
      <w:pPr>
        <w:spacing w:before="240" w:after="240" w:line="360" w:lineRule="auto"/>
        <w:ind w:right="139"/>
        <w:jc w:val="both"/>
        <w:rPr>
          <w:rFonts w:ascii="Palatino Linotype" w:eastAsia="Palatino Linotype" w:hAnsi="Palatino Linotype" w:cs="Palatino Linotype"/>
        </w:rPr>
      </w:pPr>
    </w:p>
    <w:p w:rsidR="00D470BE" w:rsidRPr="00130E5B" w:rsidRDefault="00D470BE">
      <w:pPr>
        <w:spacing w:before="240" w:after="240" w:line="360" w:lineRule="auto"/>
        <w:ind w:right="139"/>
        <w:jc w:val="both"/>
        <w:rPr>
          <w:rFonts w:ascii="Palatino Linotype" w:eastAsia="Palatino Linotype" w:hAnsi="Palatino Linotype" w:cs="Palatino Linotype"/>
        </w:rPr>
      </w:pPr>
    </w:p>
    <w:sectPr w:rsidR="00D470BE" w:rsidRPr="00130E5B">
      <w:headerReference w:type="default" r:id="rId13"/>
      <w:pgSz w:w="12240" w:h="15840"/>
      <w:pgMar w:top="2438" w:right="1701" w:bottom="2778" w:left="1701" w:header="1134"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4F1" w:rsidRDefault="00CB04F1">
      <w:pPr>
        <w:spacing w:after="0" w:line="240" w:lineRule="auto"/>
      </w:pPr>
      <w:r>
        <w:separator/>
      </w:r>
    </w:p>
  </w:endnote>
  <w:endnote w:type="continuationSeparator" w:id="0">
    <w:p w:rsidR="00CB04F1" w:rsidRDefault="00CB0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BA7" w:rsidRDefault="00FE7BA7">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FD19CD">
      <w:rPr>
        <w:rFonts w:ascii="Palatino Linotype" w:eastAsia="Palatino Linotype" w:hAnsi="Palatino Linotype" w:cs="Palatino Linotype"/>
        <w:b/>
        <w:noProof/>
        <w:color w:val="000000"/>
        <w:sz w:val="20"/>
        <w:szCs w:val="20"/>
      </w:rPr>
      <w:t>8</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FD19CD">
      <w:rPr>
        <w:rFonts w:ascii="Palatino Linotype" w:eastAsia="Palatino Linotype" w:hAnsi="Palatino Linotype" w:cs="Palatino Linotype"/>
        <w:b/>
        <w:noProof/>
        <w:color w:val="000000"/>
        <w:sz w:val="20"/>
        <w:szCs w:val="20"/>
      </w:rPr>
      <w:t>8</w:t>
    </w:r>
    <w:r>
      <w:rPr>
        <w:rFonts w:ascii="Palatino Linotype" w:eastAsia="Palatino Linotype" w:hAnsi="Palatino Linotype" w:cs="Palatino Linotype"/>
        <w:b/>
        <w:color w:val="000000"/>
        <w:sz w:val="20"/>
        <w:szCs w:val="20"/>
      </w:rPr>
      <w:fldChar w:fldCharType="end"/>
    </w:r>
  </w:p>
  <w:p w:rsidR="00FE7BA7" w:rsidRDefault="00FE7BA7">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4F1" w:rsidRDefault="00CB04F1">
      <w:pPr>
        <w:spacing w:after="0" w:line="240" w:lineRule="auto"/>
      </w:pPr>
      <w:r>
        <w:separator/>
      </w:r>
    </w:p>
  </w:footnote>
  <w:footnote w:type="continuationSeparator" w:id="0">
    <w:p w:rsidR="00CB04F1" w:rsidRDefault="00CB04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BA7" w:rsidRDefault="00FE7BA7">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18"/>
        <w:szCs w:val="18"/>
      </w:rPr>
    </w:pPr>
    <w:r w:rsidRPr="0052275A">
      <w:rPr>
        <w:noProof/>
        <w:sz w:val="18"/>
        <w:szCs w:val="18"/>
      </w:rPr>
      <w:drawing>
        <wp:anchor distT="0" distB="0" distL="0" distR="0" simplePos="0" relativeHeight="251658240" behindDoc="1" locked="0" layoutInCell="1" hidden="0" allowOverlap="1">
          <wp:simplePos x="0" y="0"/>
          <wp:positionH relativeFrom="page">
            <wp:align>right</wp:align>
          </wp:positionH>
          <wp:positionV relativeFrom="paragraph">
            <wp:posOffset>-152400</wp:posOffset>
          </wp:positionV>
          <wp:extent cx="7510628" cy="9883775"/>
          <wp:effectExtent l="0" t="0" r="0" b="3175"/>
          <wp:wrapNone/>
          <wp:docPr id="27164074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FE7BA7" w:rsidRDefault="00FE7BA7" w:rsidP="0052275A">
    <w:pPr>
      <w:pBdr>
        <w:top w:val="nil"/>
        <w:left w:val="nil"/>
        <w:bottom w:val="nil"/>
        <w:right w:val="nil"/>
        <w:between w:val="nil"/>
      </w:pBdr>
      <w:tabs>
        <w:tab w:val="center" w:pos="4419"/>
        <w:tab w:val="left" w:pos="6795"/>
        <w:tab w:val="right" w:pos="8838"/>
      </w:tabs>
      <w:spacing w:after="0" w:line="240" w:lineRule="auto"/>
      <w:rPr>
        <w:rFonts w:ascii="Palatino Linotype" w:eastAsia="Palatino Linotype" w:hAnsi="Palatino Linotype" w:cs="Palatino Linotype"/>
        <w:b/>
        <w:color w:val="000000"/>
        <w:sz w:val="18"/>
        <w:szCs w:val="18"/>
      </w:rPr>
    </w:pPr>
    <w:r>
      <w:rPr>
        <w:rFonts w:ascii="Palatino Linotype" w:eastAsia="Palatino Linotype" w:hAnsi="Palatino Linotype" w:cs="Palatino Linotype"/>
        <w:b/>
        <w:color w:val="000000"/>
        <w:sz w:val="18"/>
        <w:szCs w:val="18"/>
      </w:rPr>
      <w:tab/>
    </w:r>
    <w:r>
      <w:rPr>
        <w:rFonts w:ascii="Palatino Linotype" w:eastAsia="Palatino Linotype" w:hAnsi="Palatino Linotype" w:cs="Palatino Linotype"/>
        <w:b/>
        <w:color w:val="000000"/>
        <w:sz w:val="18"/>
        <w:szCs w:val="18"/>
      </w:rPr>
      <w:tab/>
    </w:r>
  </w:p>
  <w:tbl>
    <w:tblPr>
      <w:tblW w:w="5245" w:type="dxa"/>
      <w:jc w:val="right"/>
      <w:tblLayout w:type="fixed"/>
      <w:tblLook w:val="0400" w:firstRow="0" w:lastRow="0" w:firstColumn="0" w:lastColumn="0" w:noHBand="0" w:noVBand="1"/>
    </w:tblPr>
    <w:tblGrid>
      <w:gridCol w:w="2410"/>
      <w:gridCol w:w="2835"/>
    </w:tblGrid>
    <w:tr w:rsidR="00FE7BA7" w:rsidRPr="0052275A" w:rsidTr="00FE7BA7">
      <w:trPr>
        <w:jc w:val="right"/>
      </w:trPr>
      <w:tc>
        <w:tcPr>
          <w:tcW w:w="2410" w:type="dxa"/>
          <w:vAlign w:val="center"/>
        </w:tcPr>
        <w:p w:rsidR="00FE7BA7" w:rsidRPr="0052275A" w:rsidRDefault="00FE7BA7" w:rsidP="0052275A">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sz w:val="20"/>
              <w:szCs w:val="20"/>
            </w:rPr>
          </w:pPr>
        </w:p>
      </w:tc>
      <w:tc>
        <w:tcPr>
          <w:tcW w:w="2835" w:type="dxa"/>
          <w:vAlign w:val="center"/>
        </w:tcPr>
        <w:p w:rsidR="00FE7BA7" w:rsidRPr="0052275A" w:rsidRDefault="00FE7BA7" w:rsidP="0052275A">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sz w:val="20"/>
              <w:szCs w:val="20"/>
            </w:rPr>
          </w:pPr>
          <w:r w:rsidRPr="0052275A">
            <w:rPr>
              <w:rFonts w:ascii="Palatino Linotype" w:eastAsia="Palatino Linotype" w:hAnsi="Palatino Linotype" w:cs="Palatino Linotype"/>
              <w:b/>
              <w:color w:val="000000"/>
              <w:sz w:val="20"/>
              <w:szCs w:val="20"/>
            </w:rPr>
            <w:t>VOTO DISIDENTE</w:t>
          </w:r>
        </w:p>
      </w:tc>
    </w:tr>
    <w:tr w:rsidR="00FE7BA7" w:rsidRPr="0052275A" w:rsidTr="00FE7BA7">
      <w:trPr>
        <w:jc w:val="right"/>
      </w:trPr>
      <w:tc>
        <w:tcPr>
          <w:tcW w:w="2410" w:type="dxa"/>
          <w:vAlign w:val="center"/>
        </w:tcPr>
        <w:p w:rsidR="00FE7BA7" w:rsidRPr="0052275A" w:rsidRDefault="00FE7BA7" w:rsidP="0052275A">
          <w:pPr>
            <w:tabs>
              <w:tab w:val="center" w:pos="4419"/>
              <w:tab w:val="right" w:pos="8838"/>
            </w:tabs>
            <w:spacing w:after="0" w:line="240" w:lineRule="auto"/>
            <w:jc w:val="both"/>
            <w:rPr>
              <w:rFonts w:ascii="Palatino Linotype" w:eastAsia="Palatino Linotype" w:hAnsi="Palatino Linotype" w:cs="Palatino Linotype"/>
              <w:b/>
              <w:color w:val="000000"/>
              <w:sz w:val="20"/>
              <w:szCs w:val="20"/>
            </w:rPr>
          </w:pPr>
          <w:r w:rsidRPr="0052275A">
            <w:rPr>
              <w:rFonts w:ascii="Palatino Linotype" w:eastAsia="Palatino Linotype" w:hAnsi="Palatino Linotype" w:cs="Palatino Linotype"/>
              <w:b/>
              <w:color w:val="000000"/>
              <w:sz w:val="20"/>
              <w:szCs w:val="20"/>
            </w:rPr>
            <w:t>Recurso de Revisión:</w:t>
          </w:r>
        </w:p>
      </w:tc>
      <w:tc>
        <w:tcPr>
          <w:tcW w:w="2835" w:type="dxa"/>
        </w:tcPr>
        <w:p w:rsidR="00FE7BA7" w:rsidRPr="0052275A" w:rsidRDefault="00FE7BA7" w:rsidP="00FE7BA7">
          <w:pPr>
            <w:pBdr>
              <w:top w:val="nil"/>
              <w:left w:val="nil"/>
              <w:bottom w:val="nil"/>
              <w:right w:val="nil"/>
              <w:between w:val="nil"/>
            </w:pBdr>
            <w:tabs>
              <w:tab w:val="center" w:pos="4419"/>
              <w:tab w:val="right" w:pos="8838"/>
            </w:tabs>
            <w:spacing w:after="0" w:line="240" w:lineRule="auto"/>
            <w:jc w:val="both"/>
            <w:rPr>
              <w:rFonts w:ascii="Palatino Linotype" w:eastAsia="Palatino Linotype" w:hAnsi="Palatino Linotype" w:cs="Palatino Linotype"/>
              <w:b/>
              <w:color w:val="000000"/>
              <w:sz w:val="20"/>
              <w:szCs w:val="20"/>
            </w:rPr>
          </w:pPr>
          <w:r w:rsidRPr="0052275A">
            <w:rPr>
              <w:rFonts w:ascii="Palatino Linotype" w:eastAsia="Palatino Linotype" w:hAnsi="Palatino Linotype" w:cs="Palatino Linotype"/>
              <w:b/>
              <w:color w:val="000000"/>
              <w:sz w:val="20"/>
              <w:szCs w:val="20"/>
            </w:rPr>
            <w:t>0</w:t>
          </w:r>
          <w:r>
            <w:rPr>
              <w:rFonts w:ascii="Palatino Linotype" w:eastAsia="Palatino Linotype" w:hAnsi="Palatino Linotype" w:cs="Palatino Linotype"/>
              <w:b/>
              <w:color w:val="000000"/>
              <w:sz w:val="20"/>
              <w:szCs w:val="20"/>
            </w:rPr>
            <w:t>1844</w:t>
          </w:r>
          <w:r w:rsidRPr="0052275A">
            <w:rPr>
              <w:rFonts w:ascii="Palatino Linotype" w:eastAsia="Palatino Linotype" w:hAnsi="Palatino Linotype" w:cs="Palatino Linotype"/>
              <w:b/>
              <w:color w:val="000000"/>
              <w:sz w:val="20"/>
              <w:szCs w:val="20"/>
            </w:rPr>
            <w:t>/INFOEM/IP/RR/2025</w:t>
          </w:r>
        </w:p>
      </w:tc>
    </w:tr>
    <w:tr w:rsidR="00FE7BA7" w:rsidRPr="0052275A" w:rsidTr="00FE7BA7">
      <w:trPr>
        <w:jc w:val="right"/>
      </w:trPr>
      <w:tc>
        <w:tcPr>
          <w:tcW w:w="2410" w:type="dxa"/>
        </w:tcPr>
        <w:p w:rsidR="00FE7BA7" w:rsidRPr="0052275A" w:rsidRDefault="00FE7BA7" w:rsidP="0052275A">
          <w:pPr>
            <w:tabs>
              <w:tab w:val="center" w:pos="4419"/>
              <w:tab w:val="right" w:pos="8838"/>
            </w:tabs>
            <w:spacing w:after="0" w:line="240" w:lineRule="auto"/>
            <w:jc w:val="both"/>
            <w:rPr>
              <w:rFonts w:ascii="Palatino Linotype" w:eastAsia="Palatino Linotype" w:hAnsi="Palatino Linotype" w:cs="Palatino Linotype"/>
              <w:b/>
              <w:color w:val="000000"/>
              <w:sz w:val="20"/>
              <w:szCs w:val="20"/>
            </w:rPr>
          </w:pPr>
          <w:r w:rsidRPr="0052275A">
            <w:rPr>
              <w:rFonts w:ascii="Palatino Linotype" w:eastAsia="Palatino Linotype" w:hAnsi="Palatino Linotype" w:cs="Palatino Linotype"/>
              <w:b/>
              <w:color w:val="000000"/>
              <w:sz w:val="20"/>
              <w:szCs w:val="20"/>
            </w:rPr>
            <w:t>Sujeto Obligado:</w:t>
          </w:r>
        </w:p>
      </w:tc>
      <w:tc>
        <w:tcPr>
          <w:tcW w:w="2835" w:type="dxa"/>
        </w:tcPr>
        <w:p w:rsidR="00FE7BA7" w:rsidRPr="0052275A" w:rsidRDefault="00FE7BA7" w:rsidP="0052275A">
          <w:pPr>
            <w:tabs>
              <w:tab w:val="center" w:pos="4419"/>
              <w:tab w:val="right" w:pos="8838"/>
            </w:tabs>
            <w:spacing w:after="0" w:line="240" w:lineRule="auto"/>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Ayuntamiento de Toluca</w:t>
          </w:r>
        </w:p>
      </w:tc>
    </w:tr>
    <w:tr w:rsidR="00FE7BA7" w:rsidRPr="0052275A" w:rsidTr="00FE7BA7">
      <w:trPr>
        <w:jc w:val="right"/>
      </w:trPr>
      <w:tc>
        <w:tcPr>
          <w:tcW w:w="2410" w:type="dxa"/>
        </w:tcPr>
        <w:p w:rsidR="00FE7BA7" w:rsidRPr="0052275A" w:rsidRDefault="00FE7BA7" w:rsidP="00FE7BA7">
          <w:pPr>
            <w:tabs>
              <w:tab w:val="center" w:pos="4419"/>
              <w:tab w:val="right" w:pos="8838"/>
            </w:tabs>
            <w:spacing w:after="0" w:line="240" w:lineRule="auto"/>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Comisionado</w:t>
          </w:r>
          <w:r w:rsidRPr="0052275A">
            <w:rPr>
              <w:rFonts w:ascii="Palatino Linotype" w:eastAsia="Palatino Linotype" w:hAnsi="Palatino Linotype" w:cs="Palatino Linotype"/>
              <w:b/>
              <w:color w:val="000000"/>
              <w:sz w:val="20"/>
              <w:szCs w:val="20"/>
            </w:rPr>
            <w:t xml:space="preserve"> </w:t>
          </w:r>
          <w:r>
            <w:rPr>
              <w:rFonts w:ascii="Palatino Linotype" w:eastAsia="Palatino Linotype" w:hAnsi="Palatino Linotype" w:cs="Palatino Linotype"/>
              <w:b/>
              <w:color w:val="000000"/>
              <w:sz w:val="20"/>
              <w:szCs w:val="20"/>
            </w:rPr>
            <w:t>P</w:t>
          </w:r>
          <w:r w:rsidRPr="0052275A">
            <w:rPr>
              <w:rFonts w:ascii="Palatino Linotype" w:eastAsia="Palatino Linotype" w:hAnsi="Palatino Linotype" w:cs="Palatino Linotype"/>
              <w:b/>
              <w:color w:val="000000"/>
              <w:sz w:val="20"/>
              <w:szCs w:val="20"/>
            </w:rPr>
            <w:t>onente:</w:t>
          </w:r>
        </w:p>
      </w:tc>
      <w:tc>
        <w:tcPr>
          <w:tcW w:w="2835" w:type="dxa"/>
        </w:tcPr>
        <w:p w:rsidR="00FE7BA7" w:rsidRPr="0052275A" w:rsidRDefault="00FE7BA7" w:rsidP="00FE7BA7">
          <w:pPr>
            <w:pBdr>
              <w:top w:val="nil"/>
              <w:left w:val="nil"/>
              <w:bottom w:val="nil"/>
              <w:right w:val="nil"/>
              <w:between w:val="nil"/>
            </w:pBdr>
            <w:tabs>
              <w:tab w:val="center" w:pos="4419"/>
              <w:tab w:val="right" w:pos="8838"/>
            </w:tabs>
            <w:spacing w:after="0" w:line="240" w:lineRule="auto"/>
            <w:jc w:val="both"/>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José Martínez Vilchis</w:t>
          </w:r>
        </w:p>
      </w:tc>
    </w:tr>
  </w:tbl>
  <w:p w:rsidR="00FE7BA7" w:rsidRDefault="00FE7BA7">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BA7" w:rsidRDefault="00FE7BA7">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55FD8"/>
    <w:multiLevelType w:val="multilevel"/>
    <w:tmpl w:val="6F72CB3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0B642DC0"/>
    <w:multiLevelType w:val="multilevel"/>
    <w:tmpl w:val="A998D6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FD04000"/>
    <w:multiLevelType w:val="multilevel"/>
    <w:tmpl w:val="1C86B4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8F7946"/>
    <w:multiLevelType w:val="multilevel"/>
    <w:tmpl w:val="730AB2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DC647D"/>
    <w:multiLevelType w:val="hybridMultilevel"/>
    <w:tmpl w:val="C8C4A0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7C73CB8"/>
    <w:multiLevelType w:val="multilevel"/>
    <w:tmpl w:val="2B92FA62"/>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9DA51DE"/>
    <w:multiLevelType w:val="multilevel"/>
    <w:tmpl w:val="EAEE4B2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2D753089"/>
    <w:multiLevelType w:val="multilevel"/>
    <w:tmpl w:val="625AA71E"/>
    <w:lvl w:ilvl="0">
      <w:start w:val="1"/>
      <w:numFmt w:val="bullet"/>
      <w:lvlText w:val="●"/>
      <w:lvlJc w:val="left"/>
      <w:pPr>
        <w:ind w:left="771" w:hanging="360"/>
      </w:pPr>
      <w:rPr>
        <w:rFonts w:ascii="Noto Sans Symbols" w:eastAsia="Noto Sans Symbols" w:hAnsi="Noto Sans Symbols" w:cs="Noto Sans Symbols"/>
      </w:rPr>
    </w:lvl>
    <w:lvl w:ilvl="1">
      <w:start w:val="1"/>
      <w:numFmt w:val="lowerLetter"/>
      <w:lvlText w:val="%2."/>
      <w:lvlJc w:val="left"/>
      <w:pPr>
        <w:ind w:left="1491" w:hanging="360"/>
      </w:pPr>
    </w:lvl>
    <w:lvl w:ilvl="2">
      <w:start w:val="1"/>
      <w:numFmt w:val="lowerRoman"/>
      <w:lvlText w:val="%3."/>
      <w:lvlJc w:val="right"/>
      <w:pPr>
        <w:ind w:left="2211" w:hanging="180"/>
      </w:pPr>
    </w:lvl>
    <w:lvl w:ilvl="3">
      <w:start w:val="1"/>
      <w:numFmt w:val="decimal"/>
      <w:lvlText w:val="%4."/>
      <w:lvlJc w:val="left"/>
      <w:pPr>
        <w:ind w:left="2931" w:hanging="360"/>
      </w:pPr>
    </w:lvl>
    <w:lvl w:ilvl="4">
      <w:start w:val="1"/>
      <w:numFmt w:val="lowerLetter"/>
      <w:lvlText w:val="%5."/>
      <w:lvlJc w:val="left"/>
      <w:pPr>
        <w:ind w:left="3651" w:hanging="360"/>
      </w:pPr>
    </w:lvl>
    <w:lvl w:ilvl="5">
      <w:start w:val="1"/>
      <w:numFmt w:val="lowerRoman"/>
      <w:lvlText w:val="%6."/>
      <w:lvlJc w:val="right"/>
      <w:pPr>
        <w:ind w:left="4371" w:hanging="180"/>
      </w:pPr>
    </w:lvl>
    <w:lvl w:ilvl="6">
      <w:start w:val="1"/>
      <w:numFmt w:val="decimal"/>
      <w:lvlText w:val="%7."/>
      <w:lvlJc w:val="left"/>
      <w:pPr>
        <w:ind w:left="5091" w:hanging="360"/>
      </w:pPr>
    </w:lvl>
    <w:lvl w:ilvl="7">
      <w:start w:val="1"/>
      <w:numFmt w:val="lowerLetter"/>
      <w:lvlText w:val="%8."/>
      <w:lvlJc w:val="left"/>
      <w:pPr>
        <w:ind w:left="5811" w:hanging="360"/>
      </w:pPr>
    </w:lvl>
    <w:lvl w:ilvl="8">
      <w:start w:val="1"/>
      <w:numFmt w:val="lowerRoman"/>
      <w:lvlText w:val="%9."/>
      <w:lvlJc w:val="right"/>
      <w:pPr>
        <w:ind w:left="6531" w:hanging="180"/>
      </w:pPr>
    </w:lvl>
  </w:abstractNum>
  <w:abstractNum w:abstractNumId="8" w15:restartNumberingAfterBreak="0">
    <w:nsid w:val="32F7663B"/>
    <w:multiLevelType w:val="multilevel"/>
    <w:tmpl w:val="65DAE3F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41B61BD5"/>
    <w:multiLevelType w:val="multilevel"/>
    <w:tmpl w:val="C808971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43A43499"/>
    <w:multiLevelType w:val="multilevel"/>
    <w:tmpl w:val="328EB9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8157F9E"/>
    <w:multiLevelType w:val="multilevel"/>
    <w:tmpl w:val="44ACE81E"/>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05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EE15455"/>
    <w:multiLevelType w:val="multilevel"/>
    <w:tmpl w:val="2410FD4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15:restartNumberingAfterBreak="0">
    <w:nsid w:val="52344D22"/>
    <w:multiLevelType w:val="multilevel"/>
    <w:tmpl w:val="B6AC71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59875BB"/>
    <w:multiLevelType w:val="multilevel"/>
    <w:tmpl w:val="A426F22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FCE3F40"/>
    <w:multiLevelType w:val="multilevel"/>
    <w:tmpl w:val="78F4B8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0"/>
  </w:num>
  <w:num w:numId="3">
    <w:abstractNumId w:val="9"/>
  </w:num>
  <w:num w:numId="4">
    <w:abstractNumId w:val="14"/>
  </w:num>
  <w:num w:numId="5">
    <w:abstractNumId w:val="2"/>
  </w:num>
  <w:num w:numId="6">
    <w:abstractNumId w:val="13"/>
  </w:num>
  <w:num w:numId="7">
    <w:abstractNumId w:val="3"/>
  </w:num>
  <w:num w:numId="8">
    <w:abstractNumId w:val="7"/>
  </w:num>
  <w:num w:numId="9">
    <w:abstractNumId w:val="15"/>
  </w:num>
  <w:num w:numId="10">
    <w:abstractNumId w:val="1"/>
  </w:num>
  <w:num w:numId="11">
    <w:abstractNumId w:val="10"/>
  </w:num>
  <w:num w:numId="12">
    <w:abstractNumId w:val="12"/>
  </w:num>
  <w:num w:numId="13">
    <w:abstractNumId w:val="8"/>
  </w:num>
  <w:num w:numId="14">
    <w:abstractNumId w:val="6"/>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0BE"/>
    <w:rsid w:val="000F56BE"/>
    <w:rsid w:val="00130E5B"/>
    <w:rsid w:val="00281ED1"/>
    <w:rsid w:val="0030266E"/>
    <w:rsid w:val="00362F7A"/>
    <w:rsid w:val="0039656C"/>
    <w:rsid w:val="003C5CA2"/>
    <w:rsid w:val="0052275A"/>
    <w:rsid w:val="00580341"/>
    <w:rsid w:val="005954FE"/>
    <w:rsid w:val="00627888"/>
    <w:rsid w:val="007843E5"/>
    <w:rsid w:val="007D24B4"/>
    <w:rsid w:val="008261F5"/>
    <w:rsid w:val="00896E0F"/>
    <w:rsid w:val="008D685D"/>
    <w:rsid w:val="00936764"/>
    <w:rsid w:val="009E50CD"/>
    <w:rsid w:val="00A40123"/>
    <w:rsid w:val="00A75B60"/>
    <w:rsid w:val="00AD41D6"/>
    <w:rsid w:val="00B4336C"/>
    <w:rsid w:val="00B72A98"/>
    <w:rsid w:val="00CB04F1"/>
    <w:rsid w:val="00CE318C"/>
    <w:rsid w:val="00D470BE"/>
    <w:rsid w:val="00D61DF8"/>
    <w:rsid w:val="00E90325"/>
    <w:rsid w:val="00F64A01"/>
    <w:rsid w:val="00F8702B"/>
    <w:rsid w:val="00FD19CD"/>
    <w:rsid w:val="00FE7B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715172-B95B-4C88-9A48-1226CFA35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EF2C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2C28"/>
  </w:style>
  <w:style w:type="paragraph" w:styleId="Piedepgina">
    <w:name w:val="footer"/>
    <w:basedOn w:val="Normal"/>
    <w:link w:val="PiedepginaCar"/>
    <w:uiPriority w:val="99"/>
    <w:unhideWhenUsed/>
    <w:rsid w:val="00EF2C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2C28"/>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54F93"/>
    <w:pPr>
      <w:spacing w:after="0" w:line="240" w:lineRule="auto"/>
      <w:ind w:left="720"/>
      <w:contextualSpacing/>
    </w:pPr>
    <w:rPr>
      <w:rFonts w:ascii="Century Gothic" w:eastAsia="Times New Roman" w:hAnsi="Century Gothic" w:cs="Times New Roman"/>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C54F93"/>
    <w:rPr>
      <w:rFonts w:ascii="Century Gothic" w:eastAsia="Times New Roman" w:hAnsi="Century Gothic" w:cs="Times New Roman"/>
      <w:szCs w:val="24"/>
      <w:lang w:eastAsia="es-ES"/>
    </w:rPr>
  </w:style>
  <w:style w:type="character" w:styleId="Hipervnculo">
    <w:name w:val="Hyperlink"/>
    <w:basedOn w:val="Fuentedeprrafopredeter"/>
    <w:uiPriority w:val="99"/>
    <w:unhideWhenUsed/>
    <w:rsid w:val="00E27FA4"/>
    <w:rPr>
      <w:color w:val="0000FF" w:themeColor="hyperlink"/>
      <w:u w:val="single"/>
    </w:rPr>
  </w:style>
  <w:style w:type="table" w:styleId="Tablaconcuadrcula">
    <w:name w:val="Table Grid"/>
    <w:basedOn w:val="Tablanormal"/>
    <w:uiPriority w:val="59"/>
    <w:rsid w:val="00FA5AA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B75E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3rTxahV2X+yCz3eRVnrncR19YA==">CgMxLjAyCGguZ2pkZ3hzMg5oLmR1N2lvOXM2MnBiaTIJaC4xZm9iOXRlOAByITF1dG83VUhpVTNBamliQmowQ1E0WHdUcHZWaDNLYXRLWQ==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1200</Words>
  <Characters>6602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INFOEM406</cp:lastModifiedBy>
  <cp:revision>6</cp:revision>
  <cp:lastPrinted>2025-06-16T16:31:00Z</cp:lastPrinted>
  <dcterms:created xsi:type="dcterms:W3CDTF">2025-06-13T20:22:00Z</dcterms:created>
  <dcterms:modified xsi:type="dcterms:W3CDTF">2025-06-16T16:32:00Z</dcterms:modified>
</cp:coreProperties>
</file>