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3DBFC" w14:textId="77777777" w:rsidR="00CE592D" w:rsidRDefault="00CE592D" w:rsidP="00D01931">
      <w:pPr>
        <w:tabs>
          <w:tab w:val="left" w:pos="1843"/>
        </w:tabs>
        <w:spacing w:after="0" w:line="360" w:lineRule="auto"/>
        <w:jc w:val="both"/>
        <w:rPr>
          <w:rFonts w:ascii="Palatino Linotype" w:hAnsi="Palatino Linotype" w:cs="Tahoma"/>
          <w:b/>
        </w:rPr>
      </w:pPr>
    </w:p>
    <w:p w14:paraId="1043612D" w14:textId="6CCB39C3" w:rsidR="00D01931" w:rsidRDefault="009C2B61" w:rsidP="00D01931">
      <w:pPr>
        <w:tabs>
          <w:tab w:val="left" w:pos="1843"/>
        </w:tabs>
        <w:spacing w:after="0" w:line="360" w:lineRule="auto"/>
        <w:jc w:val="both"/>
        <w:rPr>
          <w:rFonts w:ascii="Palatino Linotype" w:hAnsi="Palatino Linotype" w:cs="Tahoma"/>
          <w:b/>
        </w:rPr>
      </w:pPr>
      <w:r w:rsidRPr="009C2B61">
        <w:rPr>
          <w:rFonts w:ascii="Palatino Linotype" w:hAnsi="Palatino Linotype" w:cs="Tahoma"/>
          <w:b/>
        </w:rPr>
        <w:t xml:space="preserve">VOTO </w:t>
      </w:r>
      <w:r w:rsidR="003C6765">
        <w:rPr>
          <w:rFonts w:ascii="Palatino Linotype" w:hAnsi="Palatino Linotype" w:cs="Tahoma"/>
          <w:b/>
        </w:rPr>
        <w:t>DISIDENTE</w:t>
      </w:r>
      <w:r w:rsidRPr="009C2B61">
        <w:rPr>
          <w:rFonts w:ascii="Palatino Linotype" w:hAnsi="Palatino Linotype" w:cs="Tahoma"/>
          <w:b/>
        </w:rPr>
        <w:t xml:space="preserve"> QUE FORMULA EL COMISIONADO LUIS GUSTAVO PARRA NORIEGA,</w:t>
      </w:r>
      <w:r w:rsidR="003F35C0" w:rsidRPr="005359CF">
        <w:rPr>
          <w:rFonts w:ascii="Palatino Linotype" w:hAnsi="Palatino Linotype" w:cs="Tahoma"/>
          <w:b/>
        </w:rPr>
        <w:t xml:space="preserve"> A LA RESOLUCIÓN DEL RECURSO DE REVISIÓN </w:t>
      </w:r>
      <w:r w:rsidR="00D01931">
        <w:rPr>
          <w:rFonts w:ascii="Palatino Linotype" w:eastAsia="Palatino Linotype" w:hAnsi="Palatino Linotype" w:cs="Palatino Linotype"/>
          <w:b/>
        </w:rPr>
        <w:t>0</w:t>
      </w:r>
      <w:r w:rsidR="00671961">
        <w:rPr>
          <w:rFonts w:ascii="Palatino Linotype" w:eastAsia="Palatino Linotype" w:hAnsi="Palatino Linotype" w:cs="Palatino Linotype"/>
          <w:b/>
        </w:rPr>
        <w:t>0</w:t>
      </w:r>
      <w:r w:rsidR="00620C46">
        <w:rPr>
          <w:rFonts w:ascii="Palatino Linotype" w:eastAsia="Palatino Linotype" w:hAnsi="Palatino Linotype" w:cs="Palatino Linotype"/>
          <w:b/>
        </w:rPr>
        <w:t>205</w:t>
      </w:r>
      <w:r w:rsidR="00D01931" w:rsidRPr="00274A5F">
        <w:rPr>
          <w:rFonts w:ascii="Palatino Linotype" w:eastAsia="Palatino Linotype" w:hAnsi="Palatino Linotype" w:cs="Palatino Linotype"/>
          <w:b/>
        </w:rPr>
        <w:t>/INFOEM/IP/RR/202</w:t>
      </w:r>
      <w:r w:rsidR="00671961">
        <w:rPr>
          <w:rFonts w:ascii="Palatino Linotype" w:eastAsia="Palatino Linotype" w:hAnsi="Palatino Linotype" w:cs="Palatino Linotype"/>
          <w:b/>
        </w:rPr>
        <w:t>5 Y ACUMULADOS</w:t>
      </w:r>
      <w:r w:rsidR="00D01931" w:rsidRPr="00274A5F">
        <w:rPr>
          <w:rFonts w:ascii="Palatino Linotype" w:hAnsi="Palatino Linotype"/>
          <w:b/>
          <w:lang w:val="es-MX"/>
        </w:rPr>
        <w:t>,</w:t>
      </w:r>
      <w:r w:rsidR="00D01931" w:rsidRPr="00274A5F">
        <w:rPr>
          <w:rFonts w:ascii="Palatino Linotype" w:hAnsi="Palatino Linotype" w:cs="Tahoma"/>
          <w:b/>
        </w:rPr>
        <w:t xml:space="preserve"> PROMOVIDO EN CONTRA D</w:t>
      </w:r>
      <w:r w:rsidR="00671961">
        <w:rPr>
          <w:rFonts w:ascii="Palatino Linotype" w:hAnsi="Palatino Linotype" w:cs="Tahoma"/>
          <w:b/>
        </w:rPr>
        <w:t>E LA SECRETARÍA DE FINANZAS</w:t>
      </w:r>
    </w:p>
    <w:p w14:paraId="03F3B499" w14:textId="77777777" w:rsidR="00D01931" w:rsidRPr="00274A5F" w:rsidRDefault="00D01931" w:rsidP="00D01931">
      <w:pPr>
        <w:tabs>
          <w:tab w:val="left" w:pos="1843"/>
        </w:tabs>
        <w:spacing w:after="0" w:line="36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14:paraId="6D680023" w14:textId="3E9635E1" w:rsidR="003C6765" w:rsidRPr="005F65A5" w:rsidRDefault="003C6765" w:rsidP="003C6765">
      <w:pPr>
        <w:spacing w:after="0" w:line="360" w:lineRule="auto"/>
        <w:ind w:right="49"/>
        <w:jc w:val="both"/>
        <w:rPr>
          <w:rFonts w:ascii="Palatino Linotype" w:hAnsi="Palatino Linotype" w:cs="Tahoma"/>
          <w:b/>
        </w:rPr>
      </w:pPr>
      <w:r w:rsidRPr="005F65A5">
        <w:rPr>
          <w:rFonts w:ascii="Palatino Linotype" w:hAnsi="Palatino Linotype" w:cs="Tahoma"/>
        </w:rPr>
        <w:t>En términos de lo dispuesto por los artículos 189, párrafo primero, de la Ley de Transparencia y Acceso a la Información Pública del Estado de México y Municipios; 14, fracción XI, del Reglamento Interior del Instituto de Transparencia, Acceso a la Información Pública y Protección de Datos Personales del Estado de México y Municipios;</w:t>
      </w:r>
      <w:r w:rsidR="00E74753">
        <w:rPr>
          <w:rFonts w:ascii="Palatino Linotype" w:hAnsi="Palatino Linotype" w:cs="Tahoma"/>
        </w:rPr>
        <w:t xml:space="preserve"> y 2º, fracción XX,</w:t>
      </w:r>
      <w:r w:rsidRPr="005F65A5">
        <w:rPr>
          <w:rFonts w:ascii="Palatino Linotype" w:hAnsi="Palatino Linotype" w:cs="Tahoma"/>
        </w:rPr>
        <w:t xml:space="preserve"> 45, 48, fracción I</w:t>
      </w:r>
      <w:r w:rsidR="00E74753">
        <w:rPr>
          <w:rFonts w:ascii="Palatino Linotype" w:hAnsi="Palatino Linotype" w:cs="Tahoma"/>
        </w:rPr>
        <w:t>I</w:t>
      </w:r>
      <w:r w:rsidRPr="005F65A5">
        <w:rPr>
          <w:rFonts w:ascii="Palatino Linotype" w:hAnsi="Palatino Linotype" w:cs="Tahoma"/>
        </w:rPr>
        <w:t xml:space="preserve">, de los Lineamientos para el funcionamiento del Pleno y las Comisiones del Instituto de Transparencia, Acceso a la Información Pública y Protección de Datos Personales del Estado de México y Municipios, emito el presente </w:t>
      </w:r>
      <w:r w:rsidRPr="005F65A5">
        <w:rPr>
          <w:rFonts w:ascii="Palatino Linotype" w:hAnsi="Palatino Linotype" w:cs="Tahoma"/>
          <w:b/>
        </w:rPr>
        <w:t>Voto Disidente</w:t>
      </w:r>
      <w:r w:rsidRPr="005F65A5">
        <w:rPr>
          <w:rFonts w:ascii="Palatino Linotype" w:hAnsi="Palatino Linotype" w:cs="Tahoma"/>
        </w:rPr>
        <w:t xml:space="preserve"> por no compartir las consideraciones que sustentan la Resolución del Recurso de Revisión </w:t>
      </w:r>
      <w:r w:rsidRPr="005F65A5">
        <w:rPr>
          <w:rFonts w:ascii="Palatino Linotype" w:hAnsi="Palatino Linotype" w:cs="Arial"/>
          <w:b/>
          <w:lang w:val="es-MX"/>
        </w:rPr>
        <w:t>0</w:t>
      </w:r>
      <w:r w:rsidR="00671961">
        <w:rPr>
          <w:rFonts w:ascii="Palatino Linotype" w:hAnsi="Palatino Linotype" w:cs="Arial"/>
          <w:b/>
          <w:lang w:val="es-MX"/>
        </w:rPr>
        <w:t>0</w:t>
      </w:r>
      <w:r w:rsidR="00620C46">
        <w:rPr>
          <w:rFonts w:ascii="Palatino Linotype" w:hAnsi="Palatino Linotype" w:cs="Arial"/>
          <w:b/>
          <w:lang w:val="es-MX"/>
        </w:rPr>
        <w:t>205</w:t>
      </w:r>
      <w:r w:rsidRPr="005F65A5">
        <w:rPr>
          <w:rFonts w:ascii="Palatino Linotype" w:hAnsi="Palatino Linotype" w:cs="Arial"/>
          <w:b/>
          <w:lang w:val="es-MX"/>
        </w:rPr>
        <w:t>/INFOEM/IP/RR/202</w:t>
      </w:r>
      <w:r w:rsidR="00671961">
        <w:rPr>
          <w:rFonts w:ascii="Palatino Linotype" w:hAnsi="Palatino Linotype" w:cs="Arial"/>
          <w:b/>
          <w:lang w:val="es-MX"/>
        </w:rPr>
        <w:t>5 y acumulados</w:t>
      </w:r>
      <w:r w:rsidRPr="005F65A5">
        <w:rPr>
          <w:rFonts w:ascii="Palatino Linotype" w:hAnsi="Palatino Linotype" w:cs="Tahoma"/>
          <w:b/>
          <w:lang w:val="es-ES_tradnl"/>
        </w:rPr>
        <w:t>.</w:t>
      </w:r>
    </w:p>
    <w:p w14:paraId="20E3E2DE" w14:textId="77777777" w:rsidR="003F35C0" w:rsidRPr="005359CF" w:rsidRDefault="003F35C0" w:rsidP="003F35C0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4F270848" w14:textId="1672B264" w:rsidR="00D24E78" w:rsidRDefault="008973FD" w:rsidP="00DC0DE7">
      <w:pPr>
        <w:spacing w:after="0" w:line="360" w:lineRule="auto"/>
        <w:jc w:val="both"/>
        <w:rPr>
          <w:rFonts w:ascii="Palatino Linotype" w:hAnsi="Palatino Linotype" w:cs="Tahoma"/>
          <w:lang w:val="es-MX"/>
        </w:rPr>
      </w:pPr>
      <w:r w:rsidRPr="008973FD">
        <w:rPr>
          <w:rFonts w:ascii="Palatino Linotype" w:hAnsi="Palatino Linotype" w:cs="Tahoma"/>
        </w:rPr>
        <w:t xml:space="preserve">Como se desprende de la Resolución que nos ocupa, </w:t>
      </w:r>
      <w:r w:rsidR="00CE592D">
        <w:rPr>
          <w:rFonts w:ascii="Palatino Linotype" w:hAnsi="Palatino Linotype" w:cs="Tahoma"/>
        </w:rPr>
        <w:t>vía el SAIMEX que es la plataforma para acceder a información pública,</w:t>
      </w:r>
      <w:r w:rsidR="00CE7E2B" w:rsidRPr="00CE7E2B">
        <w:rPr>
          <w:rFonts w:ascii="Palatino Linotype" w:hAnsi="Palatino Linotype" w:cs="Tahoma"/>
          <w:lang w:val="es-MX"/>
        </w:rPr>
        <w:t xml:space="preserve"> </w:t>
      </w:r>
      <w:r w:rsidR="00CE592D">
        <w:rPr>
          <w:rFonts w:ascii="Palatino Linotype" w:hAnsi="Palatino Linotype" w:cs="Tahoma"/>
        </w:rPr>
        <w:t>un</w:t>
      </w:r>
      <w:r w:rsidR="00CE592D" w:rsidRPr="008973FD">
        <w:rPr>
          <w:rFonts w:ascii="Palatino Linotype" w:hAnsi="Palatino Linotype" w:cs="Tahoma"/>
        </w:rPr>
        <w:t xml:space="preserve"> </w:t>
      </w:r>
      <w:r w:rsidR="00CE592D">
        <w:rPr>
          <w:rFonts w:ascii="Palatino Linotype" w:hAnsi="Palatino Linotype" w:cs="Tahoma"/>
        </w:rPr>
        <w:t xml:space="preserve">Particular solicitó </w:t>
      </w:r>
      <w:r w:rsidR="00CE7E2B" w:rsidRPr="00CE7E2B">
        <w:rPr>
          <w:rFonts w:ascii="Palatino Linotype" w:hAnsi="Palatino Linotype" w:cs="Tahoma"/>
          <w:lang w:val="es-MX"/>
        </w:rPr>
        <w:t xml:space="preserve">información a través de un Usuario, registrado con el nombre de </w:t>
      </w:r>
      <w:r w:rsidR="00D24E78">
        <w:rPr>
          <w:rFonts w:ascii="Palatino Linotype" w:hAnsi="Palatino Linotype" w:cs="Tahoma"/>
          <w:u w:val="single"/>
          <w:lang w:val="es-MX"/>
        </w:rPr>
        <w:t>una persona del sexo masculino de la que proporcionó nombre y apellidos</w:t>
      </w:r>
      <w:r w:rsidR="00CE7E2B" w:rsidRPr="00CE7E2B">
        <w:rPr>
          <w:rFonts w:ascii="Palatino Linotype" w:hAnsi="Palatino Linotype" w:cs="Tahoma"/>
          <w:u w:val="single"/>
          <w:lang w:val="es-MX"/>
        </w:rPr>
        <w:t>,</w:t>
      </w:r>
      <w:r w:rsidR="00CE7E2B" w:rsidRPr="00D24E78">
        <w:rPr>
          <w:rFonts w:ascii="Palatino Linotype" w:hAnsi="Palatino Linotype" w:cs="Tahoma"/>
          <w:lang w:val="es-MX"/>
        </w:rPr>
        <w:t xml:space="preserve"> </w:t>
      </w:r>
      <w:r w:rsidR="00CE7E2B" w:rsidRPr="00CE7E2B">
        <w:rPr>
          <w:rFonts w:ascii="Palatino Linotype" w:hAnsi="Palatino Linotype" w:cs="Tahoma"/>
          <w:lang w:val="es-MX"/>
        </w:rPr>
        <w:t xml:space="preserve">información </w:t>
      </w:r>
      <w:r w:rsidR="00D24E78">
        <w:rPr>
          <w:rFonts w:ascii="Palatino Linotype" w:hAnsi="Palatino Linotype" w:cs="Tahoma"/>
          <w:lang w:val="es-MX"/>
        </w:rPr>
        <w:t>solicitada correspondió datos personales de hombres y mujeres presuntamente servidores público</w:t>
      </w:r>
      <w:r w:rsidR="00CE592D">
        <w:rPr>
          <w:rFonts w:ascii="Palatino Linotype" w:hAnsi="Palatino Linotype" w:cs="Tahoma"/>
          <w:lang w:val="es-MX"/>
        </w:rPr>
        <w:t>s adscritos al Poder Ejecutivo estatal</w:t>
      </w:r>
      <w:r w:rsidR="00CE7E2B" w:rsidRPr="00CE7E2B">
        <w:rPr>
          <w:rFonts w:ascii="Palatino Linotype" w:hAnsi="Palatino Linotype" w:cs="Tahoma"/>
          <w:iCs/>
          <w:lang w:val="es-MX"/>
        </w:rPr>
        <w:t xml:space="preserve">, </w:t>
      </w:r>
      <w:r w:rsidR="00D24E78">
        <w:rPr>
          <w:rFonts w:ascii="Palatino Linotype" w:hAnsi="Palatino Linotype" w:cs="Tahoma"/>
          <w:iCs/>
          <w:lang w:val="es-MX"/>
        </w:rPr>
        <w:t xml:space="preserve">destaca que, desde mi perspectiva corresponde a solicitudes de acceso a datos  personales, ya que la solicitud contiene </w:t>
      </w:r>
      <w:r w:rsidR="00CE7E2B" w:rsidRPr="00CE7E2B">
        <w:rPr>
          <w:rFonts w:ascii="Palatino Linotype" w:hAnsi="Palatino Linotype" w:cs="Tahoma"/>
          <w:lang w:val="es-MX"/>
        </w:rPr>
        <w:t xml:space="preserve">la afirmación de que </w:t>
      </w:r>
      <w:r w:rsidR="00D24E78">
        <w:rPr>
          <w:rFonts w:ascii="Palatino Linotype" w:hAnsi="Palatino Linotype" w:cs="Tahoma"/>
          <w:lang w:val="es-MX"/>
        </w:rPr>
        <w:t>se</w:t>
      </w:r>
      <w:r w:rsidR="00CE7E2B" w:rsidRPr="00CE7E2B">
        <w:rPr>
          <w:rFonts w:ascii="Palatino Linotype" w:hAnsi="Palatino Linotype" w:cs="Tahoma"/>
          <w:lang w:val="es-MX"/>
        </w:rPr>
        <w:t xml:space="preserve"> actúa a nombre propio, </w:t>
      </w:r>
      <w:r w:rsidR="00D24E78">
        <w:rPr>
          <w:rFonts w:ascii="Palatino Linotype" w:hAnsi="Palatino Linotype" w:cs="Tahoma"/>
          <w:lang w:val="es-MX"/>
        </w:rPr>
        <w:t xml:space="preserve">no obstante que no hay identidad entre el solicitante y la persona registrada en el SAIMEX. </w:t>
      </w:r>
      <w:r w:rsidR="000756D9">
        <w:rPr>
          <w:rFonts w:ascii="Palatino Linotype" w:hAnsi="Palatino Linotype" w:cs="Tahoma"/>
          <w:lang w:val="es-MX"/>
        </w:rPr>
        <w:t>Además,</w:t>
      </w:r>
      <w:r w:rsidR="00D24E78">
        <w:rPr>
          <w:rFonts w:ascii="Palatino Linotype" w:hAnsi="Palatino Linotype" w:cs="Tahoma"/>
          <w:lang w:val="es-MX"/>
        </w:rPr>
        <w:t xml:space="preserve"> no</w:t>
      </w:r>
      <w:r w:rsidR="00CE7E2B" w:rsidRPr="00CE7E2B">
        <w:rPr>
          <w:rFonts w:ascii="Palatino Linotype" w:hAnsi="Palatino Linotype" w:cs="Tahoma"/>
          <w:lang w:val="es-MX"/>
        </w:rPr>
        <w:t xml:space="preserve"> </w:t>
      </w:r>
      <w:r w:rsidR="00D24E78">
        <w:rPr>
          <w:rFonts w:ascii="Palatino Linotype" w:hAnsi="Palatino Linotype" w:cs="Tahoma"/>
          <w:lang w:val="es-MX"/>
        </w:rPr>
        <w:t xml:space="preserve">se </w:t>
      </w:r>
      <w:r w:rsidR="00CE7E2B" w:rsidRPr="00CE7E2B">
        <w:rPr>
          <w:rFonts w:ascii="Palatino Linotype" w:hAnsi="Palatino Linotype" w:cs="Tahoma"/>
          <w:lang w:val="es-MX"/>
        </w:rPr>
        <w:t>aport</w:t>
      </w:r>
      <w:r w:rsidR="00D24E78">
        <w:rPr>
          <w:rFonts w:ascii="Palatino Linotype" w:hAnsi="Palatino Linotype" w:cs="Tahoma"/>
          <w:lang w:val="es-MX"/>
        </w:rPr>
        <w:t>ó</w:t>
      </w:r>
      <w:r w:rsidR="00CE7E2B" w:rsidRPr="00CE7E2B">
        <w:rPr>
          <w:rFonts w:ascii="Palatino Linotype" w:hAnsi="Palatino Linotype" w:cs="Tahoma"/>
          <w:lang w:val="es-MX"/>
        </w:rPr>
        <w:t xml:space="preserve"> identificación oficial del titular de los datos personales ni tampoco documento para acreditar la representación</w:t>
      </w:r>
      <w:r w:rsidR="00D24E78">
        <w:rPr>
          <w:rFonts w:ascii="Palatino Linotype" w:hAnsi="Palatino Linotype" w:cs="Tahoma"/>
          <w:lang w:val="es-MX"/>
        </w:rPr>
        <w:t xml:space="preserve"> del titular de la cuenta del sistema en comento.</w:t>
      </w:r>
    </w:p>
    <w:p w14:paraId="29DA4D8E" w14:textId="77777777" w:rsidR="00D24E78" w:rsidRDefault="00D24E78" w:rsidP="00DC0DE7">
      <w:pPr>
        <w:spacing w:after="0" w:line="360" w:lineRule="auto"/>
        <w:jc w:val="both"/>
        <w:rPr>
          <w:rFonts w:ascii="Palatino Linotype" w:hAnsi="Palatino Linotype" w:cs="Tahoma"/>
          <w:lang w:val="es-MX"/>
        </w:rPr>
      </w:pPr>
    </w:p>
    <w:p w14:paraId="395E89AE" w14:textId="7F610897" w:rsidR="00DC0DE7" w:rsidRDefault="00D24E78" w:rsidP="00DC0DE7">
      <w:pPr>
        <w:spacing w:after="0" w:line="360" w:lineRule="auto"/>
        <w:jc w:val="both"/>
        <w:rPr>
          <w:rFonts w:ascii="Palatino Linotype" w:hAnsi="Palatino Linotype" w:cs="Tahoma"/>
          <w:lang w:val="es-MX"/>
        </w:rPr>
      </w:pPr>
      <w:r>
        <w:rPr>
          <w:rFonts w:ascii="Palatino Linotype" w:hAnsi="Palatino Linotype" w:cs="Tahoma"/>
          <w:lang w:val="es-MX"/>
        </w:rPr>
        <w:t>E</w:t>
      </w:r>
      <w:r w:rsidR="00DC0DE7">
        <w:rPr>
          <w:rFonts w:ascii="Palatino Linotype" w:hAnsi="Palatino Linotype" w:cs="Tahoma"/>
          <w:lang w:val="es-MX"/>
        </w:rPr>
        <w:t xml:space="preserve">n respuesta, el Sujeto Obligado </w:t>
      </w:r>
      <w:r w:rsidR="00DC0DE7" w:rsidRPr="00DC0DE7">
        <w:rPr>
          <w:rFonts w:ascii="Palatino Linotype" w:hAnsi="Palatino Linotype" w:cs="Tahoma"/>
          <w:lang w:val="es-MX"/>
        </w:rPr>
        <w:t xml:space="preserve">se declaró incompetente y orientó a requerir </w:t>
      </w:r>
      <w:r>
        <w:rPr>
          <w:rFonts w:ascii="Palatino Linotype" w:hAnsi="Palatino Linotype" w:cs="Tahoma"/>
          <w:lang w:val="es-MX"/>
        </w:rPr>
        <w:t>la información relacionada con las distintas personas</w:t>
      </w:r>
      <w:r w:rsidR="00DC0DE7" w:rsidRPr="00DC0DE7">
        <w:rPr>
          <w:rFonts w:ascii="Palatino Linotype" w:hAnsi="Palatino Linotype" w:cs="Tahoma"/>
          <w:lang w:val="es-MX"/>
        </w:rPr>
        <w:t xml:space="preserve"> a la Oficialía Mayor</w:t>
      </w:r>
      <w:r w:rsidR="00DC0DE7">
        <w:rPr>
          <w:rFonts w:ascii="Palatino Linotype" w:hAnsi="Palatino Linotype" w:cs="Tahoma"/>
          <w:lang w:val="es-MX"/>
        </w:rPr>
        <w:t xml:space="preserve"> o al Colegio de Bachilleres del Estado de México</w:t>
      </w:r>
      <w:r w:rsidR="00CB0CBF">
        <w:rPr>
          <w:rFonts w:ascii="Palatino Linotype" w:hAnsi="Palatino Linotype" w:cs="Tahoma"/>
          <w:lang w:val="es-MX"/>
        </w:rPr>
        <w:t xml:space="preserve">, en ese sentido, la Ponencia Resolutora </w:t>
      </w:r>
      <w:r w:rsidR="00E25C52">
        <w:rPr>
          <w:rFonts w:ascii="Palatino Linotype" w:hAnsi="Palatino Linotype" w:cs="Tahoma"/>
          <w:lang w:val="es-MX"/>
        </w:rPr>
        <w:t>decidió confirmar la incompetencia</w:t>
      </w:r>
      <w:r>
        <w:rPr>
          <w:rFonts w:ascii="Palatino Linotype" w:hAnsi="Palatino Linotype" w:cs="Tahoma"/>
          <w:lang w:val="es-MX"/>
        </w:rPr>
        <w:t>, sin analizar de manera previa los requisitos de admisibilidad de los distintos recursos de revisión.</w:t>
      </w:r>
    </w:p>
    <w:p w14:paraId="40296B38" w14:textId="77777777" w:rsidR="00484AE9" w:rsidRDefault="00484AE9" w:rsidP="00DC0DE7">
      <w:pPr>
        <w:spacing w:after="0" w:line="360" w:lineRule="auto"/>
        <w:jc w:val="both"/>
        <w:rPr>
          <w:rFonts w:ascii="Palatino Linotype" w:hAnsi="Palatino Linotype" w:cs="Tahoma"/>
          <w:lang w:val="es-MX"/>
        </w:rPr>
      </w:pPr>
    </w:p>
    <w:p w14:paraId="0F3C3AE7" w14:textId="74D88BF8" w:rsidR="00480B66" w:rsidRDefault="00480B66" w:rsidP="00EC13FD">
      <w:pPr>
        <w:spacing w:after="0" w:line="36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Es por tal motivo que</w:t>
      </w:r>
      <w:r w:rsidR="00484AE9" w:rsidRPr="00930785">
        <w:rPr>
          <w:rFonts w:ascii="Palatino Linotype" w:hAnsi="Palatino Linotype" w:cs="Arial"/>
        </w:rPr>
        <w:t>, disiento de la resolución, en virtud de que,</w:t>
      </w:r>
      <w:r w:rsidR="00484AE9">
        <w:rPr>
          <w:rFonts w:ascii="Palatino Linotype" w:hAnsi="Palatino Linotype" w:cs="Arial"/>
        </w:rPr>
        <w:t xml:space="preserve"> no comparto </w:t>
      </w:r>
      <w:r w:rsidR="00462CAB">
        <w:rPr>
          <w:rFonts w:ascii="Palatino Linotype" w:hAnsi="Palatino Linotype" w:cs="Arial"/>
        </w:rPr>
        <w:t>la acumulación</w:t>
      </w:r>
      <w:r w:rsidR="00226239">
        <w:rPr>
          <w:rFonts w:ascii="Palatino Linotype" w:hAnsi="Palatino Linotype" w:cs="Arial"/>
        </w:rPr>
        <w:t xml:space="preserve"> ni </w:t>
      </w:r>
      <w:r w:rsidR="00462CAB">
        <w:rPr>
          <w:rFonts w:ascii="Palatino Linotype" w:hAnsi="Palatino Linotype" w:cs="Arial"/>
        </w:rPr>
        <w:t>el estudio</w:t>
      </w:r>
      <w:r>
        <w:rPr>
          <w:rFonts w:ascii="Palatino Linotype" w:hAnsi="Palatino Linotype" w:cs="Arial"/>
        </w:rPr>
        <w:t>, de conformidad con lo siguiente:</w:t>
      </w:r>
    </w:p>
    <w:p w14:paraId="32DE5D57" w14:textId="77777777" w:rsidR="00480B66" w:rsidRDefault="00480B66" w:rsidP="00EC13FD">
      <w:pPr>
        <w:spacing w:after="0" w:line="360" w:lineRule="auto"/>
        <w:jc w:val="both"/>
        <w:rPr>
          <w:rFonts w:ascii="Palatino Linotype" w:hAnsi="Palatino Linotype" w:cs="Arial"/>
        </w:rPr>
      </w:pPr>
    </w:p>
    <w:p w14:paraId="5CBD9B87" w14:textId="433CDC7F" w:rsidR="00480B66" w:rsidRDefault="00480B66" w:rsidP="00480B66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Palatino Linotype" w:hAnsi="Palatino Linotype" w:cs="Arial"/>
        </w:rPr>
      </w:pPr>
      <w:r w:rsidRPr="00480B66">
        <w:rPr>
          <w:rFonts w:ascii="Palatino Linotype" w:hAnsi="Palatino Linotype" w:cs="Arial"/>
        </w:rPr>
        <w:t>L</w:t>
      </w:r>
      <w:r w:rsidR="005E2DB0" w:rsidRPr="00480B66">
        <w:rPr>
          <w:rFonts w:ascii="Palatino Linotype" w:hAnsi="Palatino Linotype" w:cs="Arial"/>
        </w:rPr>
        <w:t>as solicitudes de información si bien fueron ingresadas a través de SAIMEX, no constituyen un derecho de acceso a la información pública, sino, de acceso a datos personales</w:t>
      </w:r>
      <w:r w:rsidR="00EC13FD" w:rsidRPr="00480B66">
        <w:rPr>
          <w:rFonts w:ascii="Palatino Linotype" w:hAnsi="Palatino Linotype" w:cs="Arial"/>
        </w:rPr>
        <w:t xml:space="preserve">, </w:t>
      </w:r>
      <w:r w:rsidRPr="00480B66">
        <w:rPr>
          <w:rFonts w:ascii="Palatino Linotype" w:hAnsi="Palatino Linotype" w:cs="Arial"/>
        </w:rPr>
        <w:t xml:space="preserve">ya que se requiere información sobre ingresos y deducciones de servidores públicos y en las deducciones existen deducciones de carácter personal, por lo </w:t>
      </w:r>
      <w:r w:rsidR="00620C46" w:rsidRPr="00480B66">
        <w:rPr>
          <w:rFonts w:ascii="Palatino Linotype" w:hAnsi="Palatino Linotype" w:cs="Arial"/>
        </w:rPr>
        <w:t>tanto,</w:t>
      </w:r>
      <w:r w:rsidRPr="00480B66">
        <w:rPr>
          <w:rFonts w:ascii="Palatino Linotype" w:hAnsi="Palatino Linotype" w:cs="Arial"/>
        </w:rPr>
        <w:t xml:space="preserve"> corresponden a información confidencial, que no puede ser proporcionada en una solicitud de acceso a la información pública. </w:t>
      </w:r>
    </w:p>
    <w:p w14:paraId="7B17B501" w14:textId="55F79FDD" w:rsidR="00480B66" w:rsidRDefault="00480B66" w:rsidP="00480B66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Al solicitarse información que incluye datos personales confidenciales, se debió reconducir la vía y dar un tratamiento de acceso a datos personales, más aún cuando la redacción de la </w:t>
      </w:r>
      <w:r w:rsidR="00620C46">
        <w:rPr>
          <w:rFonts w:ascii="Palatino Linotype" w:hAnsi="Palatino Linotype" w:cs="Arial"/>
        </w:rPr>
        <w:t>solicitud</w:t>
      </w:r>
      <w:r>
        <w:rPr>
          <w:rFonts w:ascii="Palatino Linotype" w:hAnsi="Palatino Linotype" w:cs="Arial"/>
        </w:rPr>
        <w:t xml:space="preserve"> indicaba que se actuaba a título personal.</w:t>
      </w:r>
    </w:p>
    <w:p w14:paraId="1B05D962" w14:textId="52F1101D" w:rsidR="00480B66" w:rsidRDefault="00480B66" w:rsidP="00480B66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Al no existir identidad entre el usuario del SAIMEX y el solicitante, se debió prever la posibilidad de que el titular de la cuenta actuara como representante de todas las personas que a través de su registro presentaron solicitudes de acceso a datos personales.</w:t>
      </w:r>
    </w:p>
    <w:p w14:paraId="05159779" w14:textId="41542957" w:rsidR="00480B66" w:rsidRDefault="00480B66" w:rsidP="00480B66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En consecuencia, previo a la admisión procedía realizar una prevención para que el titular de los datos personales acreditara su identidad y el titular de la cuenta acreditara ser el representante de todos los solicitantes.</w:t>
      </w:r>
    </w:p>
    <w:p w14:paraId="4C51D476" w14:textId="6B0221CB" w:rsidR="00480B66" w:rsidRDefault="00480B66" w:rsidP="00480B66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lastRenderedPageBreak/>
        <w:t>De no acreditarse la identidad y la representación, procedía desechar los recursos por improcedentes.</w:t>
      </w:r>
    </w:p>
    <w:p w14:paraId="1F5B5821" w14:textId="7BF6B96C" w:rsidR="00480B66" w:rsidRPr="00480B66" w:rsidRDefault="00480B66" w:rsidP="00480B66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De acreditarse la identidad y la representación, ya era procedente admitir y resolver de fondo cada uno de los recursos por separado, sin acumulación, </w:t>
      </w:r>
      <w:r w:rsidR="000756D9">
        <w:rPr>
          <w:rFonts w:ascii="Palatino Linotype" w:hAnsi="Palatino Linotype" w:cs="Arial"/>
        </w:rPr>
        <w:t>ya que,</w:t>
      </w:r>
      <w:r>
        <w:rPr>
          <w:rFonts w:ascii="Palatino Linotype" w:hAnsi="Palatino Linotype" w:cs="Arial"/>
        </w:rPr>
        <w:t xml:space="preserve"> al analizarse de manera acumulada, se dejan expuestos entre los propios solicitantes los datos personales confidenciales.</w:t>
      </w:r>
    </w:p>
    <w:p w14:paraId="539AA2B1" w14:textId="77777777" w:rsidR="00480B66" w:rsidRDefault="00480B66" w:rsidP="00EC13FD">
      <w:pPr>
        <w:spacing w:after="0" w:line="360" w:lineRule="auto"/>
        <w:jc w:val="both"/>
        <w:rPr>
          <w:rFonts w:ascii="Palatino Linotype" w:hAnsi="Palatino Linotype" w:cs="Arial"/>
        </w:rPr>
      </w:pPr>
    </w:p>
    <w:p w14:paraId="4192FEB5" w14:textId="10980805" w:rsidR="00EC13FD" w:rsidRDefault="00480B66" w:rsidP="00EC13FD">
      <w:pPr>
        <w:spacing w:after="0" w:line="36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  <w:lang w:val="es-MX"/>
        </w:rPr>
        <w:t xml:space="preserve">Lo anterior, </w:t>
      </w:r>
      <w:r w:rsidR="00E968C4">
        <w:rPr>
          <w:rFonts w:ascii="Palatino Linotype" w:hAnsi="Palatino Linotype" w:cs="Arial"/>
          <w:lang w:val="es-MX"/>
        </w:rPr>
        <w:t>en términos de</w:t>
      </w:r>
      <w:r w:rsidR="006150EE">
        <w:rPr>
          <w:rFonts w:ascii="Palatino Linotype" w:hAnsi="Palatino Linotype" w:cs="Arial"/>
          <w:lang w:val="es-MX"/>
        </w:rPr>
        <w:t xml:space="preserve"> los artículo</w:t>
      </w:r>
      <w:r w:rsidR="00620C46">
        <w:rPr>
          <w:rFonts w:ascii="Palatino Linotype" w:hAnsi="Palatino Linotype" w:cs="Arial"/>
          <w:lang w:val="es-MX"/>
        </w:rPr>
        <w:t>s</w:t>
      </w:r>
      <w:r w:rsidR="006150EE">
        <w:rPr>
          <w:rFonts w:ascii="Palatino Linotype" w:hAnsi="Palatino Linotype" w:cs="Arial"/>
          <w:lang w:val="es-MX"/>
        </w:rPr>
        <w:t xml:space="preserve"> </w:t>
      </w:r>
      <w:r w:rsidR="00E968C4">
        <w:rPr>
          <w:rFonts w:ascii="Palatino Linotype" w:hAnsi="Palatino Linotype" w:cs="Arial"/>
          <w:lang w:val="es-MX"/>
        </w:rPr>
        <w:t>110</w:t>
      </w:r>
      <w:r w:rsidR="006150EE">
        <w:rPr>
          <w:rFonts w:ascii="Palatino Linotype" w:hAnsi="Palatino Linotype" w:cs="Arial"/>
          <w:lang w:val="es-MX"/>
        </w:rPr>
        <w:t>, 111 y 117</w:t>
      </w:r>
      <w:r w:rsidR="00E968C4">
        <w:rPr>
          <w:rFonts w:ascii="Palatino Linotype" w:hAnsi="Palatino Linotype" w:cs="Arial"/>
          <w:lang w:val="es-MX"/>
        </w:rPr>
        <w:t xml:space="preserve"> de la </w:t>
      </w:r>
      <w:r w:rsidR="00E968C4" w:rsidRPr="00E968C4">
        <w:rPr>
          <w:rFonts w:ascii="Palatino Linotype" w:hAnsi="Palatino Linotype" w:cs="Arial"/>
        </w:rPr>
        <w:t xml:space="preserve">Ley </w:t>
      </w:r>
      <w:r w:rsidR="00E968C4">
        <w:rPr>
          <w:rFonts w:ascii="Palatino Linotype" w:hAnsi="Palatino Linotype" w:cs="Arial"/>
        </w:rPr>
        <w:t>d</w:t>
      </w:r>
      <w:r w:rsidR="00E968C4" w:rsidRPr="00E968C4">
        <w:rPr>
          <w:rFonts w:ascii="Palatino Linotype" w:hAnsi="Palatino Linotype" w:cs="Arial"/>
        </w:rPr>
        <w:t xml:space="preserve">e Protección </w:t>
      </w:r>
      <w:r w:rsidR="00E968C4">
        <w:rPr>
          <w:rFonts w:ascii="Palatino Linotype" w:hAnsi="Palatino Linotype" w:cs="Arial"/>
        </w:rPr>
        <w:t>d</w:t>
      </w:r>
      <w:r w:rsidR="00E968C4" w:rsidRPr="00E968C4">
        <w:rPr>
          <w:rFonts w:ascii="Palatino Linotype" w:hAnsi="Palatino Linotype" w:cs="Arial"/>
        </w:rPr>
        <w:t xml:space="preserve">e Datos Personales </w:t>
      </w:r>
      <w:r w:rsidR="00E968C4">
        <w:rPr>
          <w:rFonts w:ascii="Palatino Linotype" w:hAnsi="Palatino Linotype" w:cs="Arial"/>
        </w:rPr>
        <w:t>e</w:t>
      </w:r>
      <w:r w:rsidR="00E968C4" w:rsidRPr="00E968C4">
        <w:rPr>
          <w:rFonts w:ascii="Palatino Linotype" w:hAnsi="Palatino Linotype" w:cs="Arial"/>
        </w:rPr>
        <w:t xml:space="preserve">n Posesión </w:t>
      </w:r>
      <w:r w:rsidR="00E968C4">
        <w:rPr>
          <w:rFonts w:ascii="Palatino Linotype" w:hAnsi="Palatino Linotype" w:cs="Arial"/>
        </w:rPr>
        <w:t>d</w:t>
      </w:r>
      <w:r w:rsidR="00E968C4" w:rsidRPr="00E968C4">
        <w:rPr>
          <w:rFonts w:ascii="Palatino Linotype" w:hAnsi="Palatino Linotype" w:cs="Arial"/>
        </w:rPr>
        <w:t xml:space="preserve">e Sujetos Obligados </w:t>
      </w:r>
      <w:r w:rsidR="00E968C4">
        <w:rPr>
          <w:rFonts w:ascii="Palatino Linotype" w:hAnsi="Palatino Linotype" w:cs="Arial"/>
        </w:rPr>
        <w:t>d</w:t>
      </w:r>
      <w:r w:rsidR="00E968C4" w:rsidRPr="00E968C4">
        <w:rPr>
          <w:rFonts w:ascii="Palatino Linotype" w:hAnsi="Palatino Linotype" w:cs="Arial"/>
        </w:rPr>
        <w:t xml:space="preserve">el Estado </w:t>
      </w:r>
      <w:r w:rsidR="00E968C4">
        <w:rPr>
          <w:rFonts w:ascii="Palatino Linotype" w:hAnsi="Palatino Linotype" w:cs="Arial"/>
        </w:rPr>
        <w:t>d</w:t>
      </w:r>
      <w:r w:rsidR="00E968C4" w:rsidRPr="00E968C4">
        <w:rPr>
          <w:rFonts w:ascii="Palatino Linotype" w:hAnsi="Palatino Linotype" w:cs="Arial"/>
        </w:rPr>
        <w:t xml:space="preserve">e México </w:t>
      </w:r>
      <w:r w:rsidR="00E968C4">
        <w:rPr>
          <w:rFonts w:ascii="Palatino Linotype" w:hAnsi="Palatino Linotype" w:cs="Arial"/>
        </w:rPr>
        <w:t>y</w:t>
      </w:r>
      <w:r w:rsidR="00E968C4" w:rsidRPr="00E968C4">
        <w:rPr>
          <w:rFonts w:ascii="Palatino Linotype" w:hAnsi="Palatino Linotype" w:cs="Arial"/>
        </w:rPr>
        <w:t xml:space="preserve"> Municipios</w:t>
      </w:r>
      <w:r w:rsidR="00E968C4">
        <w:rPr>
          <w:rFonts w:ascii="Palatino Linotype" w:hAnsi="Palatino Linotype" w:cs="Arial"/>
        </w:rPr>
        <w:t>:</w:t>
      </w:r>
    </w:p>
    <w:p w14:paraId="557A163C" w14:textId="77777777" w:rsidR="00E968C4" w:rsidRDefault="00E968C4" w:rsidP="00EC13FD">
      <w:pPr>
        <w:spacing w:after="0" w:line="360" w:lineRule="auto"/>
        <w:jc w:val="both"/>
        <w:rPr>
          <w:rFonts w:ascii="Palatino Linotype" w:hAnsi="Palatino Linotype" w:cs="Arial"/>
        </w:rPr>
      </w:pPr>
    </w:p>
    <w:p w14:paraId="1BF685C5" w14:textId="77777777" w:rsidR="00E968C4" w:rsidRPr="006150EE" w:rsidRDefault="00E968C4" w:rsidP="006150EE">
      <w:pPr>
        <w:spacing w:after="0" w:line="360" w:lineRule="auto"/>
        <w:ind w:left="567" w:right="567"/>
        <w:jc w:val="both"/>
        <w:rPr>
          <w:rFonts w:ascii="Palatino Linotype" w:hAnsi="Palatino Linotype" w:cs="Arial"/>
          <w:i/>
          <w:iCs/>
          <w:sz w:val="20"/>
          <w:szCs w:val="20"/>
        </w:rPr>
      </w:pPr>
      <w:r w:rsidRPr="006150EE">
        <w:rPr>
          <w:rFonts w:ascii="Palatino Linotype" w:hAnsi="Palatino Linotype" w:cs="Arial"/>
          <w:b/>
          <w:bCs/>
          <w:i/>
          <w:iCs/>
          <w:sz w:val="20"/>
          <w:szCs w:val="20"/>
        </w:rPr>
        <w:t>Artículo 110.</w:t>
      </w:r>
      <w:r w:rsidRPr="006150EE">
        <w:rPr>
          <w:rFonts w:ascii="Palatino Linotype" w:hAnsi="Palatino Linotype" w:cs="Arial"/>
          <w:i/>
          <w:iCs/>
          <w:sz w:val="20"/>
          <w:szCs w:val="20"/>
        </w:rPr>
        <w:t xml:space="preserve"> La solicitud para el ejercicio de derechos ARCO, deberá contener: </w:t>
      </w:r>
    </w:p>
    <w:p w14:paraId="23DA5FE1" w14:textId="77777777" w:rsidR="00E968C4" w:rsidRPr="006150EE" w:rsidRDefault="00E968C4" w:rsidP="006150EE">
      <w:pPr>
        <w:pStyle w:val="Prrafodelista"/>
        <w:numPr>
          <w:ilvl w:val="0"/>
          <w:numId w:val="12"/>
        </w:numPr>
        <w:spacing w:after="0" w:line="360" w:lineRule="auto"/>
        <w:ind w:left="1276" w:right="567"/>
        <w:jc w:val="both"/>
        <w:rPr>
          <w:rFonts w:ascii="Palatino Linotype" w:hAnsi="Palatino Linotype" w:cs="Arial"/>
          <w:i/>
          <w:iCs/>
          <w:sz w:val="20"/>
          <w:szCs w:val="20"/>
        </w:rPr>
      </w:pPr>
      <w:r w:rsidRPr="006150EE">
        <w:rPr>
          <w:rFonts w:ascii="Palatino Linotype" w:hAnsi="Palatino Linotype" w:cs="Arial"/>
          <w:i/>
          <w:iCs/>
          <w:sz w:val="20"/>
          <w:szCs w:val="20"/>
        </w:rPr>
        <w:t>El nombre del titular y su domicilio, o cualquier otro medio para recibir notificaciones.</w:t>
      </w:r>
    </w:p>
    <w:p w14:paraId="3398319D" w14:textId="77777777" w:rsidR="00E968C4" w:rsidRPr="006150EE" w:rsidRDefault="00E968C4" w:rsidP="006150EE">
      <w:pPr>
        <w:pStyle w:val="Prrafodelista"/>
        <w:numPr>
          <w:ilvl w:val="0"/>
          <w:numId w:val="12"/>
        </w:numPr>
        <w:spacing w:after="0" w:line="360" w:lineRule="auto"/>
        <w:ind w:left="1276" w:right="567"/>
        <w:jc w:val="both"/>
        <w:rPr>
          <w:rFonts w:ascii="Palatino Linotype" w:hAnsi="Palatino Linotype" w:cs="Arial"/>
          <w:i/>
          <w:iCs/>
          <w:sz w:val="20"/>
          <w:szCs w:val="20"/>
        </w:rPr>
      </w:pPr>
      <w:r w:rsidRPr="006150EE">
        <w:rPr>
          <w:rFonts w:ascii="Palatino Linotype" w:hAnsi="Palatino Linotype" w:cs="Arial"/>
          <w:i/>
          <w:iCs/>
          <w:sz w:val="20"/>
          <w:szCs w:val="20"/>
        </w:rPr>
        <w:t xml:space="preserve"> Los documentos que acrediten la identidad del titular y en su caso, la personalidad e identidad de su representante. </w:t>
      </w:r>
    </w:p>
    <w:p w14:paraId="037AC596" w14:textId="77777777" w:rsidR="00E968C4" w:rsidRPr="006150EE" w:rsidRDefault="00E968C4" w:rsidP="006150EE">
      <w:pPr>
        <w:pStyle w:val="Prrafodelista"/>
        <w:numPr>
          <w:ilvl w:val="0"/>
          <w:numId w:val="12"/>
        </w:numPr>
        <w:spacing w:after="0" w:line="360" w:lineRule="auto"/>
        <w:ind w:left="1276" w:right="567"/>
        <w:jc w:val="both"/>
        <w:rPr>
          <w:rFonts w:ascii="Palatino Linotype" w:hAnsi="Palatino Linotype" w:cs="Arial"/>
          <w:i/>
          <w:iCs/>
          <w:sz w:val="20"/>
          <w:szCs w:val="20"/>
        </w:rPr>
      </w:pPr>
      <w:r w:rsidRPr="006150EE">
        <w:rPr>
          <w:rFonts w:ascii="Palatino Linotype" w:hAnsi="Palatino Linotype" w:cs="Arial"/>
          <w:i/>
          <w:iCs/>
          <w:sz w:val="20"/>
          <w:szCs w:val="20"/>
        </w:rPr>
        <w:t xml:space="preserve">De ser posible, el área responsable que trata los datos personales y ante el cual se presenta la solicitud. </w:t>
      </w:r>
    </w:p>
    <w:p w14:paraId="7B86E202" w14:textId="77777777" w:rsidR="00E968C4" w:rsidRPr="006150EE" w:rsidRDefault="00E968C4" w:rsidP="006150EE">
      <w:pPr>
        <w:pStyle w:val="Prrafodelista"/>
        <w:numPr>
          <w:ilvl w:val="0"/>
          <w:numId w:val="12"/>
        </w:numPr>
        <w:spacing w:after="0" w:line="360" w:lineRule="auto"/>
        <w:ind w:left="1276" w:right="567"/>
        <w:jc w:val="both"/>
        <w:rPr>
          <w:rFonts w:ascii="Palatino Linotype" w:hAnsi="Palatino Linotype" w:cs="Arial"/>
          <w:i/>
          <w:iCs/>
          <w:sz w:val="20"/>
          <w:szCs w:val="20"/>
        </w:rPr>
      </w:pPr>
      <w:r w:rsidRPr="006150EE">
        <w:rPr>
          <w:rFonts w:ascii="Palatino Linotype" w:hAnsi="Palatino Linotype" w:cs="Arial"/>
          <w:i/>
          <w:iCs/>
          <w:sz w:val="20"/>
          <w:szCs w:val="20"/>
        </w:rPr>
        <w:t xml:space="preserve">La descripción clara y precisa de los datos personales respecto de los que se busca ejercer alguno de los derechos ARCO, salvo que se trate del derecho de acceso. </w:t>
      </w:r>
    </w:p>
    <w:p w14:paraId="21B83DA8" w14:textId="77777777" w:rsidR="00E968C4" w:rsidRPr="006150EE" w:rsidRDefault="00E968C4" w:rsidP="006150EE">
      <w:pPr>
        <w:pStyle w:val="Prrafodelista"/>
        <w:numPr>
          <w:ilvl w:val="0"/>
          <w:numId w:val="12"/>
        </w:numPr>
        <w:spacing w:after="0" w:line="360" w:lineRule="auto"/>
        <w:ind w:left="1276" w:right="567"/>
        <w:jc w:val="both"/>
        <w:rPr>
          <w:rFonts w:ascii="Palatino Linotype" w:hAnsi="Palatino Linotype" w:cs="Arial"/>
          <w:i/>
          <w:iCs/>
          <w:sz w:val="20"/>
          <w:szCs w:val="20"/>
        </w:rPr>
      </w:pPr>
      <w:r w:rsidRPr="006150EE">
        <w:rPr>
          <w:rFonts w:ascii="Palatino Linotype" w:hAnsi="Palatino Linotype" w:cs="Arial"/>
          <w:i/>
          <w:iCs/>
          <w:sz w:val="20"/>
          <w:szCs w:val="20"/>
        </w:rPr>
        <w:t xml:space="preserve">La descripción del derecho ARCO que se pretende ejercer, o bien, lo que solicita el titular. </w:t>
      </w:r>
    </w:p>
    <w:p w14:paraId="1BB370CB" w14:textId="77777777" w:rsidR="00E968C4" w:rsidRPr="006150EE" w:rsidRDefault="00E968C4" w:rsidP="006150EE">
      <w:pPr>
        <w:pStyle w:val="Prrafodelista"/>
        <w:numPr>
          <w:ilvl w:val="0"/>
          <w:numId w:val="12"/>
        </w:numPr>
        <w:spacing w:after="0" w:line="360" w:lineRule="auto"/>
        <w:ind w:left="1276" w:right="567"/>
        <w:jc w:val="both"/>
        <w:rPr>
          <w:rFonts w:ascii="Palatino Linotype" w:hAnsi="Palatino Linotype" w:cs="Arial"/>
          <w:i/>
          <w:iCs/>
          <w:sz w:val="20"/>
          <w:szCs w:val="20"/>
        </w:rPr>
      </w:pPr>
      <w:r w:rsidRPr="006150EE">
        <w:rPr>
          <w:rFonts w:ascii="Palatino Linotype" w:hAnsi="Palatino Linotype" w:cs="Arial"/>
          <w:i/>
          <w:iCs/>
          <w:sz w:val="20"/>
          <w:szCs w:val="20"/>
        </w:rPr>
        <w:t xml:space="preserve">Cualquier otro elemento o documento que facilite la localización de los datos personales, en su caso. </w:t>
      </w:r>
    </w:p>
    <w:p w14:paraId="660E36B3" w14:textId="77777777" w:rsidR="006150EE" w:rsidRPr="006150EE" w:rsidRDefault="006150EE" w:rsidP="006150EE">
      <w:pPr>
        <w:spacing w:after="0" w:line="360" w:lineRule="auto"/>
        <w:ind w:left="567" w:right="567"/>
        <w:jc w:val="both"/>
        <w:rPr>
          <w:rFonts w:ascii="Palatino Linotype" w:hAnsi="Palatino Linotype" w:cs="Arial"/>
          <w:i/>
          <w:iCs/>
          <w:sz w:val="20"/>
          <w:szCs w:val="20"/>
        </w:rPr>
      </w:pPr>
    </w:p>
    <w:p w14:paraId="6EE79230" w14:textId="77777777" w:rsidR="006150EE" w:rsidRPr="006150EE" w:rsidRDefault="006150EE" w:rsidP="006150EE">
      <w:pPr>
        <w:spacing w:after="0" w:line="360" w:lineRule="auto"/>
        <w:ind w:left="567" w:right="567"/>
        <w:jc w:val="both"/>
        <w:rPr>
          <w:rFonts w:ascii="Palatino Linotype" w:hAnsi="Palatino Linotype" w:cs="Arial"/>
          <w:b/>
          <w:bCs/>
          <w:i/>
          <w:iCs/>
          <w:sz w:val="20"/>
          <w:szCs w:val="20"/>
        </w:rPr>
      </w:pPr>
      <w:r w:rsidRPr="006150EE">
        <w:rPr>
          <w:rFonts w:ascii="Palatino Linotype" w:hAnsi="Palatino Linotype" w:cs="Arial"/>
          <w:b/>
          <w:bCs/>
          <w:i/>
          <w:iCs/>
          <w:sz w:val="20"/>
          <w:szCs w:val="20"/>
        </w:rPr>
        <w:t>Prevención en caso de omisión de requisitos no subsanables</w:t>
      </w:r>
    </w:p>
    <w:p w14:paraId="2E9C3AD9" w14:textId="08E203F6" w:rsidR="006150EE" w:rsidRPr="006150EE" w:rsidRDefault="006150EE" w:rsidP="006150EE">
      <w:pPr>
        <w:spacing w:after="0" w:line="360" w:lineRule="auto"/>
        <w:ind w:left="567" w:right="567"/>
        <w:jc w:val="both"/>
        <w:rPr>
          <w:rFonts w:ascii="Palatino Linotype" w:hAnsi="Palatino Linotype" w:cs="Arial"/>
          <w:i/>
          <w:iCs/>
          <w:sz w:val="20"/>
          <w:szCs w:val="20"/>
        </w:rPr>
      </w:pPr>
      <w:r w:rsidRPr="006150EE">
        <w:rPr>
          <w:rFonts w:ascii="Palatino Linotype" w:hAnsi="Palatino Linotype" w:cs="Arial"/>
          <w:i/>
          <w:iCs/>
          <w:sz w:val="20"/>
          <w:szCs w:val="20"/>
        </w:rPr>
        <w:t xml:space="preserve">Artículo 111. </w:t>
      </w:r>
      <w:r w:rsidRPr="006150EE">
        <w:rPr>
          <w:rFonts w:ascii="Palatino Linotype" w:hAnsi="Palatino Linotype" w:cs="Arial"/>
          <w:b/>
          <w:bCs/>
          <w:i/>
          <w:iCs/>
          <w:sz w:val="20"/>
          <w:szCs w:val="20"/>
        </w:rPr>
        <w:t>En caso que la solicitud no satisfaga alguno de los requisitos a que se refiere el artículo anterior y el responsable no cuente con elementos para subsanarla, se prevendrá al titular de los datos o a su representante</w:t>
      </w:r>
      <w:r w:rsidRPr="006150EE">
        <w:rPr>
          <w:rFonts w:ascii="Palatino Linotype" w:hAnsi="Palatino Linotype" w:cs="Arial"/>
          <w:i/>
          <w:iCs/>
          <w:sz w:val="20"/>
          <w:szCs w:val="20"/>
        </w:rPr>
        <w:t xml:space="preserve"> dentro de los cinco días siguientes a la presentación de la solicitud de ejercicio de</w:t>
      </w:r>
      <w:r>
        <w:rPr>
          <w:rFonts w:ascii="Palatino Linotype" w:hAnsi="Palatino Linotype" w:cs="Arial"/>
          <w:i/>
          <w:iCs/>
          <w:sz w:val="20"/>
          <w:szCs w:val="20"/>
        </w:rPr>
        <w:t xml:space="preserve"> </w:t>
      </w:r>
      <w:r w:rsidRPr="006150EE">
        <w:rPr>
          <w:rFonts w:ascii="Palatino Linotype" w:hAnsi="Palatino Linotype" w:cs="Arial"/>
          <w:i/>
          <w:iCs/>
          <w:sz w:val="20"/>
          <w:szCs w:val="20"/>
        </w:rPr>
        <w:t xml:space="preserve">derechos ARCO, por una sola ocasión, para que </w:t>
      </w:r>
      <w:r w:rsidRPr="006150EE">
        <w:rPr>
          <w:rFonts w:ascii="Palatino Linotype" w:hAnsi="Palatino Linotype" w:cs="Arial"/>
          <w:i/>
          <w:iCs/>
          <w:sz w:val="20"/>
          <w:szCs w:val="20"/>
        </w:rPr>
        <w:lastRenderedPageBreak/>
        <w:t>subsane las omisiones dentro de un plazo de diez días</w:t>
      </w:r>
      <w:r>
        <w:rPr>
          <w:rFonts w:ascii="Palatino Linotype" w:hAnsi="Palatino Linotype" w:cs="Arial"/>
          <w:i/>
          <w:iCs/>
          <w:sz w:val="20"/>
          <w:szCs w:val="20"/>
        </w:rPr>
        <w:t xml:space="preserve"> </w:t>
      </w:r>
      <w:r w:rsidRPr="006150EE">
        <w:rPr>
          <w:rFonts w:ascii="Palatino Linotype" w:hAnsi="Palatino Linotype" w:cs="Arial"/>
          <w:i/>
          <w:iCs/>
          <w:sz w:val="20"/>
          <w:szCs w:val="20"/>
        </w:rPr>
        <w:t>contados a partir del día siguiente al de la notificación.</w:t>
      </w:r>
    </w:p>
    <w:p w14:paraId="6C8442FB" w14:textId="6CE5FC5C" w:rsidR="006150EE" w:rsidRPr="006150EE" w:rsidRDefault="006150EE" w:rsidP="006150EE">
      <w:pPr>
        <w:spacing w:after="0" w:line="360" w:lineRule="auto"/>
        <w:ind w:left="567" w:right="567"/>
        <w:jc w:val="both"/>
        <w:rPr>
          <w:rFonts w:ascii="Palatino Linotype" w:hAnsi="Palatino Linotype" w:cs="Arial"/>
          <w:i/>
          <w:iCs/>
          <w:sz w:val="20"/>
          <w:szCs w:val="20"/>
        </w:rPr>
      </w:pPr>
      <w:r w:rsidRPr="006150EE">
        <w:rPr>
          <w:rFonts w:ascii="Palatino Linotype" w:hAnsi="Palatino Linotype" w:cs="Arial"/>
          <w:i/>
          <w:iCs/>
          <w:sz w:val="20"/>
          <w:szCs w:val="20"/>
        </w:rPr>
        <w:t>Transcurrido el plazo sin desahogar la prevención se tendrá por no presentada la solicitud de ejercicio</w:t>
      </w:r>
      <w:r>
        <w:rPr>
          <w:rFonts w:ascii="Palatino Linotype" w:hAnsi="Palatino Linotype" w:cs="Arial"/>
          <w:i/>
          <w:iCs/>
          <w:sz w:val="20"/>
          <w:szCs w:val="20"/>
        </w:rPr>
        <w:t xml:space="preserve"> </w:t>
      </w:r>
      <w:r w:rsidRPr="006150EE">
        <w:rPr>
          <w:rFonts w:ascii="Palatino Linotype" w:hAnsi="Palatino Linotype" w:cs="Arial"/>
          <w:i/>
          <w:iCs/>
          <w:sz w:val="20"/>
          <w:szCs w:val="20"/>
        </w:rPr>
        <w:t>de derechos ARCO.</w:t>
      </w:r>
    </w:p>
    <w:p w14:paraId="1D78712B" w14:textId="3A01D327" w:rsidR="006150EE" w:rsidRDefault="006150EE" w:rsidP="006150EE">
      <w:pPr>
        <w:spacing w:after="0" w:line="360" w:lineRule="auto"/>
        <w:ind w:left="567" w:right="567"/>
        <w:jc w:val="both"/>
        <w:rPr>
          <w:rFonts w:ascii="Palatino Linotype" w:hAnsi="Palatino Linotype" w:cs="Arial"/>
          <w:i/>
          <w:iCs/>
          <w:sz w:val="20"/>
          <w:szCs w:val="20"/>
        </w:rPr>
      </w:pPr>
      <w:r w:rsidRPr="006150EE">
        <w:rPr>
          <w:rFonts w:ascii="Palatino Linotype" w:hAnsi="Palatino Linotype" w:cs="Arial"/>
          <w:i/>
          <w:iCs/>
          <w:sz w:val="20"/>
          <w:szCs w:val="20"/>
        </w:rPr>
        <w:t>La prevención tendrá el efecto de interrumpir el plazo que tiene el responsable para dar respuesta a la</w:t>
      </w:r>
      <w:r>
        <w:rPr>
          <w:rFonts w:ascii="Palatino Linotype" w:hAnsi="Palatino Linotype" w:cs="Arial"/>
          <w:i/>
          <w:iCs/>
          <w:sz w:val="20"/>
          <w:szCs w:val="20"/>
        </w:rPr>
        <w:t xml:space="preserve"> </w:t>
      </w:r>
      <w:r w:rsidRPr="006150EE">
        <w:rPr>
          <w:rFonts w:ascii="Palatino Linotype" w:hAnsi="Palatino Linotype" w:cs="Arial"/>
          <w:i/>
          <w:iCs/>
          <w:sz w:val="20"/>
          <w:szCs w:val="20"/>
        </w:rPr>
        <w:t>solicitud de ejercicio de los derechos ARCO.</w:t>
      </w:r>
    </w:p>
    <w:p w14:paraId="0848959A" w14:textId="35609CA4" w:rsidR="006150EE" w:rsidRDefault="006150EE" w:rsidP="006150EE">
      <w:pPr>
        <w:spacing w:after="0" w:line="360" w:lineRule="auto"/>
        <w:ind w:left="567" w:right="567"/>
        <w:jc w:val="both"/>
        <w:rPr>
          <w:rFonts w:ascii="Palatino Linotype" w:hAnsi="Palatino Linotype" w:cs="Arial"/>
          <w:i/>
          <w:iCs/>
          <w:sz w:val="20"/>
          <w:szCs w:val="20"/>
        </w:rPr>
      </w:pPr>
      <w:r>
        <w:rPr>
          <w:rFonts w:ascii="Palatino Linotype" w:hAnsi="Palatino Linotype" w:cs="Arial"/>
          <w:i/>
          <w:iCs/>
          <w:sz w:val="20"/>
          <w:szCs w:val="20"/>
        </w:rPr>
        <w:t>(</w:t>
      </w:r>
      <w:r w:rsidRPr="006150EE">
        <w:rPr>
          <w:rFonts w:ascii="Palatino Linotype" w:hAnsi="Palatino Linotype" w:cs="Arial"/>
          <w:i/>
          <w:iCs/>
          <w:caps/>
          <w:sz w:val="20"/>
          <w:szCs w:val="20"/>
        </w:rPr>
        <w:t>é</w:t>
      </w:r>
      <w:r>
        <w:rPr>
          <w:rFonts w:ascii="Palatino Linotype" w:hAnsi="Palatino Linotype" w:cs="Arial"/>
          <w:i/>
          <w:iCs/>
          <w:sz w:val="20"/>
          <w:szCs w:val="20"/>
        </w:rPr>
        <w:t>nfasis añadido).</w:t>
      </w:r>
    </w:p>
    <w:p w14:paraId="244CFB1F" w14:textId="77777777" w:rsidR="006150EE" w:rsidRDefault="006150EE" w:rsidP="006150EE">
      <w:pPr>
        <w:spacing w:after="0" w:line="360" w:lineRule="auto"/>
        <w:ind w:left="567" w:right="567"/>
        <w:jc w:val="both"/>
        <w:rPr>
          <w:rFonts w:ascii="Palatino Linotype" w:hAnsi="Palatino Linotype" w:cs="Arial"/>
          <w:i/>
          <w:iCs/>
          <w:sz w:val="20"/>
          <w:szCs w:val="20"/>
        </w:rPr>
      </w:pPr>
    </w:p>
    <w:p w14:paraId="37123FCD" w14:textId="77777777" w:rsidR="006150EE" w:rsidRPr="006150EE" w:rsidRDefault="006150EE" w:rsidP="006150EE">
      <w:pPr>
        <w:spacing w:after="0" w:line="360" w:lineRule="auto"/>
        <w:ind w:left="567" w:right="567"/>
        <w:jc w:val="both"/>
        <w:rPr>
          <w:rFonts w:ascii="Palatino Linotype" w:hAnsi="Palatino Linotype" w:cs="Arial"/>
          <w:i/>
          <w:iCs/>
          <w:sz w:val="20"/>
          <w:szCs w:val="20"/>
        </w:rPr>
      </w:pPr>
      <w:r w:rsidRPr="006150EE">
        <w:rPr>
          <w:rFonts w:ascii="Palatino Linotype" w:hAnsi="Palatino Linotype" w:cs="Arial"/>
          <w:i/>
          <w:iCs/>
          <w:sz w:val="20"/>
          <w:szCs w:val="20"/>
        </w:rPr>
        <w:t>Improcedencia de los derechos ARCO</w:t>
      </w:r>
    </w:p>
    <w:p w14:paraId="52266BF2" w14:textId="77777777" w:rsidR="006150EE" w:rsidRPr="006150EE" w:rsidRDefault="006150EE" w:rsidP="006150EE">
      <w:pPr>
        <w:spacing w:after="0" w:line="360" w:lineRule="auto"/>
        <w:ind w:left="567" w:right="567"/>
        <w:jc w:val="both"/>
        <w:rPr>
          <w:rFonts w:ascii="Palatino Linotype" w:hAnsi="Palatino Linotype" w:cs="Arial"/>
          <w:i/>
          <w:iCs/>
          <w:sz w:val="20"/>
          <w:szCs w:val="20"/>
        </w:rPr>
      </w:pPr>
      <w:r w:rsidRPr="006150EE">
        <w:rPr>
          <w:rFonts w:ascii="Palatino Linotype" w:hAnsi="Palatino Linotype" w:cs="Arial"/>
          <w:i/>
          <w:iCs/>
          <w:sz w:val="20"/>
          <w:szCs w:val="20"/>
        </w:rPr>
        <w:t>Artículo 117. Las únicas causas en las que el ejercicio de los derechos ARCO no será procedente son:</w:t>
      </w:r>
    </w:p>
    <w:p w14:paraId="1F03E6CC" w14:textId="40641BF6" w:rsidR="006150EE" w:rsidRPr="006150EE" w:rsidRDefault="006150EE" w:rsidP="006150EE">
      <w:pPr>
        <w:pStyle w:val="Prrafodelista"/>
        <w:numPr>
          <w:ilvl w:val="0"/>
          <w:numId w:val="14"/>
        </w:numPr>
        <w:spacing w:after="0" w:line="360" w:lineRule="auto"/>
        <w:ind w:right="567"/>
        <w:jc w:val="both"/>
        <w:rPr>
          <w:rFonts w:ascii="Palatino Linotype" w:hAnsi="Palatino Linotype" w:cs="Arial"/>
          <w:i/>
          <w:iCs/>
          <w:sz w:val="20"/>
          <w:szCs w:val="20"/>
        </w:rPr>
      </w:pPr>
      <w:r w:rsidRPr="006150EE">
        <w:rPr>
          <w:rFonts w:ascii="Palatino Linotype" w:hAnsi="Palatino Linotype" w:cs="Arial"/>
          <w:i/>
          <w:iCs/>
          <w:sz w:val="20"/>
          <w:szCs w:val="20"/>
        </w:rPr>
        <w:t>Cuando el titular o su representante no estén debidamente acreditados para ello.</w:t>
      </w:r>
    </w:p>
    <w:p w14:paraId="5140DCD1" w14:textId="7FFAA6DA" w:rsidR="006150EE" w:rsidRDefault="006150EE" w:rsidP="006150EE">
      <w:pPr>
        <w:pStyle w:val="Prrafodelista"/>
        <w:numPr>
          <w:ilvl w:val="0"/>
          <w:numId w:val="14"/>
        </w:numPr>
        <w:spacing w:after="0" w:line="360" w:lineRule="auto"/>
        <w:ind w:right="567"/>
        <w:jc w:val="both"/>
        <w:rPr>
          <w:rFonts w:ascii="Palatino Linotype" w:hAnsi="Palatino Linotype" w:cs="Arial"/>
          <w:i/>
          <w:iCs/>
          <w:sz w:val="20"/>
          <w:szCs w:val="20"/>
        </w:rPr>
      </w:pPr>
      <w:r>
        <w:rPr>
          <w:rFonts w:ascii="Palatino Linotype" w:hAnsi="Palatino Linotype" w:cs="Arial"/>
          <w:i/>
          <w:iCs/>
          <w:sz w:val="20"/>
          <w:szCs w:val="20"/>
        </w:rPr>
        <w:t>a X. …</w:t>
      </w:r>
    </w:p>
    <w:p w14:paraId="2822F3A8" w14:textId="17E7B667" w:rsidR="006150EE" w:rsidRPr="006150EE" w:rsidRDefault="006150EE" w:rsidP="006150EE">
      <w:pPr>
        <w:spacing w:after="0" w:line="360" w:lineRule="auto"/>
        <w:ind w:left="567" w:right="567"/>
        <w:jc w:val="both"/>
        <w:rPr>
          <w:rFonts w:ascii="Palatino Linotype" w:hAnsi="Palatino Linotype" w:cs="Arial"/>
          <w:i/>
          <w:iCs/>
          <w:sz w:val="20"/>
          <w:szCs w:val="20"/>
        </w:rPr>
      </w:pPr>
      <w:r w:rsidRPr="006150EE">
        <w:rPr>
          <w:rFonts w:ascii="Palatino Linotype" w:hAnsi="Palatino Linotype" w:cs="Arial"/>
          <w:i/>
          <w:iCs/>
          <w:sz w:val="20"/>
          <w:szCs w:val="20"/>
        </w:rPr>
        <w:t>La improcedencia a que se refiere este artículo podrá ser parcial si una parte de los datos solicitados no</w:t>
      </w:r>
      <w:r>
        <w:rPr>
          <w:rFonts w:ascii="Palatino Linotype" w:hAnsi="Palatino Linotype" w:cs="Arial"/>
          <w:i/>
          <w:iCs/>
          <w:sz w:val="20"/>
          <w:szCs w:val="20"/>
        </w:rPr>
        <w:t xml:space="preserve"> </w:t>
      </w:r>
      <w:r w:rsidRPr="006150EE">
        <w:rPr>
          <w:rFonts w:ascii="Palatino Linotype" w:hAnsi="Palatino Linotype" w:cs="Arial"/>
          <w:i/>
          <w:iCs/>
          <w:sz w:val="20"/>
          <w:szCs w:val="20"/>
        </w:rPr>
        <w:t>encuadra en alguna de las causales antes citadas, en cuyo caso los responsables efectuarán</w:t>
      </w:r>
      <w:r>
        <w:rPr>
          <w:rFonts w:ascii="Palatino Linotype" w:hAnsi="Palatino Linotype" w:cs="Arial"/>
          <w:i/>
          <w:iCs/>
          <w:sz w:val="20"/>
          <w:szCs w:val="20"/>
        </w:rPr>
        <w:t xml:space="preserve"> </w:t>
      </w:r>
      <w:r w:rsidRPr="006150EE">
        <w:rPr>
          <w:rFonts w:ascii="Palatino Linotype" w:hAnsi="Palatino Linotype" w:cs="Arial"/>
          <w:i/>
          <w:iCs/>
          <w:sz w:val="20"/>
          <w:szCs w:val="20"/>
        </w:rPr>
        <w:t>parcialmente el acceso, rectificación, cancelación y oposición requerida por el titular.</w:t>
      </w:r>
    </w:p>
    <w:p w14:paraId="5084E096" w14:textId="02962963" w:rsidR="006150EE" w:rsidRPr="006150EE" w:rsidRDefault="006150EE" w:rsidP="006150EE">
      <w:pPr>
        <w:spacing w:after="0" w:line="360" w:lineRule="auto"/>
        <w:ind w:left="567" w:right="567"/>
        <w:jc w:val="both"/>
        <w:rPr>
          <w:rFonts w:ascii="Palatino Linotype" w:hAnsi="Palatino Linotype" w:cs="Arial"/>
          <w:i/>
          <w:iCs/>
          <w:sz w:val="20"/>
          <w:szCs w:val="20"/>
        </w:rPr>
      </w:pPr>
      <w:r w:rsidRPr="006150EE">
        <w:rPr>
          <w:rFonts w:ascii="Palatino Linotype" w:hAnsi="Palatino Linotype" w:cs="Arial"/>
          <w:i/>
          <w:iCs/>
          <w:sz w:val="20"/>
          <w:szCs w:val="20"/>
        </w:rPr>
        <w:t>En cualquiera de los supuestos mencionados en este artículo, el administrador analizará el caso y</w:t>
      </w:r>
      <w:r>
        <w:rPr>
          <w:rFonts w:ascii="Palatino Linotype" w:hAnsi="Palatino Linotype" w:cs="Arial"/>
          <w:i/>
          <w:iCs/>
          <w:sz w:val="20"/>
          <w:szCs w:val="20"/>
        </w:rPr>
        <w:t xml:space="preserve"> </w:t>
      </w:r>
      <w:r w:rsidRPr="006150EE">
        <w:rPr>
          <w:rFonts w:ascii="Palatino Linotype" w:hAnsi="Palatino Linotype" w:cs="Arial"/>
          <w:i/>
          <w:iCs/>
          <w:sz w:val="20"/>
          <w:szCs w:val="20"/>
        </w:rPr>
        <w:t>emitirá una respuesta fundada y motivada, la cual deberá notificarse al solicitante a través de la</w:t>
      </w:r>
      <w:r>
        <w:rPr>
          <w:rFonts w:ascii="Palatino Linotype" w:hAnsi="Palatino Linotype" w:cs="Arial"/>
          <w:i/>
          <w:iCs/>
          <w:sz w:val="20"/>
          <w:szCs w:val="20"/>
        </w:rPr>
        <w:t xml:space="preserve"> </w:t>
      </w:r>
      <w:r w:rsidRPr="006150EE">
        <w:rPr>
          <w:rFonts w:ascii="Palatino Linotype" w:hAnsi="Palatino Linotype" w:cs="Arial"/>
          <w:i/>
          <w:iCs/>
          <w:sz w:val="20"/>
          <w:szCs w:val="20"/>
        </w:rPr>
        <w:t>Unidad de Transparencia en el plazo de hasta veinte días al que se refiere el artículo 108 de la presente</w:t>
      </w:r>
      <w:r>
        <w:rPr>
          <w:rFonts w:ascii="Palatino Linotype" w:hAnsi="Palatino Linotype" w:cs="Arial"/>
          <w:i/>
          <w:iCs/>
          <w:sz w:val="20"/>
          <w:szCs w:val="20"/>
        </w:rPr>
        <w:t xml:space="preserve"> </w:t>
      </w:r>
      <w:r w:rsidRPr="006150EE">
        <w:rPr>
          <w:rFonts w:ascii="Palatino Linotype" w:hAnsi="Palatino Linotype" w:cs="Arial"/>
          <w:i/>
          <w:iCs/>
          <w:sz w:val="20"/>
          <w:szCs w:val="20"/>
        </w:rPr>
        <w:t>Ley.</w:t>
      </w:r>
    </w:p>
    <w:p w14:paraId="211CB616" w14:textId="337854A0" w:rsidR="006150EE" w:rsidRPr="006150EE" w:rsidRDefault="006150EE" w:rsidP="006150EE">
      <w:pPr>
        <w:spacing w:after="0" w:line="360" w:lineRule="auto"/>
        <w:ind w:left="567" w:right="567"/>
        <w:jc w:val="both"/>
        <w:rPr>
          <w:rFonts w:ascii="Palatino Linotype" w:hAnsi="Palatino Linotype" w:cs="Arial"/>
          <w:i/>
          <w:iCs/>
          <w:sz w:val="20"/>
          <w:szCs w:val="20"/>
        </w:rPr>
      </w:pPr>
      <w:r w:rsidRPr="006150EE">
        <w:rPr>
          <w:rFonts w:ascii="Palatino Linotype" w:hAnsi="Palatino Linotype" w:cs="Arial"/>
          <w:i/>
          <w:iCs/>
          <w:sz w:val="20"/>
          <w:szCs w:val="20"/>
        </w:rPr>
        <w:t>En las respuestas a las solicitudes de derechos ARCO, las Unidades de Transparencia deberán</w:t>
      </w:r>
      <w:r>
        <w:rPr>
          <w:rFonts w:ascii="Palatino Linotype" w:hAnsi="Palatino Linotype" w:cs="Arial"/>
          <w:i/>
          <w:iCs/>
          <w:sz w:val="20"/>
          <w:szCs w:val="20"/>
        </w:rPr>
        <w:t xml:space="preserve"> </w:t>
      </w:r>
      <w:r w:rsidRPr="006150EE">
        <w:rPr>
          <w:rFonts w:ascii="Palatino Linotype" w:hAnsi="Palatino Linotype" w:cs="Arial"/>
          <w:i/>
          <w:iCs/>
          <w:sz w:val="20"/>
          <w:szCs w:val="20"/>
        </w:rPr>
        <w:t>informar al solicitante del derecho y plazo que tienen para promover el recurso de revisión.</w:t>
      </w:r>
    </w:p>
    <w:p w14:paraId="5956DD0A" w14:textId="4DFAE1F4" w:rsidR="00E968C4" w:rsidRDefault="00E968C4" w:rsidP="00DF77FA">
      <w:pPr>
        <w:spacing w:after="0" w:line="360" w:lineRule="auto"/>
        <w:jc w:val="both"/>
        <w:rPr>
          <w:rFonts w:ascii="Palatino Linotype" w:hAnsi="Palatino Linotype" w:cs="Arial"/>
        </w:rPr>
      </w:pPr>
    </w:p>
    <w:p w14:paraId="51B9F04D" w14:textId="2817171D" w:rsidR="006C4291" w:rsidRDefault="00A634DE" w:rsidP="008E4DF1">
      <w:pPr>
        <w:spacing w:after="0" w:line="36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Por </w:t>
      </w:r>
      <w:r w:rsidR="006C4291">
        <w:rPr>
          <w:rFonts w:ascii="Palatino Linotype" w:hAnsi="Palatino Linotype" w:cs="Arial"/>
        </w:rPr>
        <w:t xml:space="preserve">consiguiente, toda vez que, se solicitaron datos personales de diferentes individuos no era procedente acumular las solicitudes, </w:t>
      </w:r>
      <w:r w:rsidR="00480B66">
        <w:rPr>
          <w:rFonts w:ascii="Palatino Linotype" w:hAnsi="Palatino Linotype" w:cs="Arial"/>
        </w:rPr>
        <w:t>ni resolver el fondo del asunto y ante la falta de prevención por parte de este Organismo Garante, lo conducente era sobreseer por improcedentes los recursos de revisión que nos ocupan</w:t>
      </w:r>
      <w:r w:rsidR="006C4291">
        <w:rPr>
          <w:rFonts w:ascii="Palatino Linotype" w:hAnsi="Palatino Linotype" w:cs="Arial"/>
        </w:rPr>
        <w:t>.</w:t>
      </w:r>
    </w:p>
    <w:p w14:paraId="23066AAD" w14:textId="77777777" w:rsidR="00ED1196" w:rsidRDefault="00ED1196" w:rsidP="008E4DF1">
      <w:pPr>
        <w:spacing w:after="0" w:line="360" w:lineRule="auto"/>
        <w:jc w:val="both"/>
        <w:rPr>
          <w:rFonts w:ascii="Palatino Linotype" w:hAnsi="Palatino Linotype" w:cs="Arial"/>
        </w:rPr>
      </w:pPr>
    </w:p>
    <w:p w14:paraId="2F0EEF9B" w14:textId="6B8FE0B3" w:rsidR="00EF0C62" w:rsidRPr="006C4291" w:rsidRDefault="009B6D4C" w:rsidP="008E4DF1">
      <w:pPr>
        <w:spacing w:after="0" w:line="360" w:lineRule="auto"/>
        <w:jc w:val="both"/>
        <w:rPr>
          <w:rFonts w:ascii="Palatino Linotype" w:hAnsi="Palatino Linotype" w:cs="Arial"/>
        </w:rPr>
      </w:pPr>
      <w:r w:rsidRPr="009B6D4C">
        <w:rPr>
          <w:rFonts w:ascii="Palatino Linotype" w:eastAsia="Palatino Linotype" w:hAnsi="Palatino Linotype" w:cs="Palatino Linotype"/>
          <w:lang w:eastAsia="es-MX"/>
        </w:rPr>
        <w:lastRenderedPageBreak/>
        <w:t>Así, con base en los razonamientos expuestos,</w:t>
      </w:r>
      <w:r w:rsidR="003C6765">
        <w:rPr>
          <w:rFonts w:ascii="Palatino Linotype" w:eastAsia="Palatino Linotype" w:hAnsi="Palatino Linotype" w:cs="Palatino Linotype"/>
          <w:lang w:eastAsia="es-MX"/>
        </w:rPr>
        <w:t xml:space="preserve"> </w:t>
      </w:r>
      <w:r w:rsidR="003C6765" w:rsidRPr="005F65A5">
        <w:rPr>
          <w:rFonts w:ascii="Palatino Linotype" w:hAnsi="Palatino Linotype" w:cs="Tahoma"/>
          <w:b/>
        </w:rPr>
        <w:t>se emite el presente Voto Disidente</w:t>
      </w:r>
      <w:r w:rsidRPr="00C31434">
        <w:rPr>
          <w:rFonts w:ascii="Palatino Linotype" w:eastAsia="Palatino Linotype" w:hAnsi="Palatino Linotype" w:cs="Palatino Linotype"/>
          <w:lang w:eastAsia="es-MX"/>
        </w:rPr>
        <w:t>.</w:t>
      </w:r>
      <w:r w:rsidRPr="009B6D4C">
        <w:rPr>
          <w:rFonts w:ascii="Palatino Linotype" w:eastAsia="Palatino Linotype" w:hAnsi="Palatino Linotype" w:cs="Palatino Linotype"/>
          <w:lang w:eastAsia="es-MX"/>
        </w:rPr>
        <w:t xml:space="preserve"> </w:t>
      </w:r>
      <w:r w:rsidR="008E4DF1">
        <w:rPr>
          <w:rFonts w:ascii="Palatino Linotype" w:eastAsia="Palatino Linotype" w:hAnsi="Palatino Linotype" w:cs="Palatino Linotype"/>
          <w:lang w:eastAsia="es-MX"/>
        </w:rPr>
        <w:t>---------------------------------------------------------------------------------------------------------------------------------</w:t>
      </w:r>
      <w:r w:rsidR="00EF0C62">
        <w:rPr>
          <w:rFonts w:ascii="Palatino Linotype" w:hAnsi="Palatino Linotype"/>
        </w:rPr>
        <w:br w:type="page"/>
      </w:r>
    </w:p>
    <w:p w14:paraId="29D593E7" w14:textId="77777777" w:rsidR="00215325" w:rsidRPr="005359CF" w:rsidRDefault="00215325" w:rsidP="00141383">
      <w:pPr>
        <w:spacing w:after="0"/>
        <w:rPr>
          <w:rFonts w:ascii="Palatino Linotype" w:hAnsi="Palatino Linotype"/>
        </w:rPr>
      </w:pPr>
    </w:p>
    <w:sectPr w:rsidR="00215325" w:rsidRPr="005359CF" w:rsidSect="008E4DF1">
      <w:headerReference w:type="default" r:id="rId7"/>
      <w:footerReference w:type="default" r:id="rId8"/>
      <w:pgSz w:w="12240" w:h="15840" w:code="1"/>
      <w:pgMar w:top="128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34664" w14:textId="77777777" w:rsidR="005931E9" w:rsidRDefault="005931E9" w:rsidP="00AA3FDF">
      <w:pPr>
        <w:spacing w:after="0" w:line="240" w:lineRule="auto"/>
      </w:pPr>
      <w:r>
        <w:separator/>
      </w:r>
    </w:p>
  </w:endnote>
  <w:endnote w:type="continuationSeparator" w:id="0">
    <w:p w14:paraId="643E6776" w14:textId="77777777" w:rsidR="005931E9" w:rsidRDefault="005931E9" w:rsidP="00AA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47922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3C1F82" w14:textId="77777777" w:rsidR="004155C3" w:rsidRDefault="004155C3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574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574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91B032" w14:textId="77777777" w:rsidR="004155C3" w:rsidRDefault="004155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AE32B" w14:textId="77777777" w:rsidR="005931E9" w:rsidRDefault="005931E9" w:rsidP="00AA3FDF">
      <w:pPr>
        <w:spacing w:after="0" w:line="240" w:lineRule="auto"/>
      </w:pPr>
      <w:r>
        <w:separator/>
      </w:r>
    </w:p>
  </w:footnote>
  <w:footnote w:type="continuationSeparator" w:id="0">
    <w:p w14:paraId="7CC61764" w14:textId="77777777" w:rsidR="005931E9" w:rsidRDefault="005931E9" w:rsidP="00AA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9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02"/>
      <w:gridCol w:w="6520"/>
    </w:tblGrid>
    <w:tr w:rsidR="004155C3" w:rsidRPr="001106EA" w14:paraId="42B7A3D0" w14:textId="77777777" w:rsidTr="00BA7A9C">
      <w:trPr>
        <w:trHeight w:val="1843"/>
      </w:trPr>
      <w:tc>
        <w:tcPr>
          <w:tcW w:w="3402" w:type="dxa"/>
          <w:vAlign w:val="bottom"/>
        </w:tcPr>
        <w:p w14:paraId="13F4D928" w14:textId="77777777" w:rsidR="004155C3" w:rsidRDefault="004155C3" w:rsidP="004155C3">
          <w:pPr>
            <w:pStyle w:val="Encabezado"/>
            <w:tabs>
              <w:tab w:val="clear" w:pos="4252"/>
              <w:tab w:val="center" w:pos="2614"/>
            </w:tabs>
            <w:ind w:left="-255"/>
          </w:pPr>
          <w:r>
            <w:rPr>
              <w:noProof/>
              <w:sz w:val="10"/>
              <w:szCs w:val="10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18A9B005" wp14:editId="7FEB1676">
                <wp:simplePos x="0" y="0"/>
                <wp:positionH relativeFrom="column">
                  <wp:posOffset>-358140</wp:posOffset>
                </wp:positionH>
                <wp:positionV relativeFrom="paragraph">
                  <wp:posOffset>-993775</wp:posOffset>
                </wp:positionV>
                <wp:extent cx="1873250" cy="1126490"/>
                <wp:effectExtent l="0" t="0" r="0" b="0"/>
                <wp:wrapNone/>
                <wp:docPr id="649807743" name="Imagen 6498077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ipo Infoe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0" cy="1126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3B9A7E" w14:textId="77777777" w:rsidR="004155C3" w:rsidRDefault="004155C3" w:rsidP="004155C3">
          <w:pPr>
            <w:pStyle w:val="Encabezado"/>
            <w:tabs>
              <w:tab w:val="clear" w:pos="4252"/>
              <w:tab w:val="center" w:pos="2614"/>
            </w:tabs>
          </w:pPr>
        </w:p>
      </w:tc>
      <w:tc>
        <w:tcPr>
          <w:tcW w:w="6520" w:type="dxa"/>
          <w:vAlign w:val="center"/>
        </w:tcPr>
        <w:p w14:paraId="49D5C76C" w14:textId="77777777" w:rsidR="008E4DF1" w:rsidRDefault="008E4DF1" w:rsidP="00BA7A9C">
          <w:pPr>
            <w:pStyle w:val="Encabezado"/>
            <w:ind w:left="34" w:right="883"/>
            <w:jc w:val="both"/>
            <w:rPr>
              <w:rFonts w:ascii="Palatino Linotype" w:hAnsi="Palatino Linotype" w:cs="Tahoma"/>
              <w:b/>
            </w:rPr>
          </w:pPr>
        </w:p>
        <w:p w14:paraId="10A29EC8" w14:textId="79158680" w:rsidR="004155C3" w:rsidRPr="00B9745A" w:rsidRDefault="004155C3" w:rsidP="00BA7A9C">
          <w:pPr>
            <w:pStyle w:val="Encabezado"/>
            <w:ind w:left="34" w:right="883"/>
            <w:jc w:val="both"/>
            <w:rPr>
              <w:rFonts w:ascii="Palatino Linotype" w:hAnsi="Palatino Linotype" w:cs="Tahoma"/>
              <w:b/>
            </w:rPr>
          </w:pPr>
          <w:r w:rsidRPr="00B9745A">
            <w:rPr>
              <w:rFonts w:ascii="Palatino Linotype" w:hAnsi="Palatino Linotype" w:cs="Tahoma"/>
              <w:b/>
            </w:rPr>
            <w:t xml:space="preserve">Voto </w:t>
          </w:r>
          <w:r w:rsidR="003C6765">
            <w:rPr>
              <w:rFonts w:ascii="Palatino Linotype" w:hAnsi="Palatino Linotype" w:cs="Tahoma"/>
              <w:b/>
            </w:rPr>
            <w:t>Disidente</w:t>
          </w:r>
        </w:p>
        <w:p w14:paraId="49B20B50" w14:textId="24936E60" w:rsidR="004155C3" w:rsidRDefault="004155C3" w:rsidP="00BA7A9C">
          <w:pPr>
            <w:pStyle w:val="Encabezado"/>
            <w:ind w:left="34" w:right="883"/>
            <w:jc w:val="both"/>
            <w:rPr>
              <w:rFonts w:ascii="Palatino Linotype" w:hAnsi="Palatino Linotype"/>
              <w:b/>
              <w:lang w:val="es-ES_tradnl"/>
            </w:rPr>
          </w:pPr>
          <w:r w:rsidRPr="00B9745A">
            <w:rPr>
              <w:rFonts w:ascii="Palatino Linotype" w:hAnsi="Palatino Linotype" w:cs="Tahoma"/>
              <w:b/>
            </w:rPr>
            <w:t xml:space="preserve">Recurso de Revisión: </w:t>
          </w:r>
          <w:r w:rsidRPr="002B2717">
            <w:rPr>
              <w:rFonts w:ascii="Palatino Linotype" w:hAnsi="Palatino Linotype"/>
              <w:lang w:val="es-ES_tradnl"/>
            </w:rPr>
            <w:t>0</w:t>
          </w:r>
          <w:r w:rsidR="00671961">
            <w:rPr>
              <w:rFonts w:ascii="Palatino Linotype" w:hAnsi="Palatino Linotype"/>
              <w:lang w:val="es-ES_tradnl"/>
            </w:rPr>
            <w:t>0</w:t>
          </w:r>
          <w:r w:rsidR="00620C46">
            <w:rPr>
              <w:rFonts w:ascii="Palatino Linotype" w:hAnsi="Palatino Linotype"/>
              <w:lang w:val="es-ES_tradnl"/>
            </w:rPr>
            <w:t>205</w:t>
          </w:r>
          <w:r w:rsidRPr="002B2717">
            <w:rPr>
              <w:rFonts w:ascii="Palatino Linotype" w:hAnsi="Palatino Linotype"/>
              <w:lang w:val="es-ES_tradnl"/>
            </w:rPr>
            <w:t>/INFOEM/IP/RR/202</w:t>
          </w:r>
          <w:r w:rsidR="00671961">
            <w:rPr>
              <w:rFonts w:ascii="Palatino Linotype" w:hAnsi="Palatino Linotype"/>
              <w:lang w:val="es-ES_tradnl"/>
            </w:rPr>
            <w:t>5 y acumulados</w:t>
          </w:r>
        </w:p>
        <w:p w14:paraId="4E68DFCB" w14:textId="1DC01257" w:rsidR="004155C3" w:rsidRPr="002B2717" w:rsidRDefault="004155C3" w:rsidP="00BA7A9C">
          <w:pPr>
            <w:pStyle w:val="Encabezado"/>
            <w:ind w:left="34" w:right="883"/>
            <w:jc w:val="both"/>
            <w:rPr>
              <w:rFonts w:ascii="Palatino Linotype" w:hAnsi="Palatino Linotype"/>
              <w:lang w:val="es-ES_tradnl"/>
            </w:rPr>
          </w:pPr>
          <w:r>
            <w:rPr>
              <w:rFonts w:ascii="Palatino Linotype" w:hAnsi="Palatino Linotype" w:cs="Tahoma"/>
              <w:b/>
            </w:rPr>
            <w:t>Sujeto Obligado:</w:t>
          </w:r>
          <w:r w:rsidR="003C6765">
            <w:rPr>
              <w:rFonts w:ascii="Palatino Linotype" w:hAnsi="Palatino Linotype"/>
              <w:b/>
              <w:lang w:val="es-ES_tradnl"/>
            </w:rPr>
            <w:t xml:space="preserve"> </w:t>
          </w:r>
          <w:r w:rsidR="00671961">
            <w:rPr>
              <w:rFonts w:ascii="Palatino Linotype" w:hAnsi="Palatino Linotype"/>
              <w:bCs/>
              <w:lang w:val="es-ES_tradnl"/>
            </w:rPr>
            <w:t xml:space="preserve">Secretaría de Finanzas </w:t>
          </w:r>
        </w:p>
        <w:p w14:paraId="798D9125" w14:textId="3D3E4EA8" w:rsidR="004155C3" w:rsidRDefault="004155C3" w:rsidP="00BA69CE">
          <w:pPr>
            <w:pStyle w:val="Encabezado"/>
            <w:ind w:left="34" w:right="883"/>
            <w:jc w:val="both"/>
            <w:rPr>
              <w:rFonts w:ascii="Palatino Linotype" w:hAnsi="Palatino Linotype"/>
              <w:lang w:val="es-ES_tradnl"/>
            </w:rPr>
          </w:pPr>
          <w:r w:rsidRPr="00B9745A">
            <w:rPr>
              <w:rFonts w:ascii="Palatino Linotype" w:hAnsi="Palatino Linotype" w:cs="Tahoma"/>
              <w:b/>
            </w:rPr>
            <w:t xml:space="preserve">Comisionado Ponente: </w:t>
          </w:r>
          <w:r w:rsidR="00620C46">
            <w:rPr>
              <w:rFonts w:ascii="Palatino Linotype" w:hAnsi="Palatino Linotype"/>
              <w:lang w:val="es-ES_tradnl"/>
            </w:rPr>
            <w:t>José Martínez Vilchis</w:t>
          </w:r>
        </w:p>
        <w:p w14:paraId="0B2E72C4" w14:textId="77777777" w:rsidR="008E4DF1" w:rsidRDefault="008E4DF1" w:rsidP="008E4DF1">
          <w:pPr>
            <w:pStyle w:val="Encabezado"/>
            <w:ind w:right="883"/>
            <w:jc w:val="both"/>
            <w:rPr>
              <w:rFonts w:ascii="Tahoma" w:hAnsi="Tahoma" w:cs="Tahoma"/>
            </w:rPr>
          </w:pPr>
        </w:p>
        <w:p w14:paraId="285E3F85" w14:textId="6FBA3BDD" w:rsidR="008E4DF1" w:rsidRPr="001106EA" w:rsidRDefault="008E4DF1" w:rsidP="008E4DF1">
          <w:pPr>
            <w:pStyle w:val="Encabezado"/>
            <w:ind w:right="883"/>
            <w:jc w:val="both"/>
            <w:rPr>
              <w:rFonts w:ascii="Tahoma" w:hAnsi="Tahoma" w:cs="Tahoma"/>
            </w:rPr>
          </w:pPr>
        </w:p>
      </w:tc>
    </w:tr>
  </w:tbl>
  <w:p w14:paraId="1A143BE1" w14:textId="77777777" w:rsidR="004155C3" w:rsidRPr="001106EA" w:rsidRDefault="004155C3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B3419"/>
    <w:multiLevelType w:val="hybridMultilevel"/>
    <w:tmpl w:val="9BC2E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C7F24"/>
    <w:multiLevelType w:val="hybridMultilevel"/>
    <w:tmpl w:val="0E506876"/>
    <w:lvl w:ilvl="0" w:tplc="86B43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1DC8"/>
    <w:multiLevelType w:val="hybridMultilevel"/>
    <w:tmpl w:val="D304D1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5EB5"/>
    <w:multiLevelType w:val="hybridMultilevel"/>
    <w:tmpl w:val="13BC9B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F27D3"/>
    <w:multiLevelType w:val="hybridMultilevel"/>
    <w:tmpl w:val="2DCA15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52D8A"/>
    <w:multiLevelType w:val="hybridMultilevel"/>
    <w:tmpl w:val="885223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C60FD"/>
    <w:multiLevelType w:val="hybridMultilevel"/>
    <w:tmpl w:val="425653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25EDD"/>
    <w:multiLevelType w:val="hybridMultilevel"/>
    <w:tmpl w:val="22D80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72366"/>
    <w:multiLevelType w:val="hybridMultilevel"/>
    <w:tmpl w:val="6BA06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07C14"/>
    <w:multiLevelType w:val="hybridMultilevel"/>
    <w:tmpl w:val="AEA44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A10EE"/>
    <w:multiLevelType w:val="hybridMultilevel"/>
    <w:tmpl w:val="6C4283F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82343A9"/>
    <w:multiLevelType w:val="hybridMultilevel"/>
    <w:tmpl w:val="FC8E7CE0"/>
    <w:lvl w:ilvl="0" w:tplc="4596EB0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DB2D30"/>
    <w:multiLevelType w:val="hybridMultilevel"/>
    <w:tmpl w:val="F67C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539D8"/>
    <w:multiLevelType w:val="hybridMultilevel"/>
    <w:tmpl w:val="9F8C4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180317">
    <w:abstractNumId w:val="2"/>
  </w:num>
  <w:num w:numId="2" w16cid:durableId="626162021">
    <w:abstractNumId w:val="7"/>
  </w:num>
  <w:num w:numId="3" w16cid:durableId="2104836155">
    <w:abstractNumId w:val="13"/>
  </w:num>
  <w:num w:numId="4" w16cid:durableId="183204974">
    <w:abstractNumId w:val="8"/>
  </w:num>
  <w:num w:numId="5" w16cid:durableId="840003587">
    <w:abstractNumId w:val="10"/>
  </w:num>
  <w:num w:numId="6" w16cid:durableId="386492026">
    <w:abstractNumId w:val="12"/>
  </w:num>
  <w:num w:numId="7" w16cid:durableId="2100519602">
    <w:abstractNumId w:val="0"/>
  </w:num>
  <w:num w:numId="8" w16cid:durableId="53820647">
    <w:abstractNumId w:val="9"/>
  </w:num>
  <w:num w:numId="9" w16cid:durableId="309748724">
    <w:abstractNumId w:val="3"/>
  </w:num>
  <w:num w:numId="10" w16cid:durableId="1146626602">
    <w:abstractNumId w:val="4"/>
  </w:num>
  <w:num w:numId="11" w16cid:durableId="1431780617">
    <w:abstractNumId w:val="5"/>
  </w:num>
  <w:num w:numId="12" w16cid:durableId="345906209">
    <w:abstractNumId w:val="1"/>
  </w:num>
  <w:num w:numId="13" w16cid:durableId="1002466556">
    <w:abstractNumId w:val="6"/>
  </w:num>
  <w:num w:numId="14" w16cid:durableId="6332896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CF"/>
    <w:rsid w:val="0002089F"/>
    <w:rsid w:val="0002329F"/>
    <w:rsid w:val="00031B11"/>
    <w:rsid w:val="00033A62"/>
    <w:rsid w:val="000343E9"/>
    <w:rsid w:val="0003753E"/>
    <w:rsid w:val="00070F30"/>
    <w:rsid w:val="000741F0"/>
    <w:rsid w:val="000756D9"/>
    <w:rsid w:val="00084F61"/>
    <w:rsid w:val="00096426"/>
    <w:rsid w:val="000A4423"/>
    <w:rsid w:val="000C2C5F"/>
    <w:rsid w:val="000C38A4"/>
    <w:rsid w:val="000F3E7C"/>
    <w:rsid w:val="000F6C56"/>
    <w:rsid w:val="0010018A"/>
    <w:rsid w:val="00103829"/>
    <w:rsid w:val="001113A1"/>
    <w:rsid w:val="0011590D"/>
    <w:rsid w:val="001204C9"/>
    <w:rsid w:val="00141383"/>
    <w:rsid w:val="0014605D"/>
    <w:rsid w:val="00146795"/>
    <w:rsid w:val="00151D8D"/>
    <w:rsid w:val="00153F14"/>
    <w:rsid w:val="001732D7"/>
    <w:rsid w:val="00185042"/>
    <w:rsid w:val="001C1491"/>
    <w:rsid w:val="001C571B"/>
    <w:rsid w:val="001D3110"/>
    <w:rsid w:val="00206296"/>
    <w:rsid w:val="002072A1"/>
    <w:rsid w:val="00215325"/>
    <w:rsid w:val="00220B7B"/>
    <w:rsid w:val="002217F3"/>
    <w:rsid w:val="00226239"/>
    <w:rsid w:val="00227A1C"/>
    <w:rsid w:val="00231507"/>
    <w:rsid w:val="0024317C"/>
    <w:rsid w:val="0025609E"/>
    <w:rsid w:val="00261B00"/>
    <w:rsid w:val="0026347D"/>
    <w:rsid w:val="002650E0"/>
    <w:rsid w:val="002657BE"/>
    <w:rsid w:val="002816FB"/>
    <w:rsid w:val="00281E77"/>
    <w:rsid w:val="0029479A"/>
    <w:rsid w:val="00296B25"/>
    <w:rsid w:val="002B2717"/>
    <w:rsid w:val="002B504C"/>
    <w:rsid w:val="002D3321"/>
    <w:rsid w:val="002F6943"/>
    <w:rsid w:val="003027FC"/>
    <w:rsid w:val="00302CB3"/>
    <w:rsid w:val="0032683D"/>
    <w:rsid w:val="003345E1"/>
    <w:rsid w:val="0034450B"/>
    <w:rsid w:val="003471EF"/>
    <w:rsid w:val="0034767D"/>
    <w:rsid w:val="00361AAF"/>
    <w:rsid w:val="003634AE"/>
    <w:rsid w:val="0037192D"/>
    <w:rsid w:val="003757C7"/>
    <w:rsid w:val="00382CBF"/>
    <w:rsid w:val="00384547"/>
    <w:rsid w:val="00394370"/>
    <w:rsid w:val="003A2D05"/>
    <w:rsid w:val="003A3DF5"/>
    <w:rsid w:val="003C3219"/>
    <w:rsid w:val="003C6765"/>
    <w:rsid w:val="003C7E99"/>
    <w:rsid w:val="003D362E"/>
    <w:rsid w:val="003F2659"/>
    <w:rsid w:val="003F35C0"/>
    <w:rsid w:val="003F4A25"/>
    <w:rsid w:val="003F5CE4"/>
    <w:rsid w:val="004012C1"/>
    <w:rsid w:val="00401948"/>
    <w:rsid w:val="00414215"/>
    <w:rsid w:val="0041504E"/>
    <w:rsid w:val="004155C3"/>
    <w:rsid w:val="0044361D"/>
    <w:rsid w:val="00452161"/>
    <w:rsid w:val="00462CAB"/>
    <w:rsid w:val="0046391A"/>
    <w:rsid w:val="00473EA1"/>
    <w:rsid w:val="00480B66"/>
    <w:rsid w:val="00483CC9"/>
    <w:rsid w:val="00484AE9"/>
    <w:rsid w:val="00484D60"/>
    <w:rsid w:val="00487B30"/>
    <w:rsid w:val="004A3D76"/>
    <w:rsid w:val="004B4C9B"/>
    <w:rsid w:val="004D18CE"/>
    <w:rsid w:val="004D4E50"/>
    <w:rsid w:val="004E2B0E"/>
    <w:rsid w:val="004F343D"/>
    <w:rsid w:val="005006BD"/>
    <w:rsid w:val="005076C5"/>
    <w:rsid w:val="00511B67"/>
    <w:rsid w:val="005359CF"/>
    <w:rsid w:val="00547806"/>
    <w:rsid w:val="00581070"/>
    <w:rsid w:val="005867BE"/>
    <w:rsid w:val="005911C7"/>
    <w:rsid w:val="005931E9"/>
    <w:rsid w:val="005A63C6"/>
    <w:rsid w:val="005A6A2A"/>
    <w:rsid w:val="005B6EDF"/>
    <w:rsid w:val="005B7194"/>
    <w:rsid w:val="005C0995"/>
    <w:rsid w:val="005D6338"/>
    <w:rsid w:val="005E2DB0"/>
    <w:rsid w:val="006150EE"/>
    <w:rsid w:val="00620C46"/>
    <w:rsid w:val="006264D7"/>
    <w:rsid w:val="00627401"/>
    <w:rsid w:val="00635C18"/>
    <w:rsid w:val="00643065"/>
    <w:rsid w:val="006571E9"/>
    <w:rsid w:val="00661C60"/>
    <w:rsid w:val="00664C75"/>
    <w:rsid w:val="00671961"/>
    <w:rsid w:val="00692E8B"/>
    <w:rsid w:val="0069482E"/>
    <w:rsid w:val="006A25DD"/>
    <w:rsid w:val="006A3E5E"/>
    <w:rsid w:val="006C2B4A"/>
    <w:rsid w:val="006C3670"/>
    <w:rsid w:val="006C4291"/>
    <w:rsid w:val="006D3DE2"/>
    <w:rsid w:val="006E11D6"/>
    <w:rsid w:val="006E1961"/>
    <w:rsid w:val="006F5EC5"/>
    <w:rsid w:val="00701AC3"/>
    <w:rsid w:val="0071155A"/>
    <w:rsid w:val="0071789C"/>
    <w:rsid w:val="00724EC4"/>
    <w:rsid w:val="007315D9"/>
    <w:rsid w:val="00733989"/>
    <w:rsid w:val="007748B3"/>
    <w:rsid w:val="00774ED1"/>
    <w:rsid w:val="00781387"/>
    <w:rsid w:val="007823C8"/>
    <w:rsid w:val="0079485E"/>
    <w:rsid w:val="007A4A76"/>
    <w:rsid w:val="007B297C"/>
    <w:rsid w:val="007B4A4C"/>
    <w:rsid w:val="007B7850"/>
    <w:rsid w:val="007C3CC4"/>
    <w:rsid w:val="007D795B"/>
    <w:rsid w:val="00850528"/>
    <w:rsid w:val="00876B95"/>
    <w:rsid w:val="008973FD"/>
    <w:rsid w:val="008A03AC"/>
    <w:rsid w:val="008B4E5A"/>
    <w:rsid w:val="008C6F94"/>
    <w:rsid w:val="008E0F40"/>
    <w:rsid w:val="008E28BE"/>
    <w:rsid w:val="008E4DF1"/>
    <w:rsid w:val="00925A86"/>
    <w:rsid w:val="00935145"/>
    <w:rsid w:val="0094145F"/>
    <w:rsid w:val="00945752"/>
    <w:rsid w:val="00954AEE"/>
    <w:rsid w:val="0096594D"/>
    <w:rsid w:val="00973429"/>
    <w:rsid w:val="00973432"/>
    <w:rsid w:val="009A17BF"/>
    <w:rsid w:val="009A7ED4"/>
    <w:rsid w:val="009B1EAD"/>
    <w:rsid w:val="009B3BFA"/>
    <w:rsid w:val="009B6D4C"/>
    <w:rsid w:val="009C2B61"/>
    <w:rsid w:val="009C6C67"/>
    <w:rsid w:val="009D40FA"/>
    <w:rsid w:val="009D5745"/>
    <w:rsid w:val="009E431E"/>
    <w:rsid w:val="009E56F5"/>
    <w:rsid w:val="009F130F"/>
    <w:rsid w:val="009F282D"/>
    <w:rsid w:val="009F4545"/>
    <w:rsid w:val="00A001D0"/>
    <w:rsid w:val="00A11E3E"/>
    <w:rsid w:val="00A34067"/>
    <w:rsid w:val="00A35CF9"/>
    <w:rsid w:val="00A35FEE"/>
    <w:rsid w:val="00A3655C"/>
    <w:rsid w:val="00A55DC7"/>
    <w:rsid w:val="00A60FDD"/>
    <w:rsid w:val="00A634DE"/>
    <w:rsid w:val="00A64C61"/>
    <w:rsid w:val="00A64EBC"/>
    <w:rsid w:val="00A66EF2"/>
    <w:rsid w:val="00A805DA"/>
    <w:rsid w:val="00A825CB"/>
    <w:rsid w:val="00AA3FDF"/>
    <w:rsid w:val="00AC4A2B"/>
    <w:rsid w:val="00AF0F6A"/>
    <w:rsid w:val="00B01617"/>
    <w:rsid w:val="00B05FAA"/>
    <w:rsid w:val="00B11B71"/>
    <w:rsid w:val="00B43ADA"/>
    <w:rsid w:val="00B53403"/>
    <w:rsid w:val="00B54729"/>
    <w:rsid w:val="00B82084"/>
    <w:rsid w:val="00B9683B"/>
    <w:rsid w:val="00BA67F9"/>
    <w:rsid w:val="00BA69CE"/>
    <w:rsid w:val="00BA7A9C"/>
    <w:rsid w:val="00BB1E30"/>
    <w:rsid w:val="00BD6B1A"/>
    <w:rsid w:val="00BF41C4"/>
    <w:rsid w:val="00C00D80"/>
    <w:rsid w:val="00C051A7"/>
    <w:rsid w:val="00C05C6C"/>
    <w:rsid w:val="00C130DB"/>
    <w:rsid w:val="00C31434"/>
    <w:rsid w:val="00C438A2"/>
    <w:rsid w:val="00C47BFF"/>
    <w:rsid w:val="00C57288"/>
    <w:rsid w:val="00C60663"/>
    <w:rsid w:val="00C61427"/>
    <w:rsid w:val="00C65CEF"/>
    <w:rsid w:val="00C67738"/>
    <w:rsid w:val="00C8292D"/>
    <w:rsid w:val="00C853D6"/>
    <w:rsid w:val="00C9792C"/>
    <w:rsid w:val="00CA032D"/>
    <w:rsid w:val="00CA20C6"/>
    <w:rsid w:val="00CB0CBF"/>
    <w:rsid w:val="00CC186D"/>
    <w:rsid w:val="00CC205C"/>
    <w:rsid w:val="00CD7EA3"/>
    <w:rsid w:val="00CE592D"/>
    <w:rsid w:val="00CE7E2B"/>
    <w:rsid w:val="00D01931"/>
    <w:rsid w:val="00D0366A"/>
    <w:rsid w:val="00D171F2"/>
    <w:rsid w:val="00D1723A"/>
    <w:rsid w:val="00D248C7"/>
    <w:rsid w:val="00D24E78"/>
    <w:rsid w:val="00D36293"/>
    <w:rsid w:val="00D464A5"/>
    <w:rsid w:val="00D5377F"/>
    <w:rsid w:val="00D64D3E"/>
    <w:rsid w:val="00D72C77"/>
    <w:rsid w:val="00D76B70"/>
    <w:rsid w:val="00D87609"/>
    <w:rsid w:val="00D908A2"/>
    <w:rsid w:val="00DA1FEA"/>
    <w:rsid w:val="00DC0DE7"/>
    <w:rsid w:val="00DF307D"/>
    <w:rsid w:val="00DF41F7"/>
    <w:rsid w:val="00DF43DE"/>
    <w:rsid w:val="00DF7097"/>
    <w:rsid w:val="00DF77FA"/>
    <w:rsid w:val="00E012F8"/>
    <w:rsid w:val="00E0290B"/>
    <w:rsid w:val="00E079C5"/>
    <w:rsid w:val="00E25C52"/>
    <w:rsid w:val="00E318AC"/>
    <w:rsid w:val="00E3347A"/>
    <w:rsid w:val="00E419EA"/>
    <w:rsid w:val="00E47B26"/>
    <w:rsid w:val="00E501C1"/>
    <w:rsid w:val="00E53046"/>
    <w:rsid w:val="00E545F1"/>
    <w:rsid w:val="00E74753"/>
    <w:rsid w:val="00E968C4"/>
    <w:rsid w:val="00EA17C2"/>
    <w:rsid w:val="00EC13FD"/>
    <w:rsid w:val="00EC2210"/>
    <w:rsid w:val="00ED1196"/>
    <w:rsid w:val="00ED3002"/>
    <w:rsid w:val="00EE6752"/>
    <w:rsid w:val="00EF0C62"/>
    <w:rsid w:val="00EF3E0C"/>
    <w:rsid w:val="00F12E31"/>
    <w:rsid w:val="00F24A94"/>
    <w:rsid w:val="00F33FB9"/>
    <w:rsid w:val="00F419EA"/>
    <w:rsid w:val="00F50447"/>
    <w:rsid w:val="00FA7538"/>
    <w:rsid w:val="00FC3718"/>
    <w:rsid w:val="00FD6F97"/>
    <w:rsid w:val="00FF4FBC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DC89A"/>
  <w15:chartTrackingRefBased/>
  <w15:docId w15:val="{4D7F6786-2BA0-4A57-9DE0-02B2219A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9C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5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9C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5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CF"/>
    <w:rPr>
      <w:lang w:val="es-ES"/>
    </w:rPr>
  </w:style>
  <w:style w:type="table" w:styleId="Tablaconcuadrcula">
    <w:name w:val="Table Grid"/>
    <w:basedOn w:val="Tablanormal"/>
    <w:uiPriority w:val="59"/>
    <w:rsid w:val="005359C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ph,5.9.1"/>
    <w:basedOn w:val="Normal"/>
    <w:link w:val="PrrafodelistaCar"/>
    <w:uiPriority w:val="34"/>
    <w:qFormat/>
    <w:rsid w:val="005359CF"/>
    <w:pPr>
      <w:ind w:left="720"/>
      <w:contextualSpacing/>
    </w:pPr>
  </w:style>
  <w:style w:type="character" w:styleId="Hipervnculo">
    <w:name w:val="Hyperlink"/>
    <w:aliases w:val="Hipervínculo1,Hipervínculo11,Hipervínculo12,Hipervínculo13,Hipervínculo14,Hipervínculo15"/>
    <w:basedOn w:val="Fuentedeprrafopredeter"/>
    <w:uiPriority w:val="99"/>
    <w:unhideWhenUsed/>
    <w:rsid w:val="005359CF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34"/>
    <w:qFormat/>
    <w:locked/>
    <w:rsid w:val="005359CF"/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63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1107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oswaldo medina hernandez</dc:creator>
  <cp:keywords/>
  <dc:description/>
  <cp:lastModifiedBy>inf03m_31@outlook.com</cp:lastModifiedBy>
  <cp:revision>6</cp:revision>
  <cp:lastPrinted>2025-02-24T21:49:00Z</cp:lastPrinted>
  <dcterms:created xsi:type="dcterms:W3CDTF">2025-02-27T20:03:00Z</dcterms:created>
  <dcterms:modified xsi:type="dcterms:W3CDTF">2025-03-03T19:08:00Z</dcterms:modified>
</cp:coreProperties>
</file>