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4D" w:rsidRDefault="0037106A">
      <w:pPr>
        <w:spacing w:after="0" w:line="360" w:lineRule="auto"/>
        <w:ind w:right="49"/>
        <w:jc w:val="both"/>
        <w:rPr>
          <w:rFonts w:ascii="Palatino Linotype" w:eastAsia="Palatino Linotype" w:hAnsi="Palatino Linotype" w:cs="Palatino Linotype"/>
          <w:b/>
          <w:color w:val="FF0000"/>
        </w:rPr>
      </w:pPr>
      <w:bookmarkStart w:id="0" w:name="_GoBack"/>
      <w:bookmarkEnd w:id="0"/>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ÉCIMA QUINTA SESIÓN ORDINARIA CELEBRADA</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 xml:space="preserve">EL TREINTA DE ABRIL DE </w:t>
      </w:r>
      <w:r>
        <w:rPr>
          <w:rFonts w:ascii="Palatino Linotype" w:eastAsia="Palatino Linotype" w:hAnsi="Palatino Linotype" w:cs="Palatino Linotype"/>
          <w:b/>
          <w:color w:val="000000"/>
        </w:rPr>
        <w:t>DOS MIL VEINTICINCO, EN EL RECURSO DE REVISIÓN 03950/INFOEM/IP/RR/2025 Y ACUMULADO 03963/INFOEM/IP/RR/2025.</w:t>
      </w:r>
    </w:p>
    <w:p w:rsidR="00A23B4D" w:rsidRDefault="00A23B4D">
      <w:pPr>
        <w:spacing w:after="0" w:line="360" w:lineRule="auto"/>
        <w:ind w:right="49"/>
        <w:jc w:val="both"/>
        <w:rPr>
          <w:rFonts w:ascii="Palatino Linotype" w:eastAsia="Palatino Linotype" w:hAnsi="Palatino Linotype" w:cs="Palatino Linotype"/>
          <w:b/>
        </w:rPr>
      </w:pPr>
    </w:p>
    <w:p w:rsidR="00A23B4D" w:rsidRDefault="0037106A">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Con fundamento en lo dispuesto por el artículo 14, fracciones X y XI, del Reglamento</w:t>
      </w:r>
      <w:r>
        <w:rPr>
          <w:rFonts w:ascii="Palatino Linotype" w:eastAsia="Palatino Linotype" w:hAnsi="Palatino Linotype" w:cs="Palatino Linotype"/>
        </w:rPr>
        <w:t xml:space="preserve">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 xml:space="preserve">respecto a la resolución dictada en el </w:t>
      </w:r>
      <w:r>
        <w:rPr>
          <w:rFonts w:ascii="Palatino Linotype" w:eastAsia="Palatino Linotype" w:hAnsi="Palatino Linotype" w:cs="Palatino Linotype"/>
          <w:b/>
        </w:rPr>
        <w:t xml:space="preserve">recurso de revisión </w:t>
      </w:r>
      <w:r>
        <w:rPr>
          <w:rFonts w:ascii="Palatino Linotype" w:eastAsia="Palatino Linotype" w:hAnsi="Palatino Linotype" w:cs="Palatino Linotype"/>
          <w:b/>
          <w:color w:val="000000"/>
        </w:rPr>
        <w:t>03950/INFOEM/IP/R</w:t>
      </w:r>
      <w:r>
        <w:rPr>
          <w:rFonts w:ascii="Palatino Linotype" w:eastAsia="Palatino Linotype" w:hAnsi="Palatino Linotype" w:cs="Palatino Linotype"/>
          <w:b/>
          <w:color w:val="000000"/>
        </w:rPr>
        <w:t>R/2025 y acumulado 03963/INFOEM/IP/RR/2025</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pronunciada por el Pleno de este Instituto ante el proyecto presentado por la Ponencia del </w:t>
      </w:r>
      <w:r>
        <w:rPr>
          <w:rFonts w:ascii="Palatino Linotype" w:eastAsia="Palatino Linotype" w:hAnsi="Palatino Linotype" w:cs="Palatino Linotype"/>
          <w:b/>
          <w:color w:val="000000"/>
        </w:rPr>
        <w:t>Comisionado José Martínez Vilchis</w:t>
      </w:r>
      <w:r>
        <w:rPr>
          <w:rFonts w:ascii="Palatino Linotype" w:eastAsia="Palatino Linotype" w:hAnsi="Palatino Linotype" w:cs="Palatino Linotype"/>
          <w:color w:val="000000"/>
        </w:rPr>
        <w:t>, que es del tenor siguiente:</w:t>
      </w:r>
    </w:p>
    <w:p w:rsidR="00A23B4D" w:rsidRDefault="00A23B4D">
      <w:pPr>
        <w:spacing w:after="0" w:line="360" w:lineRule="auto"/>
        <w:jc w:val="both"/>
        <w:rPr>
          <w:rFonts w:ascii="Palatino Linotype" w:eastAsia="Palatino Linotype" w:hAnsi="Palatino Linotype" w:cs="Palatino Linotype"/>
        </w:rPr>
      </w:pPr>
    </w:p>
    <w:p w:rsidR="00A23B4D" w:rsidRDefault="0037106A">
      <w:pPr>
        <w:numPr>
          <w:ilvl w:val="0"/>
          <w:numId w:val="1"/>
        </w:numPr>
        <w:spacing w:after="0" w:line="360" w:lineRule="auto"/>
        <w:ind w:left="284"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A23B4D" w:rsidRDefault="00A23B4D">
      <w:pPr>
        <w:spacing w:after="0" w:line="360" w:lineRule="auto"/>
        <w:ind w:left="142"/>
        <w:jc w:val="both"/>
        <w:rPr>
          <w:rFonts w:ascii="Palatino Linotype" w:eastAsia="Palatino Linotype" w:hAnsi="Palatino Linotype" w:cs="Palatino Linotype"/>
          <w:b/>
        </w:rPr>
      </w:pPr>
    </w:p>
    <w:p w:rsidR="00A23B4D" w:rsidRDefault="0037106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w:t>
      </w:r>
      <w:r>
        <w:rPr>
          <w:rFonts w:ascii="Palatino Linotype" w:eastAsia="Palatino Linotype" w:hAnsi="Palatino Linotype" w:cs="Palatino Linotype"/>
          <w:b/>
        </w:rPr>
        <w:t>rente</w:t>
      </w:r>
      <w:r>
        <w:rPr>
          <w:rFonts w:ascii="Palatino Linotype" w:eastAsia="Palatino Linotype" w:hAnsi="Palatino Linotype" w:cs="Palatino Linotype"/>
        </w:rPr>
        <w:t xml:space="preserve"> en las solicitudes que dio origen a los medios de impugnación respecto de los cuales se formula el presente voto, se requirió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A23B4D" w:rsidRDefault="00A23B4D">
      <w:pPr>
        <w:spacing w:after="0" w:line="360" w:lineRule="auto"/>
        <w:jc w:val="both"/>
        <w:rPr>
          <w:rFonts w:ascii="Palatino Linotype" w:eastAsia="Palatino Linotype" w:hAnsi="Palatino Linotype" w:cs="Palatino Linotype"/>
        </w:rPr>
      </w:pPr>
    </w:p>
    <w:p w:rsidR="00A23B4D" w:rsidRDefault="0037106A">
      <w:pPr>
        <w:spacing w:before="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00229/COCOTIT/IP/2025 </w:t>
      </w:r>
    </w:p>
    <w:p w:rsidR="00A23B4D" w:rsidRDefault="0037106A">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lastRenderedPageBreak/>
        <w:t xml:space="preserve">“Remitir Convenio que celebra la secretaria Ejecutiva del Sistema Anticorrupción con el Municipio de Cocotitlán con la Administración actual 2025-2027” </w:t>
      </w:r>
      <w:r>
        <w:rPr>
          <w:rFonts w:ascii="Palatino Linotype" w:eastAsia="Palatino Linotype" w:hAnsi="Palatino Linotype" w:cs="Palatino Linotype"/>
          <w:b/>
          <w:i/>
          <w:color w:val="000000"/>
        </w:rPr>
        <w:t>(Sic)</w:t>
      </w:r>
    </w:p>
    <w:p w:rsidR="00A23B4D" w:rsidRDefault="0037106A">
      <w:pPr>
        <w:spacing w:before="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 00228/COCOTIT/IP/2025</w:t>
      </w:r>
    </w:p>
    <w:p w:rsidR="00A23B4D" w:rsidRDefault="0037106A">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“Remitir Convenio que celebra la secretaria Ejecutiva del Sistema Anticorru</w:t>
      </w:r>
      <w:r>
        <w:rPr>
          <w:rFonts w:ascii="Palatino Linotype" w:eastAsia="Palatino Linotype" w:hAnsi="Palatino Linotype" w:cs="Palatino Linotype"/>
          <w:i/>
          <w:color w:val="000000"/>
        </w:rPr>
        <w:t xml:space="preserve">pción con el Municipio de Cocotitlán” </w:t>
      </w:r>
      <w:r>
        <w:rPr>
          <w:rFonts w:ascii="Palatino Linotype" w:eastAsia="Palatino Linotype" w:hAnsi="Palatino Linotype" w:cs="Palatino Linotype"/>
          <w:b/>
          <w:i/>
          <w:color w:val="000000"/>
        </w:rPr>
        <w:t>(Sic)</w:t>
      </w:r>
    </w:p>
    <w:p w:rsidR="00A23B4D" w:rsidRDefault="00A23B4D">
      <w:pPr>
        <w:spacing w:after="0" w:line="360" w:lineRule="auto"/>
        <w:jc w:val="both"/>
        <w:rPr>
          <w:rFonts w:ascii="Palatino Linotype" w:eastAsia="Palatino Linotype" w:hAnsi="Palatino Linotype" w:cs="Palatino Linotype"/>
        </w:rPr>
      </w:pPr>
    </w:p>
    <w:p w:rsidR="00A23B4D" w:rsidRDefault="0037106A">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a ambos recursos,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por conducto del Titular del Órgano Interno de Control medularmente refirió que, el convenio celebrado por la administración 2025-2027 se encuentra en proceso de firma y revisión por las áreas competentes.</w:t>
      </w:r>
    </w:p>
    <w:p w:rsidR="00A23B4D" w:rsidRDefault="00A23B4D">
      <w:pPr>
        <w:spacing w:after="0" w:line="360" w:lineRule="auto"/>
        <w:jc w:val="both"/>
        <w:rPr>
          <w:rFonts w:ascii="Palatino Linotype" w:eastAsia="Palatino Linotype" w:hAnsi="Palatino Linotype" w:cs="Palatino Linotype"/>
        </w:rPr>
      </w:pPr>
    </w:p>
    <w:p w:rsidR="00A23B4D" w:rsidRDefault="0037106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 la respuesta a la solicitud de inform</w:t>
      </w:r>
      <w:r>
        <w:rPr>
          <w:rFonts w:ascii="Palatino Linotype" w:eastAsia="Palatino Linotype" w:hAnsi="Palatino Linotype" w:cs="Palatino Linotype"/>
        </w:rPr>
        <w:t xml:space="preserve">ación,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interpuso el recurso de revisión citado al rubro, en el que se advierte se inconformó sustancialmente por lo siguiente:</w:t>
      </w:r>
    </w:p>
    <w:p w:rsidR="00A23B4D" w:rsidRDefault="00A23B4D">
      <w:pPr>
        <w:spacing w:after="0" w:line="360" w:lineRule="auto"/>
        <w:jc w:val="both"/>
        <w:rPr>
          <w:rFonts w:ascii="Palatino Linotype" w:eastAsia="Palatino Linotype" w:hAnsi="Palatino Linotype" w:cs="Palatino Linotype"/>
          <w:sz w:val="8"/>
          <w:szCs w:val="8"/>
        </w:rPr>
      </w:pPr>
    </w:p>
    <w:p w:rsidR="00A23B4D" w:rsidRDefault="0037106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03950/INFOEM/IP/RR/2025</w:t>
      </w:r>
    </w:p>
    <w:p w:rsidR="00A23B4D" w:rsidRDefault="0037106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“no se entregó información que se le solicita” (Sic)</w:t>
      </w:r>
    </w:p>
    <w:p w:rsidR="00A23B4D" w:rsidRDefault="00A23B4D">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color w:val="000000"/>
        </w:rPr>
      </w:pPr>
    </w:p>
    <w:p w:rsidR="00A23B4D" w:rsidRDefault="0037106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Razones o motivos de la inconformidad: </w:t>
      </w:r>
      <w:r>
        <w:rPr>
          <w:rFonts w:ascii="Palatino Linotype" w:eastAsia="Palatino Linotype" w:hAnsi="Palatino Linotype" w:cs="Palatino Linotype"/>
          <w:i/>
          <w:color w:val="000000"/>
        </w:rPr>
        <w:t xml:space="preserve">“no se entrega el documento que se solicita, a lo cual argumentan que sigue en firma, pero no se entrega soporte alguno de que se encuentra en ese procesó” (Sic) </w:t>
      </w:r>
    </w:p>
    <w:p w:rsidR="00A23B4D" w:rsidRDefault="00A23B4D">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color w:val="000000"/>
        </w:rPr>
      </w:pPr>
    </w:p>
    <w:p w:rsidR="00A23B4D" w:rsidRDefault="0037106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03963/INFOEM/IP/RR/2025</w:t>
      </w:r>
    </w:p>
    <w:p w:rsidR="00A23B4D" w:rsidRDefault="0037106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rPr>
        <w:t>“NO SE REMITI</w:t>
      </w:r>
      <w:r>
        <w:rPr>
          <w:rFonts w:ascii="Palatino Linotype" w:eastAsia="Palatino Linotype" w:hAnsi="Palatino Linotype" w:cs="Palatino Linotype"/>
          <w:i/>
          <w:color w:val="000000"/>
        </w:rPr>
        <w:t>O EL CONVENIO” (Sic)</w:t>
      </w:r>
    </w:p>
    <w:p w:rsidR="00A23B4D" w:rsidRDefault="00A23B4D">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color w:val="000000"/>
        </w:rPr>
      </w:pPr>
    </w:p>
    <w:p w:rsidR="00A23B4D" w:rsidRDefault="0037106A">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b/>
          <w:i/>
          <w:color w:val="000000"/>
        </w:rPr>
      </w:pPr>
      <w:r>
        <w:rPr>
          <w:rFonts w:ascii="Palatino Linotype" w:eastAsia="Palatino Linotype" w:hAnsi="Palatino Linotype" w:cs="Palatino Linotype"/>
          <w:b/>
          <w:color w:val="000000"/>
        </w:rPr>
        <w:lastRenderedPageBreak/>
        <w:t xml:space="preserve">Razones o motivos de la inconformidad: </w:t>
      </w:r>
      <w:r>
        <w:rPr>
          <w:rFonts w:ascii="Palatino Linotype" w:eastAsia="Palatino Linotype" w:hAnsi="Palatino Linotype" w:cs="Palatino Linotype"/>
          <w:i/>
          <w:color w:val="000000"/>
        </w:rPr>
        <w:t>“NO SE HACE ENTREGA DEL CONEVIO Y TAMPOCO DOCUMENTO QUE ACREDITE QUE SE ENCUNTRA EN PROCESO DE VALIDACION COMO SE HACE MENCIÓN” (Sic)</w:t>
      </w:r>
    </w:p>
    <w:p w:rsidR="00A23B4D" w:rsidRDefault="00A23B4D">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color w:val="000000"/>
        </w:rPr>
      </w:pPr>
    </w:p>
    <w:p w:rsidR="00A23B4D" w:rsidRDefault="0037106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de las constancias que obran en el expediente electróni</w:t>
      </w:r>
      <w:r>
        <w:rPr>
          <w:rFonts w:ascii="Palatino Linotype" w:eastAsia="Palatino Linotype" w:hAnsi="Palatino Linotype" w:cs="Palatino Linotype"/>
        </w:rPr>
        <w:t xml:space="preserve">co aperturado con motivo de los medios de impugnación de nuestra atención,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rendir su informe justificado; y,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fue omisa en hacer valer manifestaciones o rendir alegatos que conforme a derec</w:t>
      </w:r>
      <w:r>
        <w:rPr>
          <w:rFonts w:ascii="Palatino Linotype" w:eastAsia="Palatino Linotype" w:hAnsi="Palatino Linotype" w:cs="Palatino Linotype"/>
        </w:rPr>
        <w:t xml:space="preserve">ho resultaran procedentes. </w:t>
      </w:r>
    </w:p>
    <w:p w:rsidR="00A23B4D" w:rsidRDefault="00A23B4D">
      <w:pPr>
        <w:spacing w:after="0" w:line="360" w:lineRule="auto"/>
        <w:jc w:val="both"/>
        <w:rPr>
          <w:rFonts w:ascii="Palatino Linotype" w:eastAsia="Palatino Linotype" w:hAnsi="Palatino Linotype" w:cs="Palatino Linotype"/>
        </w:rPr>
      </w:pPr>
    </w:p>
    <w:p w:rsidR="00A23B4D" w:rsidRDefault="0037106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la mayoría de los integrantes del Pleno de este Instituto determinó que los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resultaban fundados, siendo procedente </w:t>
      </w:r>
      <w:r>
        <w:rPr>
          <w:rFonts w:ascii="Palatino Linotype" w:eastAsia="Palatino Linotype" w:hAnsi="Palatino Linotype" w:cs="Palatino Linotype"/>
          <w:b/>
        </w:rPr>
        <w:t xml:space="preserve">Revocar </w:t>
      </w:r>
      <w:r>
        <w:rPr>
          <w:rFonts w:ascii="Palatino Linotype" w:eastAsia="Palatino Linotype" w:hAnsi="Palatino Linotype" w:cs="Palatino Linotype"/>
        </w:rPr>
        <w:t xml:space="preserve">las respuestas del </w:t>
      </w:r>
      <w:r>
        <w:rPr>
          <w:rFonts w:ascii="Palatino Linotype" w:eastAsia="Palatino Linotype" w:hAnsi="Palatino Linotype" w:cs="Palatino Linotype"/>
          <w:b/>
        </w:rPr>
        <w:t xml:space="preserve">Sujeto </w:t>
      </w:r>
      <w:r>
        <w:rPr>
          <w:rFonts w:ascii="Palatino Linotype" w:eastAsia="Palatino Linotype" w:hAnsi="Palatino Linotype" w:cs="Palatino Linotype"/>
          <w:b/>
        </w:rPr>
        <w:t>Obligado</w:t>
      </w:r>
      <w:r>
        <w:rPr>
          <w:rFonts w:ascii="Palatino Linotype" w:eastAsia="Palatino Linotype" w:hAnsi="Palatino Linotype" w:cs="Palatino Linotype"/>
        </w:rPr>
        <w:t xml:space="preserve"> y ordenar la entrega de lo siguiente:</w:t>
      </w:r>
    </w:p>
    <w:p w:rsidR="00A23B4D" w:rsidRDefault="00A23B4D">
      <w:pPr>
        <w:spacing w:after="0" w:line="360" w:lineRule="auto"/>
        <w:jc w:val="both"/>
        <w:rPr>
          <w:rFonts w:ascii="Palatino Linotype" w:eastAsia="Palatino Linotype" w:hAnsi="Palatino Linotype" w:cs="Palatino Linotype"/>
        </w:rPr>
      </w:pPr>
    </w:p>
    <w:p w:rsidR="00A23B4D" w:rsidRDefault="0037106A">
      <w:pPr>
        <w:spacing w:after="0" w:line="36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PRIMERO.</w:t>
      </w:r>
      <w:r>
        <w:rPr>
          <w:rFonts w:ascii="Palatino Linotype" w:eastAsia="Palatino Linotype" w:hAnsi="Palatino Linotype" w:cs="Palatino Linotype"/>
          <w:i/>
          <w:sz w:val="20"/>
          <w:szCs w:val="20"/>
        </w:rPr>
        <w:t xml:space="preserve"> Se </w:t>
      </w:r>
      <w:r>
        <w:rPr>
          <w:rFonts w:ascii="Palatino Linotype" w:eastAsia="Palatino Linotype" w:hAnsi="Palatino Linotype" w:cs="Palatino Linotype"/>
          <w:b/>
          <w:i/>
          <w:sz w:val="20"/>
          <w:szCs w:val="20"/>
        </w:rPr>
        <w:t xml:space="preserve">REVOCAN  </w:t>
      </w:r>
      <w:r>
        <w:rPr>
          <w:rFonts w:ascii="Palatino Linotype" w:eastAsia="Palatino Linotype" w:hAnsi="Palatino Linotype" w:cs="Palatino Linotype"/>
          <w:i/>
          <w:sz w:val="20"/>
          <w:szCs w:val="20"/>
        </w:rPr>
        <w:t xml:space="preserve">las respuestas entregadas por </w:t>
      </w:r>
      <w:r>
        <w:rPr>
          <w:rFonts w:ascii="Palatino Linotype" w:eastAsia="Palatino Linotype" w:hAnsi="Palatino Linotype" w:cs="Palatino Linotype"/>
          <w:b/>
          <w:i/>
          <w:sz w:val="20"/>
          <w:szCs w:val="20"/>
        </w:rPr>
        <w:t xml:space="preserve">EL SUJETO OBLIGADO, </w:t>
      </w:r>
      <w:r>
        <w:rPr>
          <w:rFonts w:ascii="Palatino Linotype" w:eastAsia="Palatino Linotype" w:hAnsi="Palatino Linotype" w:cs="Palatino Linotype"/>
          <w:i/>
          <w:sz w:val="20"/>
          <w:szCs w:val="20"/>
        </w:rPr>
        <w:t xml:space="preserve">a las solicitudes de información números </w:t>
      </w:r>
      <w:r>
        <w:rPr>
          <w:rFonts w:ascii="Palatino Linotype" w:eastAsia="Palatino Linotype" w:hAnsi="Palatino Linotype" w:cs="Palatino Linotype"/>
          <w:b/>
          <w:i/>
          <w:sz w:val="20"/>
          <w:szCs w:val="20"/>
        </w:rPr>
        <w:t xml:space="preserve">00229/COCOTIT/IP/2025 </w:t>
      </w:r>
      <w:r>
        <w:rPr>
          <w:rFonts w:ascii="Palatino Linotype" w:eastAsia="Palatino Linotype" w:hAnsi="Palatino Linotype" w:cs="Palatino Linotype"/>
          <w:i/>
          <w:sz w:val="20"/>
          <w:szCs w:val="20"/>
        </w:rPr>
        <w:t xml:space="preserve">y </w:t>
      </w:r>
      <w:r>
        <w:rPr>
          <w:rFonts w:ascii="Palatino Linotype" w:eastAsia="Palatino Linotype" w:hAnsi="Palatino Linotype" w:cs="Palatino Linotype"/>
          <w:b/>
          <w:i/>
          <w:sz w:val="20"/>
          <w:szCs w:val="20"/>
        </w:rPr>
        <w:t xml:space="preserve">00228/COCOTIT/IP/2025 </w:t>
      </w:r>
      <w:r>
        <w:rPr>
          <w:rFonts w:ascii="Palatino Linotype" w:eastAsia="Palatino Linotype" w:hAnsi="Palatino Linotype" w:cs="Palatino Linotype"/>
          <w:i/>
          <w:sz w:val="20"/>
          <w:szCs w:val="20"/>
        </w:rPr>
        <w:t xml:space="preserve">por resultar fundados los motivos de inconformidad que arguye </w:t>
      </w:r>
      <w:r>
        <w:rPr>
          <w:rFonts w:ascii="Palatino Linotype" w:eastAsia="Palatino Linotype" w:hAnsi="Palatino Linotype" w:cs="Palatino Linotype"/>
          <w:b/>
          <w:i/>
          <w:sz w:val="20"/>
          <w:szCs w:val="20"/>
        </w:rPr>
        <w:t xml:space="preserve">EL RECURRENTE, </w:t>
      </w:r>
      <w:r>
        <w:rPr>
          <w:rFonts w:ascii="Palatino Linotype" w:eastAsia="Palatino Linotype" w:hAnsi="Palatino Linotype" w:cs="Palatino Linotype"/>
          <w:i/>
          <w:sz w:val="20"/>
          <w:szCs w:val="20"/>
        </w:rPr>
        <w:t xml:space="preserve">en términos del considerando </w:t>
      </w: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 xml:space="preserve">de la presente resolución. </w:t>
      </w:r>
    </w:p>
    <w:p w:rsidR="00A23B4D" w:rsidRDefault="00A23B4D">
      <w:pPr>
        <w:spacing w:after="0" w:line="360" w:lineRule="auto"/>
        <w:ind w:left="567" w:right="616"/>
        <w:jc w:val="both"/>
        <w:rPr>
          <w:rFonts w:ascii="Palatino Linotype" w:eastAsia="Palatino Linotype" w:hAnsi="Palatino Linotype" w:cs="Palatino Linotype"/>
          <w:i/>
          <w:sz w:val="20"/>
          <w:szCs w:val="20"/>
        </w:rPr>
      </w:pPr>
    </w:p>
    <w:p w:rsidR="00A23B4D" w:rsidRDefault="0037106A">
      <w:pPr>
        <w:spacing w:after="0" w:line="360" w:lineRule="auto"/>
        <w:ind w:left="567"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SEGUNDO.</w:t>
      </w:r>
      <w:r>
        <w:rPr>
          <w:rFonts w:ascii="Palatino Linotype" w:eastAsia="Palatino Linotype" w:hAnsi="Palatino Linotype" w:cs="Palatino Linotype"/>
          <w:i/>
          <w:sz w:val="20"/>
          <w:szCs w:val="20"/>
        </w:rPr>
        <w:t xml:space="preserve"> Se </w:t>
      </w:r>
      <w:r>
        <w:rPr>
          <w:rFonts w:ascii="Palatino Linotype" w:eastAsia="Palatino Linotype" w:hAnsi="Palatino Linotype" w:cs="Palatino Linotype"/>
          <w:b/>
          <w:i/>
          <w:sz w:val="20"/>
          <w:szCs w:val="20"/>
        </w:rPr>
        <w:t>ORDENA</w:t>
      </w:r>
      <w:r>
        <w:rPr>
          <w:rFonts w:ascii="Palatino Linotype" w:eastAsia="Palatino Linotype" w:hAnsi="Palatino Linotype" w:cs="Palatino Linotype"/>
          <w:i/>
          <w:sz w:val="20"/>
          <w:szCs w:val="20"/>
        </w:rPr>
        <w:t xml:space="preserve"> al </w:t>
      </w:r>
      <w:r>
        <w:rPr>
          <w:rFonts w:ascii="Palatino Linotype" w:eastAsia="Palatino Linotype" w:hAnsi="Palatino Linotype" w:cs="Palatino Linotype"/>
          <w:b/>
          <w:i/>
          <w:sz w:val="20"/>
          <w:szCs w:val="20"/>
        </w:rPr>
        <w:t xml:space="preserve">SUJETO OBLIGADO </w:t>
      </w:r>
      <w:r>
        <w:rPr>
          <w:rFonts w:ascii="Palatino Linotype" w:eastAsia="Palatino Linotype" w:hAnsi="Palatino Linotype" w:cs="Palatino Linotype"/>
          <w:i/>
          <w:sz w:val="20"/>
          <w:szCs w:val="20"/>
        </w:rPr>
        <w:t xml:space="preserve">hacer entrega al </w:t>
      </w:r>
      <w:r>
        <w:rPr>
          <w:rFonts w:ascii="Palatino Linotype" w:eastAsia="Palatino Linotype" w:hAnsi="Palatino Linotype" w:cs="Palatino Linotype"/>
          <w:b/>
          <w:i/>
          <w:sz w:val="20"/>
          <w:szCs w:val="20"/>
        </w:rPr>
        <w:t xml:space="preserve">RECURRENTE, vía </w:t>
      </w:r>
      <w:r>
        <w:rPr>
          <w:rFonts w:ascii="Palatino Linotype" w:eastAsia="Palatino Linotype" w:hAnsi="Palatino Linotype" w:cs="Palatino Linotype"/>
          <w:i/>
          <w:sz w:val="20"/>
          <w:szCs w:val="20"/>
        </w:rPr>
        <w:t>Sistema de Acceso a la Información Mexiquen</w:t>
      </w:r>
      <w:r>
        <w:rPr>
          <w:rFonts w:ascii="Palatino Linotype" w:eastAsia="Palatino Linotype" w:hAnsi="Palatino Linotype" w:cs="Palatino Linotype"/>
          <w:i/>
          <w:sz w:val="20"/>
          <w:szCs w:val="20"/>
        </w:rPr>
        <w:t xml:space="preserve">se </w:t>
      </w:r>
      <w:r>
        <w:rPr>
          <w:rFonts w:ascii="Palatino Linotype" w:eastAsia="Palatino Linotype" w:hAnsi="Palatino Linotype" w:cs="Palatino Linotype"/>
          <w:b/>
          <w:i/>
          <w:sz w:val="20"/>
          <w:szCs w:val="20"/>
        </w:rPr>
        <w:t xml:space="preserve">(SAIMEX), </w:t>
      </w:r>
      <w:r>
        <w:rPr>
          <w:rFonts w:ascii="Palatino Linotype" w:eastAsia="Palatino Linotype" w:hAnsi="Palatino Linotype" w:cs="Palatino Linotype"/>
          <w:i/>
          <w:sz w:val="20"/>
          <w:szCs w:val="20"/>
        </w:rPr>
        <w:t xml:space="preserve">en términos del Considerando </w:t>
      </w:r>
      <w:r>
        <w:rPr>
          <w:rFonts w:ascii="Palatino Linotype" w:eastAsia="Palatino Linotype" w:hAnsi="Palatino Linotype" w:cs="Palatino Linotype"/>
          <w:b/>
          <w:i/>
          <w:sz w:val="20"/>
          <w:szCs w:val="20"/>
        </w:rPr>
        <w:t xml:space="preserve">CUARTO </w:t>
      </w:r>
      <w:r>
        <w:rPr>
          <w:rFonts w:ascii="Palatino Linotype" w:eastAsia="Palatino Linotype" w:hAnsi="Palatino Linotype" w:cs="Palatino Linotype"/>
          <w:i/>
          <w:sz w:val="20"/>
          <w:szCs w:val="20"/>
        </w:rPr>
        <w:t>de esta resolución</w:t>
      </w:r>
      <w:r>
        <w:rPr>
          <w:rFonts w:ascii="Palatino Linotype" w:eastAsia="Palatino Linotype" w:hAnsi="Palatino Linotype" w:cs="Palatino Linotype"/>
          <w:b/>
          <w:i/>
          <w:sz w:val="20"/>
          <w:szCs w:val="20"/>
        </w:rPr>
        <w:t xml:space="preserve">, </w:t>
      </w:r>
      <w:r>
        <w:rPr>
          <w:rFonts w:ascii="Palatino Linotype" w:eastAsia="Palatino Linotype" w:hAnsi="Palatino Linotype" w:cs="Palatino Linotype"/>
          <w:i/>
          <w:sz w:val="20"/>
          <w:szCs w:val="20"/>
        </w:rPr>
        <w:t>de lo siguiente:</w:t>
      </w:r>
    </w:p>
    <w:p w:rsidR="00A23B4D" w:rsidRDefault="00A23B4D">
      <w:pPr>
        <w:spacing w:after="0" w:line="360" w:lineRule="auto"/>
        <w:ind w:left="567" w:right="616"/>
        <w:jc w:val="both"/>
        <w:rPr>
          <w:rFonts w:ascii="Palatino Linotype" w:eastAsia="Palatino Linotype" w:hAnsi="Palatino Linotype" w:cs="Palatino Linotype"/>
          <w:i/>
          <w:sz w:val="20"/>
          <w:szCs w:val="20"/>
        </w:rPr>
      </w:pPr>
    </w:p>
    <w:p w:rsidR="00A23B4D" w:rsidRDefault="0037106A">
      <w:pPr>
        <w:numPr>
          <w:ilvl w:val="0"/>
          <w:numId w:val="2"/>
        </w:numPr>
        <w:spacing w:after="0" w:line="360" w:lineRule="auto"/>
        <w:ind w:left="993" w:right="616"/>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Convenios celebrados entre la Secretaría Ejecutiva del Sistema Anticorrupción del Estado de México “SESAEMM” y el Ayuntamiento de Cocotitlán, del periodo comprendido del</w:t>
      </w:r>
      <w:r>
        <w:rPr>
          <w:rFonts w:ascii="Palatino Linotype" w:eastAsia="Palatino Linotype" w:hAnsi="Palatino Linotype" w:cs="Palatino Linotype"/>
          <w:i/>
          <w:sz w:val="20"/>
          <w:szCs w:val="20"/>
        </w:rPr>
        <w:t xml:space="preserve"> doce de marzo de dos mil veinticuatro al doce de marzo de dos mil veinticinco</w:t>
      </w:r>
      <w:proofErr w:type="gramStart"/>
      <w:r>
        <w:rPr>
          <w:rFonts w:ascii="Palatino Linotype" w:eastAsia="Palatino Linotype" w:hAnsi="Palatino Linotype" w:cs="Palatino Linotype"/>
          <w:i/>
          <w:sz w:val="20"/>
          <w:szCs w:val="20"/>
        </w:rPr>
        <w:t>.[</w:t>
      </w:r>
      <w:proofErr w:type="gramEnd"/>
      <w:r>
        <w:rPr>
          <w:rFonts w:ascii="Palatino Linotype" w:eastAsia="Palatino Linotype" w:hAnsi="Palatino Linotype" w:cs="Palatino Linotype"/>
          <w:i/>
          <w:sz w:val="20"/>
          <w:szCs w:val="20"/>
        </w:rPr>
        <w:t>…]”</w:t>
      </w:r>
    </w:p>
    <w:p w:rsidR="00A23B4D" w:rsidRDefault="00A23B4D">
      <w:pPr>
        <w:spacing w:after="0" w:line="240" w:lineRule="auto"/>
        <w:ind w:left="567" w:right="616"/>
        <w:jc w:val="both"/>
        <w:rPr>
          <w:rFonts w:ascii="Palatino Linotype" w:eastAsia="Palatino Linotype" w:hAnsi="Palatino Linotype" w:cs="Palatino Linotype"/>
          <w:b/>
          <w:i/>
          <w:sz w:val="20"/>
          <w:szCs w:val="20"/>
        </w:rPr>
      </w:pPr>
    </w:p>
    <w:p w:rsidR="00A23B4D" w:rsidRDefault="0037106A">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Disidente. </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Expuestos los antecedentes del presente asunto, resulta importante señalar que respetuosamente la suscrita no coincide con los términos plant</w:t>
      </w:r>
      <w:r>
        <w:rPr>
          <w:rFonts w:ascii="Palatino Linotype" w:eastAsia="Palatino Linotype" w:hAnsi="Palatino Linotype" w:cs="Palatino Linotype"/>
          <w:color w:val="000000"/>
        </w:rPr>
        <w:t xml:space="preserve">eados en la Resolución, toda vez que desde mi punto de vista, procedía confirmar las respuestas emitidas por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por las siguientes consideraciones.</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primer término, como se podrá advertir de los antecedentes previamente señalados, la pe</w:t>
      </w:r>
      <w:r>
        <w:rPr>
          <w:rFonts w:ascii="Palatino Linotype" w:eastAsia="Palatino Linotype" w:hAnsi="Palatino Linotype" w:cs="Palatino Linotype"/>
          <w:color w:val="000000"/>
        </w:rPr>
        <w:t>rsona solicitante en ambas solicitudes indicó que requería el convenio que celebra la Secretaría Ejecutiva del Sistema Anticorrupción del Estado de México con el Municipio de Cocotitlán, no obstante sólo en la solicitud que dio origen al recurso de revisió</w:t>
      </w:r>
      <w:r>
        <w:rPr>
          <w:rFonts w:ascii="Palatino Linotype" w:eastAsia="Palatino Linotype" w:hAnsi="Palatino Linotype" w:cs="Palatino Linotype"/>
          <w:color w:val="000000"/>
        </w:rPr>
        <w:t>n 03950/INFOEM/IP/RR/2025, se precisó que la temporalidad de la que se requería el convenio es de la administración pública municipal actual que comprende del 2025-2027.</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obstante, de los motivos de inconformidad hechos valer en ambos recursos de revisi</w:t>
      </w:r>
      <w:r>
        <w:rPr>
          <w:rFonts w:ascii="Palatino Linotype" w:eastAsia="Palatino Linotype" w:hAnsi="Palatino Linotype" w:cs="Palatino Linotype"/>
          <w:color w:val="000000"/>
        </w:rPr>
        <w:t xml:space="preserve">ón, se puede advertir que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consiente que el convenio que requería su entrega en ambas solicitudes, es el correspondiente a la administración pública municipal actual que comprende del 2025-2027, pues su agravio radica en que no se le hiz</w:t>
      </w:r>
      <w:r>
        <w:rPr>
          <w:rFonts w:ascii="Palatino Linotype" w:eastAsia="Palatino Linotype" w:hAnsi="Palatino Linotype" w:cs="Palatino Linotype"/>
          <w:color w:val="000000"/>
        </w:rPr>
        <w:t>o entrega del convenio, respecto del cual en respuesta el Sujeto Obligado por conducto del Titular del Órgano Interno de Control señaló que se encuentra en proceso de revisión y firma.</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fin de sustentar lo anterior, sirve citar las razones o motivos de inconformidad hechos valer en cada asunto:</w:t>
      </w: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03950/INFOEM/IP/RR/2025</w:t>
      </w:r>
    </w:p>
    <w:p w:rsidR="00A23B4D" w:rsidRDefault="0037106A">
      <w:pPr>
        <w:spacing w:after="0" w:line="360" w:lineRule="auto"/>
        <w:ind w:right="-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Razones o motivos de la inconformidad: </w:t>
      </w:r>
    </w:p>
    <w:p w:rsidR="00A23B4D" w:rsidRDefault="0037106A">
      <w:pPr>
        <w:spacing w:after="0" w:line="360" w:lineRule="auto"/>
        <w:ind w:right="-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 se entrega el documento que se solicita, a lo cual argumentan que sigue en firma, pero no se entrega soporte alguno de que se encuentra en ese procesó” </w:t>
      </w:r>
      <w:r>
        <w:rPr>
          <w:rFonts w:ascii="Palatino Linotype" w:eastAsia="Palatino Linotype" w:hAnsi="Palatino Linotype" w:cs="Palatino Linotype"/>
          <w:b/>
          <w:i/>
          <w:color w:val="000000"/>
        </w:rPr>
        <w:t>(Sic)</w:t>
      </w:r>
      <w:r>
        <w:rPr>
          <w:rFonts w:ascii="Palatino Linotype" w:eastAsia="Palatino Linotype" w:hAnsi="Palatino Linotype" w:cs="Palatino Linotype"/>
          <w:i/>
          <w:color w:val="000000"/>
        </w:rPr>
        <w:t xml:space="preserve"> </w:t>
      </w:r>
    </w:p>
    <w:p w:rsidR="00A23B4D" w:rsidRDefault="00A23B4D">
      <w:pPr>
        <w:spacing w:after="0" w:line="360" w:lineRule="auto"/>
        <w:ind w:right="-3"/>
        <w:jc w:val="both"/>
        <w:rPr>
          <w:rFonts w:ascii="Palatino Linotype" w:eastAsia="Palatino Linotype" w:hAnsi="Palatino Linotype" w:cs="Palatino Linotype"/>
          <w:b/>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03963/INFOEM/IP/RR/2025</w:t>
      </w:r>
    </w:p>
    <w:p w:rsidR="00A23B4D" w:rsidRDefault="0037106A">
      <w:pPr>
        <w:spacing w:after="0" w:line="360" w:lineRule="auto"/>
        <w:ind w:right="-3"/>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Razones o motivos de la inconformidad: </w:t>
      </w:r>
    </w:p>
    <w:p w:rsidR="00A23B4D" w:rsidRDefault="0037106A">
      <w:pPr>
        <w:spacing w:after="0" w:line="360" w:lineRule="auto"/>
        <w:ind w:right="-3"/>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“NO SE HACE ENTREGA DEL CONE</w:t>
      </w:r>
      <w:r>
        <w:rPr>
          <w:rFonts w:ascii="Palatino Linotype" w:eastAsia="Palatino Linotype" w:hAnsi="Palatino Linotype" w:cs="Palatino Linotype"/>
          <w:i/>
          <w:color w:val="000000"/>
        </w:rPr>
        <w:t xml:space="preserve">VIO Y TAMPOCO DOCUMENTO QUE ACREDITE QUE SE ENCUNTRA EN PROCESO DE VALIDACION COMO SE HACE MENCIÓN” </w:t>
      </w:r>
      <w:r>
        <w:rPr>
          <w:rFonts w:ascii="Palatino Linotype" w:eastAsia="Palatino Linotype" w:hAnsi="Palatino Linotype" w:cs="Palatino Linotype"/>
          <w:b/>
          <w:i/>
          <w:color w:val="000000"/>
        </w:rPr>
        <w:t>(Sic)</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tanto, se considera que en la resolución se debió invocar el argumento de actos consentidos, respecto a la temporalidad del convenio solicitado; </w:t>
      </w:r>
      <w:r>
        <w:rPr>
          <w:rFonts w:ascii="Palatino Linotype" w:eastAsia="Palatino Linotype" w:hAnsi="Palatino Linotype" w:cs="Palatino Linotype"/>
          <w:color w:val="000000"/>
        </w:rPr>
        <w:t>y, en tal virtud únicamente entrar al análisis del convenio que celebra la Secretaría Ejecutiva del Sistema Anticorrupción del Estado de México con el Municipio de Cocotitlán, respecto de la administración pública municipal actual que comprende del 2025-20</w:t>
      </w:r>
      <w:r>
        <w:rPr>
          <w:rFonts w:ascii="Palatino Linotype" w:eastAsia="Palatino Linotype" w:hAnsi="Palatino Linotype" w:cs="Palatino Linotype"/>
          <w:color w:val="000000"/>
        </w:rPr>
        <w:t>27, que es la materia de la Litis en ambos medios de impugnación.</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 así, debido a que cuando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impugna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y este no expresa Razón o Motivo de Inconformidad en contra de todos los rubros solicit</w:t>
      </w:r>
      <w:r>
        <w:rPr>
          <w:rFonts w:ascii="Palatino Linotype" w:eastAsia="Palatino Linotype" w:hAnsi="Palatino Linotype" w:cs="Palatino Linotype"/>
        </w:rPr>
        <w:t xml:space="preserve">ados, o bien, como ocurrió en el caso, sobre la temporalidad de la información respecto </w:t>
      </w:r>
      <w:r>
        <w:rPr>
          <w:rFonts w:ascii="Palatino Linotype" w:eastAsia="Palatino Linotype" w:hAnsi="Palatino Linotype" w:cs="Palatino Linotype"/>
        </w:rPr>
        <w:lastRenderedPageBreak/>
        <w:t xml:space="preserve">de la cual se pronunció el ente obligado, se debe declarar atendida la periodicidad de entrega de la información, pues se entiende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ésta conforme</w:t>
      </w:r>
      <w:r>
        <w:rPr>
          <w:rFonts w:ascii="Palatino Linotype" w:eastAsia="Palatino Linotype" w:hAnsi="Palatino Linotype" w:cs="Palatino Linotype"/>
        </w:rPr>
        <w:t xml:space="preserve"> al no contravenir la misma. Sirve de Apoyo a lo anterior, por analogía la Tesis Jurisprudencial Número 3ª./J.7/91, Publicada en el Semanario Judicial de la Federación y su Gaceta bajo el número de registro 174,177, que establece lo siguiente:</w:t>
      </w:r>
    </w:p>
    <w:p w:rsidR="00A23B4D" w:rsidRDefault="0037106A">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 xml:space="preserve">“REVISIÓN EN AMPARO. LOS RESOLUTIVOS NO COMBATIDOS DEBEN DECLARARSE FIRMES. </w:t>
      </w:r>
      <w:r>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w:t>
      </w:r>
      <w:r>
        <w:rPr>
          <w:rFonts w:ascii="Palatino Linotype" w:eastAsia="Palatino Linotype" w:hAnsi="Palatino Linotype" w:cs="Palatino Linotype"/>
          <w:i/>
        </w:rPr>
        <w:t>clararse firme. Esto es, en el caso referido, no obstante que la materia de la revisión comprende a todos los resolutivos que afectan a la recurrente, deben declararse firmes aquéllos en contra de los cuales no se formuló agravio y dicha declaración de fir</w:t>
      </w:r>
      <w:r>
        <w:rPr>
          <w:rFonts w:ascii="Palatino Linotype" w:eastAsia="Palatino Linotype" w:hAnsi="Palatino Linotype" w:cs="Palatino Linotype"/>
          <w:i/>
        </w:rPr>
        <w:t>meza debe reflejarse en la parte considerativa y en los resolutivos debe confirmarse la sentencia recurrida en la parte correspondiente.”</w:t>
      </w:r>
    </w:p>
    <w:p w:rsidR="00A23B4D" w:rsidRDefault="00A23B4D">
      <w:pPr>
        <w:spacing w:line="276" w:lineRule="auto"/>
        <w:ind w:left="567" w:right="616"/>
        <w:jc w:val="both"/>
        <w:rPr>
          <w:rFonts w:ascii="Palatino Linotype" w:eastAsia="Palatino Linotype" w:hAnsi="Palatino Linotype" w:cs="Palatino Linotype"/>
          <w:i/>
          <w:sz w:val="14"/>
          <w:szCs w:val="14"/>
        </w:rPr>
      </w:pPr>
    </w:p>
    <w:p w:rsidR="00A23B4D" w:rsidRDefault="0037106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resulta aplicable lo plasmado en el criterio orientador 01/20 emitido por el entonces Instituto Nacional de</w:t>
      </w:r>
      <w:r>
        <w:rPr>
          <w:rFonts w:ascii="Palatino Linotype" w:eastAsia="Palatino Linotype" w:hAnsi="Palatino Linotype" w:cs="Palatino Linotype"/>
        </w:rPr>
        <w:t xml:space="preserve"> Transparencia, Acceso a la Información, y Protección de Datos Personales, INAI, que lleva por rubro y texto los siguientes: </w:t>
      </w:r>
    </w:p>
    <w:p w:rsidR="00A23B4D" w:rsidRDefault="0037106A">
      <w:pPr>
        <w:pBdr>
          <w:top w:val="nil"/>
          <w:left w:val="nil"/>
          <w:bottom w:val="nil"/>
          <w:right w:val="nil"/>
          <w:between w:val="nil"/>
        </w:pBdr>
        <w:spacing w:line="276" w:lineRule="auto"/>
        <w:ind w:left="567"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 xml:space="preserve">Actos consentidos tácitamente. Improcedencia de su análisis. </w:t>
      </w:r>
      <w:r>
        <w:rPr>
          <w:rFonts w:ascii="Palatino Linotype" w:eastAsia="Palatino Linotype" w:hAnsi="Palatino Linotype" w:cs="Palatino Linotype"/>
          <w:i/>
          <w:color w:val="000000"/>
        </w:rPr>
        <w:t>Si en su recurso de revisión, la persona recurrente no expresó incon</w:t>
      </w:r>
      <w:r>
        <w:rPr>
          <w:rFonts w:ascii="Palatino Linotype" w:eastAsia="Palatino Linotype" w:hAnsi="Palatino Linotype" w:cs="Palatino Linotype"/>
          <w:i/>
          <w:color w:val="000000"/>
        </w:rPr>
        <w:t>formidad alguna con ciertas partes de la respuesta otorgada, se entienden tácitamente consentidas, por ende, no deben formar parte del estudio de fondo de la resolución que emite el Instituto.”</w:t>
      </w:r>
    </w:p>
    <w:p w:rsidR="00A23B4D" w:rsidRDefault="0037106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manera, resulta aplicable por analogía la tesis juris</w:t>
      </w:r>
      <w:r>
        <w:rPr>
          <w:rFonts w:ascii="Palatino Linotype" w:eastAsia="Palatino Linotype" w:hAnsi="Palatino Linotype" w:cs="Palatino Linotype"/>
        </w:rPr>
        <w:t>prudencial número VI.3o.C. J/60, publicada en el Semanario Judicial de la Federación y su Gaceta bajo el número de registro 176,608 que a la letra dice:</w:t>
      </w:r>
    </w:p>
    <w:p w:rsidR="00A23B4D" w:rsidRDefault="00A23B4D">
      <w:pPr>
        <w:spacing w:line="360" w:lineRule="auto"/>
        <w:ind w:left="851" w:right="900"/>
        <w:jc w:val="both"/>
        <w:rPr>
          <w:rFonts w:ascii="Palatino Linotype" w:eastAsia="Palatino Linotype" w:hAnsi="Palatino Linotype" w:cs="Palatino Linotype"/>
          <w:b/>
          <w:i/>
          <w:smallCaps/>
        </w:rPr>
      </w:pPr>
    </w:p>
    <w:p w:rsidR="00A23B4D" w:rsidRDefault="0037106A">
      <w:pPr>
        <w:tabs>
          <w:tab w:val="left" w:pos="851"/>
          <w:tab w:val="left" w:pos="1276"/>
        </w:tabs>
        <w:spacing w:line="276" w:lineRule="auto"/>
        <w:ind w:left="567" w:right="709"/>
        <w:jc w:val="both"/>
        <w:rPr>
          <w:rFonts w:ascii="Palatino Linotype" w:eastAsia="Palatino Linotype" w:hAnsi="Palatino Linotype" w:cs="Palatino Linotype"/>
          <w:color w:val="000000"/>
        </w:rPr>
      </w:pPr>
      <w:r>
        <w:rPr>
          <w:rFonts w:ascii="Palatino Linotype" w:eastAsia="Palatino Linotype" w:hAnsi="Palatino Linotype" w:cs="Palatino Linotype"/>
          <w:b/>
          <w:i/>
          <w:smallCaps/>
        </w:rPr>
        <w:t xml:space="preserve">“ACTOS CONSENTIDOS. SON LOS QUE NO SE IMPUGNAN MEDIANTE EL RECURSO IDÓNEO. </w:t>
      </w:r>
      <w:r>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w:t>
      </w:r>
      <w:r>
        <w:rPr>
          <w:rFonts w:ascii="Palatino Linotype" w:eastAsia="Palatino Linotype" w:hAnsi="Palatino Linotype" w:cs="Palatino Linotype"/>
          <w:i/>
        </w:rPr>
        <w:t>tes a revocar, confirmar o modificar el acto reclamado en amparo, lo que significa consentimiento del mismo por falta de impugnación eficaz.”</w:t>
      </w:r>
    </w:p>
    <w:p w:rsidR="00A23B4D" w:rsidRDefault="00A23B4D">
      <w:pPr>
        <w:spacing w:line="360" w:lineRule="auto"/>
        <w:jc w:val="both"/>
        <w:rPr>
          <w:rFonts w:ascii="Palatino Linotype" w:eastAsia="Palatino Linotype" w:hAnsi="Palatino Linotype" w:cs="Palatino Linotype"/>
          <w:color w:val="000000"/>
        </w:rPr>
      </w:pPr>
    </w:p>
    <w:p w:rsidR="00A23B4D" w:rsidRDefault="0037106A">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conforme lo anterior, y toda vez que en el caso el Titular del Órgano Interno de Control en ambas respuest</w:t>
      </w:r>
      <w:r>
        <w:rPr>
          <w:rFonts w:ascii="Palatino Linotype" w:eastAsia="Palatino Linotype" w:hAnsi="Palatino Linotype" w:cs="Palatino Linotype"/>
          <w:color w:val="000000"/>
        </w:rPr>
        <w:t xml:space="preserve">as señaló que el convenio requerido por el particular se encontraba en revisión y proceso de firma, por ende se advierte que es un documento que no se encuentra en su versión final y en consecuencia no constituye un documento definitivo, pues se encuentra </w:t>
      </w:r>
      <w:r>
        <w:rPr>
          <w:rFonts w:ascii="Palatino Linotype" w:eastAsia="Palatino Linotype" w:hAnsi="Palatino Linotype" w:cs="Palatino Linotype"/>
          <w:color w:val="000000"/>
        </w:rPr>
        <w:t>sujeto a sufrir modificaciones.</w:t>
      </w:r>
    </w:p>
    <w:p w:rsidR="00A23B4D" w:rsidRDefault="00A23B4D">
      <w:pPr>
        <w:spacing w:after="0" w:line="360" w:lineRule="auto"/>
        <w:jc w:val="both"/>
        <w:rPr>
          <w:rFonts w:ascii="Palatino Linotype" w:eastAsia="Palatino Linotype" w:hAnsi="Palatino Linotype" w:cs="Palatino Linotype"/>
          <w:color w:val="000000"/>
        </w:rPr>
      </w:pPr>
    </w:p>
    <w:p w:rsidR="00A23B4D" w:rsidRDefault="0037106A">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esta manera, es que no es susceptible de ser entregado el aludido convenio en atención a una solicitud de información hasta que adquiera ese carácter definitivo, pues conforme lo referido por el ente obligado, se despren</w:t>
      </w:r>
      <w:r>
        <w:rPr>
          <w:rFonts w:ascii="Palatino Linotype" w:eastAsia="Palatino Linotype" w:hAnsi="Palatino Linotype" w:cs="Palatino Linotype"/>
          <w:color w:val="000000"/>
        </w:rPr>
        <w:t xml:space="preserve">de que derivado de la revisión en la que se encuentra, dicho instrumento podría sufrir alguna modificación por la que se deba generar otro documento.  </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lo tanto, bajo las consideraciones expuestas es que la suscrita considera que se debió confirmar las respuestas del </w:t>
      </w:r>
      <w:r>
        <w:rPr>
          <w:rFonts w:ascii="Palatino Linotype" w:eastAsia="Palatino Linotype" w:hAnsi="Palatino Linotype" w:cs="Palatino Linotype"/>
          <w:b/>
          <w:color w:val="000000"/>
        </w:rPr>
        <w:t>Sujeto Obligado.</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Sin embargo, en el caso en cuestión se consideró por la mayoría de los integrantes del Pleno de este Órgano Garante, q</w:t>
      </w:r>
      <w:r>
        <w:rPr>
          <w:rFonts w:ascii="Palatino Linotype" w:eastAsia="Palatino Linotype" w:hAnsi="Palatino Linotype" w:cs="Palatino Linotype"/>
          <w:color w:val="000000"/>
        </w:rPr>
        <w:t>ue como en el recurso de revisión 03963/INFOEM/IP/RR/2025 no se precisó temporalidad, y está en la resolución fue analizada bajo el criterio orientador 3/19 emitido por el entonces Instituto Nacional de Transparencia, Acceso a la Información y Protección d</w:t>
      </w:r>
      <w:r>
        <w:rPr>
          <w:rFonts w:ascii="Palatino Linotype" w:eastAsia="Palatino Linotype" w:hAnsi="Palatino Linotype" w:cs="Palatino Linotype"/>
          <w:color w:val="000000"/>
        </w:rPr>
        <w:t>e Datos Personales, relativo a que cuando en la solicitud no se precisa periodo de búsqueda esta se entenderá la relativa al año inmediato anterior contado a partir de la fecha de la solicitud; por ende procedía la entrega de los convenios celebrados entre</w:t>
      </w:r>
      <w:r>
        <w:rPr>
          <w:rFonts w:ascii="Palatino Linotype" w:eastAsia="Palatino Linotype" w:hAnsi="Palatino Linotype" w:cs="Palatino Linotype"/>
          <w:color w:val="000000"/>
        </w:rPr>
        <w:t xml:space="preserve"> la Secretaría Ejecutiva del Sistema Anticorrupción del Estado de México “SESAEMM” y el Ayuntamiento de Cocotitlán, del periodo comprendido del doce de marzo de dos mil veinticuatro al doce de marzo de dos mil veinticinco; periodo que incluye la entrega de</w:t>
      </w:r>
      <w:r>
        <w:rPr>
          <w:rFonts w:ascii="Palatino Linotype" w:eastAsia="Palatino Linotype" w:hAnsi="Palatino Linotype" w:cs="Palatino Linotype"/>
          <w:color w:val="000000"/>
        </w:rPr>
        <w:t>l convenio celebrado respecto de la administración pública municipal actual 2</w:t>
      </w:r>
      <w:r>
        <w:rPr>
          <w:rFonts w:ascii="Palatino Linotype" w:eastAsia="Palatino Linotype" w:hAnsi="Palatino Linotype" w:cs="Palatino Linotype"/>
        </w:rPr>
        <w:t>0</w:t>
      </w:r>
      <w:r>
        <w:rPr>
          <w:rFonts w:ascii="Palatino Linotype" w:eastAsia="Palatino Linotype" w:hAnsi="Palatino Linotype" w:cs="Palatino Linotype"/>
          <w:color w:val="000000"/>
        </w:rPr>
        <w:t>25-2027, esto último ya que también se consideró en la resolución que el ente público debe entregar la información en los términos en los cuales obra en sus archivos, además de q</w:t>
      </w:r>
      <w:r>
        <w:rPr>
          <w:rFonts w:ascii="Palatino Linotype" w:eastAsia="Palatino Linotype" w:hAnsi="Palatino Linotype" w:cs="Palatino Linotype"/>
          <w:color w:val="000000"/>
        </w:rPr>
        <w:t xml:space="preserve">ue no hubo pronunciamiento sobre la búsqueda de lo requerido en todo el periodo indicado. </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Situación la anterior que la suscrita no comparte, pues se insiste en ambos recursos de revisión, la materia de la Litis es el convenio celebrado entre la Secretarí</w:t>
      </w:r>
      <w:r>
        <w:rPr>
          <w:rFonts w:ascii="Palatino Linotype" w:eastAsia="Palatino Linotype" w:hAnsi="Palatino Linotype" w:cs="Palatino Linotype"/>
          <w:color w:val="000000"/>
        </w:rPr>
        <w:t>a Ejecutiva del Sistema Anticorrupción del Estado de México “SESAEMM” y el Ayuntamiento de Cocotitlán en la actual administración del 2025-2027; y, por las consideraciones expuestas con antelación es que se debió confirmar las respuestas.</w:t>
      </w:r>
    </w:p>
    <w:p w:rsidR="00A23B4D" w:rsidRDefault="00A23B4D">
      <w:pPr>
        <w:spacing w:after="0" w:line="360" w:lineRule="auto"/>
        <w:ind w:right="-3"/>
        <w:jc w:val="both"/>
        <w:rPr>
          <w:rFonts w:ascii="Palatino Linotype" w:eastAsia="Palatino Linotype" w:hAnsi="Palatino Linotype" w:cs="Palatino Linotype"/>
          <w:color w:val="000000"/>
        </w:rPr>
      </w:pPr>
    </w:p>
    <w:p w:rsidR="00A23B4D" w:rsidRDefault="0037106A">
      <w:pPr>
        <w:spacing w:after="0" w:line="360" w:lineRule="auto"/>
        <w:jc w:val="both"/>
        <w:rPr>
          <w:rFonts w:ascii="Palatino Linotype" w:eastAsia="Palatino Linotype" w:hAnsi="Palatino Linotype" w:cs="Palatino Linotype"/>
        </w:rPr>
      </w:pPr>
      <w:bookmarkStart w:id="1" w:name="_heading=h.qp8x4t4dd5pv" w:colFirst="0" w:colLast="0"/>
      <w:bookmarkEnd w:id="1"/>
      <w:r>
        <w:rPr>
          <w:rFonts w:ascii="Palatino Linotype" w:eastAsia="Palatino Linotype" w:hAnsi="Palatino Linotype" w:cs="Palatino Linotype"/>
        </w:rPr>
        <w:t>Lo anterior expo</w:t>
      </w:r>
      <w:r>
        <w:rPr>
          <w:rFonts w:ascii="Palatino Linotype" w:eastAsia="Palatino Linotype" w:hAnsi="Palatino Linotype" w:cs="Palatino Linotype"/>
        </w:rPr>
        <w:t xml:space="preserve">ne razones suficientes para la emisión y presentación del presente </w:t>
      </w:r>
      <w:r>
        <w:rPr>
          <w:rFonts w:ascii="Palatino Linotype" w:eastAsia="Palatino Linotype" w:hAnsi="Palatino Linotype" w:cs="Palatino Linotype"/>
          <w:b/>
        </w:rPr>
        <w:t>Voto Disidente</w:t>
      </w:r>
      <w:r>
        <w:rPr>
          <w:rFonts w:ascii="Palatino Linotype" w:eastAsia="Palatino Linotype" w:hAnsi="Palatino Linotype" w:cs="Palatino Linotype"/>
        </w:rPr>
        <w:t>, relacionado con la resolución del Recurso de Revisión referido.</w:t>
      </w: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p w:rsidR="00A23B4D" w:rsidRDefault="00A23B4D">
      <w:pPr>
        <w:spacing w:after="0" w:line="360" w:lineRule="auto"/>
        <w:ind w:right="139"/>
        <w:jc w:val="both"/>
        <w:rPr>
          <w:rFonts w:ascii="Palatino Linotype" w:eastAsia="Palatino Linotype" w:hAnsi="Palatino Linotype" w:cs="Palatino Linotype"/>
        </w:rPr>
      </w:pPr>
    </w:p>
    <w:sectPr w:rsidR="00A23B4D">
      <w:headerReference w:type="default" r:id="rId8"/>
      <w:footerReference w:type="default" r:id="rId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06A" w:rsidRDefault="0037106A">
      <w:pPr>
        <w:spacing w:after="0" w:line="240" w:lineRule="auto"/>
      </w:pPr>
      <w:r>
        <w:separator/>
      </w:r>
    </w:p>
  </w:endnote>
  <w:endnote w:type="continuationSeparator" w:id="0">
    <w:p w:rsidR="0037106A" w:rsidRDefault="0037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4D" w:rsidRDefault="003710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D57CC9">
      <w:rPr>
        <w:b/>
        <w:color w:val="000000"/>
        <w:sz w:val="24"/>
        <w:szCs w:val="24"/>
      </w:rPr>
      <w:fldChar w:fldCharType="separate"/>
    </w:r>
    <w:r w:rsidR="00CC6610">
      <w:rPr>
        <w:b/>
        <w:noProof/>
        <w:color w:val="000000"/>
        <w:sz w:val="24"/>
        <w:szCs w:val="24"/>
      </w:rPr>
      <w:t>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D57CC9">
      <w:rPr>
        <w:b/>
        <w:color w:val="000000"/>
        <w:sz w:val="24"/>
        <w:szCs w:val="24"/>
      </w:rPr>
      <w:fldChar w:fldCharType="separate"/>
    </w:r>
    <w:r w:rsidR="00CC6610">
      <w:rPr>
        <w:b/>
        <w:noProof/>
        <w:color w:val="000000"/>
        <w:sz w:val="24"/>
        <w:szCs w:val="24"/>
      </w:rPr>
      <w:t>9</w:t>
    </w:r>
    <w:r>
      <w:rPr>
        <w:b/>
        <w:color w:val="000000"/>
        <w:sz w:val="24"/>
        <w:szCs w:val="24"/>
      </w:rPr>
      <w:fldChar w:fldCharType="end"/>
    </w:r>
  </w:p>
  <w:p w:rsidR="00A23B4D" w:rsidRDefault="00A23B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06A" w:rsidRDefault="0037106A">
      <w:pPr>
        <w:spacing w:after="0" w:line="240" w:lineRule="auto"/>
      </w:pPr>
      <w:r>
        <w:separator/>
      </w:r>
    </w:p>
  </w:footnote>
  <w:footnote w:type="continuationSeparator" w:id="0">
    <w:p w:rsidR="0037106A" w:rsidRDefault="00371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4D" w:rsidRDefault="0037106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DISIDENTE</w:t>
    </w:r>
    <w:r>
      <w:rPr>
        <w:noProof/>
      </w:rPr>
      <w:drawing>
        <wp:anchor distT="0" distB="0" distL="0" distR="0" simplePos="0" relativeHeight="251658240" behindDoc="1" locked="0" layoutInCell="1" hidden="0" allowOverlap="1">
          <wp:simplePos x="0" y="0"/>
          <wp:positionH relativeFrom="column">
            <wp:posOffset>-1080129</wp:posOffset>
          </wp:positionH>
          <wp:positionV relativeFrom="paragraph">
            <wp:posOffset>-638805</wp:posOffset>
          </wp:positionV>
          <wp:extent cx="7510628"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23B4D" w:rsidRDefault="0037106A">
    <w:pPr>
      <w:pBdr>
        <w:top w:val="nil"/>
        <w:left w:val="nil"/>
        <w:bottom w:val="nil"/>
        <w:right w:val="nil"/>
        <w:between w:val="nil"/>
      </w:pBdr>
      <w:tabs>
        <w:tab w:val="center" w:pos="4419"/>
        <w:tab w:val="right" w:pos="8838"/>
      </w:tabs>
      <w:spacing w:after="0" w:line="240" w:lineRule="auto"/>
      <w:ind w:left="1560"/>
      <w:jc w:val="right"/>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 03950/INFOEM/IP/RR/2025 Y ACUMULADO 03963/INFOEM/IP/RR/2024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42357"/>
    <w:multiLevelType w:val="multilevel"/>
    <w:tmpl w:val="18803EA6"/>
    <w:lvl w:ilvl="0">
      <w:start w:val="1"/>
      <w:numFmt w:val="decimal"/>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1" w15:restartNumberingAfterBreak="0">
    <w:nsid w:val="3F1E26BF"/>
    <w:multiLevelType w:val="multilevel"/>
    <w:tmpl w:val="6290C4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4D"/>
    <w:rsid w:val="0037106A"/>
    <w:rsid w:val="00956C81"/>
    <w:rsid w:val="00A23B4D"/>
    <w:rsid w:val="00CC6610"/>
    <w:rsid w:val="00D57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A47F8-F993-46D1-ACB1-2D8443A4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0F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F41"/>
  </w:style>
  <w:style w:type="paragraph" w:styleId="Piedepgina">
    <w:name w:val="footer"/>
    <w:basedOn w:val="Normal"/>
    <w:link w:val="PiedepginaCar"/>
    <w:uiPriority w:val="99"/>
    <w:unhideWhenUsed/>
    <w:rsid w:val="00AF0F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F4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39C"/>
    <w:pPr>
      <w:ind w:left="720"/>
      <w:contextualSpacing/>
    </w:pPr>
  </w:style>
  <w:style w:type="paragraph" w:styleId="NormalWeb">
    <w:name w:val="Normal (Web)"/>
    <w:basedOn w:val="Normal"/>
    <w:uiPriority w:val="99"/>
    <w:semiHidden/>
    <w:unhideWhenUsed/>
    <w:rsid w:val="00CF4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E5FA0"/>
  </w:style>
  <w:style w:type="paragraph" w:customStyle="1" w:styleId="Citas">
    <w:name w:val="Citas"/>
    <w:basedOn w:val="Normal"/>
    <w:qFormat/>
    <w:rsid w:val="00D62E9D"/>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36digJL8FuGS+dsCHw/9Ir9eA==">CgMxLjAyDmgucXA4eDR0NGRkNXB2OAByITF1Y2s2dU1oOFI3cl9hQXBEN1RTR1lqeGVIaVFRbi1hSA==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1791</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2025-05-06T16:04:00Z</cp:lastPrinted>
  <dcterms:created xsi:type="dcterms:W3CDTF">2025-05-06T16:04:00Z</dcterms:created>
  <dcterms:modified xsi:type="dcterms:W3CDTF">2025-05-06T16:05:00Z</dcterms:modified>
</cp:coreProperties>
</file>