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7141C43B" w:rsidR="00F2242E" w:rsidRPr="006C5C0E" w:rsidRDefault="00580407" w:rsidP="008B5DB1">
      <w:pPr>
        <w:spacing w:after="0" w:line="276" w:lineRule="auto"/>
        <w:ind w:right="139"/>
        <w:jc w:val="both"/>
        <w:rPr>
          <w:rFonts w:ascii="Palatino Linotype" w:eastAsia="Palatino Linotype" w:hAnsi="Palatino Linotype" w:cs="Palatino Linotype"/>
          <w:b/>
        </w:rPr>
      </w:pPr>
      <w:r w:rsidRPr="006C5C0E">
        <w:rPr>
          <w:rFonts w:ascii="Palatino Linotype" w:eastAsia="Palatino Linotype" w:hAnsi="Palatino Linotype" w:cs="Palatino Linotype"/>
          <w:b/>
        </w:rPr>
        <w:t xml:space="preserve">VOTO </w:t>
      </w:r>
      <w:r w:rsidR="00BC5279" w:rsidRPr="006C5C0E">
        <w:rPr>
          <w:rFonts w:ascii="Palatino Linotype" w:eastAsia="Palatino Linotype" w:hAnsi="Palatino Linotype" w:cs="Palatino Linotype"/>
          <w:b/>
        </w:rPr>
        <w:t>DISIDENTE</w:t>
      </w:r>
      <w:r w:rsidRPr="006C5C0E">
        <w:rPr>
          <w:rFonts w:ascii="Palatino Linotype" w:eastAsia="Palatino Linotype" w:hAnsi="Palatino Linotype" w:cs="Palatino Linotype"/>
          <w:b/>
        </w:rPr>
        <w:t xml:space="preserve"> QUE FORMULA LA COMISIONADA SHARON CRISTINA MORALES MARTÍNEZ, </w:t>
      </w:r>
      <w:r w:rsidR="00DC6B8D" w:rsidRPr="006C5C0E">
        <w:rPr>
          <w:rFonts w:ascii="Palatino Linotype" w:eastAsia="Palatino Linotype" w:hAnsi="Palatino Linotype" w:cs="Palatino Linotype"/>
          <w:b/>
        </w:rPr>
        <w:t>EN LA RESOLUCIÓN</w:t>
      </w:r>
      <w:r w:rsidR="00A0675C" w:rsidRPr="006C5C0E">
        <w:rPr>
          <w:rFonts w:ascii="Palatino Linotype" w:eastAsia="Palatino Linotype" w:hAnsi="Palatino Linotype" w:cs="Palatino Linotype"/>
          <w:b/>
        </w:rPr>
        <w:t xml:space="preserve"> EN EL RECURSO DE REVISIÓN </w:t>
      </w:r>
      <w:r w:rsidR="00CD6B55" w:rsidRPr="006C5C0E">
        <w:rPr>
          <w:rFonts w:ascii="Palatino Linotype" w:eastAsia="Palatino Linotype" w:hAnsi="Palatino Linotype" w:cs="Palatino Linotype"/>
          <w:b/>
          <w:bCs/>
          <w:color w:val="000000"/>
        </w:rPr>
        <w:t>03655/INFOEM/IP/RR/2026</w:t>
      </w:r>
      <w:r w:rsidR="004545E2" w:rsidRPr="006C5C0E">
        <w:rPr>
          <w:rFonts w:ascii="Palatino Linotype" w:eastAsia="Palatino Linotype" w:hAnsi="Palatino Linotype" w:cs="Palatino Linotype"/>
          <w:b/>
        </w:rPr>
        <w:t xml:space="preserve">, </w:t>
      </w:r>
      <w:r w:rsidR="00DC6B8D" w:rsidRPr="006C5C0E">
        <w:rPr>
          <w:rFonts w:ascii="Palatino Linotype" w:eastAsia="Palatino Linotype" w:hAnsi="Palatino Linotype" w:cs="Palatino Linotype"/>
          <w:b/>
        </w:rPr>
        <w:t>DICTADA</w:t>
      </w:r>
      <w:r w:rsidR="00A0675C" w:rsidRPr="006C5C0E">
        <w:rPr>
          <w:rFonts w:ascii="Palatino Linotype" w:eastAsia="Palatino Linotype" w:hAnsi="Palatino Linotype" w:cs="Palatino Linotype"/>
          <w:b/>
        </w:rPr>
        <w:t xml:space="preserve"> </w:t>
      </w:r>
      <w:r w:rsidR="00DC6B8D" w:rsidRPr="006C5C0E">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8F4A7F" w:rsidRPr="006C5C0E">
        <w:rPr>
          <w:rFonts w:ascii="Palatino Linotype" w:eastAsia="Palatino Linotype" w:hAnsi="Palatino Linotype" w:cs="Palatino Linotype"/>
          <w:b/>
        </w:rPr>
        <w:t xml:space="preserve">DÉCIMA </w:t>
      </w:r>
      <w:r w:rsidR="00CD6B55" w:rsidRPr="006C5C0E">
        <w:rPr>
          <w:rFonts w:ascii="Palatino Linotype" w:eastAsia="Palatino Linotype" w:hAnsi="Palatino Linotype" w:cs="Palatino Linotype"/>
          <w:b/>
        </w:rPr>
        <w:t>QUINTA</w:t>
      </w:r>
      <w:r w:rsidR="00721DF4" w:rsidRPr="006C5C0E">
        <w:rPr>
          <w:rFonts w:ascii="Palatino Linotype" w:eastAsia="Palatino Linotype" w:hAnsi="Palatino Linotype" w:cs="Palatino Linotype"/>
          <w:b/>
        </w:rPr>
        <w:t xml:space="preserve"> </w:t>
      </w:r>
      <w:r w:rsidR="00DC6B8D" w:rsidRPr="006C5C0E">
        <w:rPr>
          <w:rFonts w:ascii="Palatino Linotype" w:eastAsia="Palatino Linotype" w:hAnsi="Palatino Linotype" w:cs="Palatino Linotype"/>
          <w:b/>
        </w:rPr>
        <w:t xml:space="preserve">SESIÓN ORDINARIA CELEBRADA EL </w:t>
      </w:r>
      <w:r w:rsidR="00CD6B55" w:rsidRPr="006C5C0E">
        <w:rPr>
          <w:rFonts w:ascii="Palatino Linotype" w:eastAsia="Palatino Linotype" w:hAnsi="Palatino Linotype" w:cs="Palatino Linotype"/>
          <w:b/>
        </w:rPr>
        <w:t>VEINTIOCHO</w:t>
      </w:r>
      <w:r w:rsidR="00BC5279" w:rsidRPr="006C5C0E">
        <w:rPr>
          <w:rFonts w:ascii="Palatino Linotype" w:eastAsia="Palatino Linotype" w:hAnsi="Palatino Linotype" w:cs="Palatino Linotype"/>
          <w:b/>
        </w:rPr>
        <w:t xml:space="preserve"> </w:t>
      </w:r>
      <w:r w:rsidR="008F4A7F" w:rsidRPr="006C5C0E">
        <w:rPr>
          <w:rFonts w:ascii="Palatino Linotype" w:eastAsia="Palatino Linotype" w:hAnsi="Palatino Linotype" w:cs="Palatino Linotype"/>
          <w:b/>
        </w:rPr>
        <w:t>DE ABRIL</w:t>
      </w:r>
      <w:r w:rsidR="00665559" w:rsidRPr="006C5C0E">
        <w:rPr>
          <w:rFonts w:ascii="Palatino Linotype" w:eastAsia="Palatino Linotype" w:hAnsi="Palatino Linotype" w:cs="Palatino Linotype"/>
          <w:b/>
        </w:rPr>
        <w:t xml:space="preserve"> </w:t>
      </w:r>
      <w:r w:rsidR="00E027E7" w:rsidRPr="006C5C0E">
        <w:rPr>
          <w:rFonts w:ascii="Palatino Linotype" w:eastAsia="Palatino Linotype" w:hAnsi="Palatino Linotype" w:cs="Palatino Linotype"/>
          <w:b/>
        </w:rPr>
        <w:t>D</w:t>
      </w:r>
      <w:r w:rsidR="001C7463" w:rsidRPr="006C5C0E">
        <w:rPr>
          <w:rFonts w:ascii="Palatino Linotype" w:eastAsia="Palatino Linotype" w:hAnsi="Palatino Linotype" w:cs="Palatino Linotype"/>
          <w:b/>
        </w:rPr>
        <w:t xml:space="preserve">E DOS MIL </w:t>
      </w:r>
      <w:r w:rsidR="00665559" w:rsidRPr="006C5C0E">
        <w:rPr>
          <w:rFonts w:ascii="Palatino Linotype" w:eastAsia="Palatino Linotype" w:hAnsi="Palatino Linotype" w:cs="Palatino Linotype"/>
          <w:b/>
        </w:rPr>
        <w:t>VEINTISÉIS</w:t>
      </w:r>
      <w:r w:rsidR="00A0675C" w:rsidRPr="006C5C0E">
        <w:rPr>
          <w:rFonts w:ascii="Palatino Linotype" w:eastAsia="Palatino Linotype" w:hAnsi="Palatino Linotype" w:cs="Palatino Linotype"/>
          <w:b/>
        </w:rPr>
        <w:t>.</w:t>
      </w:r>
      <w:bookmarkStart w:id="0" w:name="_GoBack"/>
      <w:bookmarkEnd w:id="0"/>
    </w:p>
    <w:p w14:paraId="1AD89B62" w14:textId="02CDC62A" w:rsidR="00DC6B8D" w:rsidRPr="006C5C0E" w:rsidRDefault="00DC6B8D" w:rsidP="008B5DB1">
      <w:pPr>
        <w:spacing w:after="0" w:line="276" w:lineRule="auto"/>
        <w:ind w:right="139"/>
        <w:jc w:val="both"/>
        <w:rPr>
          <w:rFonts w:ascii="Palatino Linotype" w:eastAsia="Palatino Linotype" w:hAnsi="Palatino Linotype" w:cs="Palatino Linotype"/>
          <w:b/>
        </w:rPr>
      </w:pPr>
    </w:p>
    <w:p w14:paraId="174FEBF8" w14:textId="597E9F66" w:rsidR="00B760A7" w:rsidRPr="006C5C0E" w:rsidRDefault="00B760A7" w:rsidP="00B760A7">
      <w:pPr>
        <w:spacing w:after="0" w:line="276" w:lineRule="auto"/>
        <w:ind w:right="139"/>
        <w:jc w:val="both"/>
        <w:rPr>
          <w:rFonts w:ascii="Palatino Linotype" w:eastAsia="Palatino Linotype" w:hAnsi="Palatino Linotype" w:cs="Palatino Linotype"/>
          <w:bCs/>
        </w:rPr>
      </w:pPr>
      <w:r w:rsidRPr="006C5C0E">
        <w:rPr>
          <w:rFonts w:ascii="Palatino Linotype" w:eastAsia="Palatino Linotype" w:hAnsi="Palatino Linotype" w:cs="Palatino Linotype"/>
        </w:rPr>
        <w:t>Con fundamento en lo dispuesto por el</w:t>
      </w:r>
      <w:r w:rsidR="007C54F4" w:rsidRPr="006C5C0E">
        <w:rPr>
          <w:rFonts w:ascii="Palatino Linotype" w:eastAsia="Palatino Linotype" w:hAnsi="Palatino Linotype" w:cs="Palatino Linotype"/>
        </w:rPr>
        <w:t xml:space="preserve"> artículo 14, fracciones X y XI</w:t>
      </w:r>
      <w:r w:rsidRPr="006C5C0E">
        <w:rPr>
          <w:rFonts w:ascii="Palatino Linotype" w:eastAsia="Palatino Linotype" w:hAnsi="Palatino Linotype" w:cs="Palatino Linotype"/>
        </w:rPr>
        <w:t xml:space="preserve"> del Reglamento del Instituto de Transparencia, Acceso a la Información Pública y Protección de Datos Personales del Estado de México y Municipios</w:t>
      </w:r>
      <w:r w:rsidR="007C54F4" w:rsidRPr="006C5C0E">
        <w:rPr>
          <w:rFonts w:ascii="Palatino Linotype" w:eastAsia="Palatino Linotype" w:hAnsi="Palatino Linotype" w:cs="Palatino Linotype"/>
        </w:rPr>
        <w:t>,</w:t>
      </w:r>
      <w:r w:rsidRPr="006C5C0E">
        <w:rPr>
          <w:rFonts w:ascii="Palatino Linotype" w:eastAsia="Palatino Linotype" w:hAnsi="Palatino Linotype" w:cs="Palatino Linotype"/>
        </w:rPr>
        <w:t xml:space="preserve"> la que suscribe </w:t>
      </w:r>
      <w:bookmarkStart w:id="1" w:name="_Hlk168622308"/>
      <w:r w:rsidRPr="006C5C0E">
        <w:rPr>
          <w:rFonts w:ascii="Palatino Linotype" w:eastAsia="Palatino Linotype" w:hAnsi="Palatino Linotype" w:cs="Palatino Linotype"/>
          <w:b/>
          <w:bCs/>
        </w:rPr>
        <w:t>Sharon Cristina Morales Martínez</w:t>
      </w:r>
      <w:bookmarkEnd w:id="1"/>
      <w:r w:rsidRPr="006C5C0E">
        <w:rPr>
          <w:rFonts w:ascii="Palatino Linotype" w:eastAsia="Palatino Linotype" w:hAnsi="Palatino Linotype" w:cs="Palatino Linotype"/>
        </w:rPr>
        <w:t xml:space="preserve">, emite </w:t>
      </w:r>
      <w:r w:rsidRPr="006C5C0E">
        <w:rPr>
          <w:rFonts w:ascii="Palatino Linotype" w:eastAsia="Palatino Linotype" w:hAnsi="Palatino Linotype" w:cs="Palatino Linotype"/>
          <w:b/>
          <w:bCs/>
        </w:rPr>
        <w:t xml:space="preserve">VOTO </w:t>
      </w:r>
      <w:r w:rsidR="00BC5279" w:rsidRPr="006C5C0E">
        <w:rPr>
          <w:rFonts w:ascii="Palatino Linotype" w:eastAsia="Palatino Linotype" w:hAnsi="Palatino Linotype" w:cs="Palatino Linotype"/>
          <w:b/>
          <w:bCs/>
        </w:rPr>
        <w:t>DISIDENTE</w:t>
      </w:r>
      <w:r w:rsidRPr="006C5C0E">
        <w:rPr>
          <w:rFonts w:ascii="Palatino Linotype" w:eastAsia="Palatino Linotype" w:hAnsi="Palatino Linotype" w:cs="Palatino Linotype"/>
        </w:rPr>
        <w:t xml:space="preserve"> respecto a la resolución dictada en el recurso de revisión </w:t>
      </w:r>
      <w:r w:rsidR="00CD6B55" w:rsidRPr="006C5C0E">
        <w:rPr>
          <w:rFonts w:ascii="Palatino Linotype" w:eastAsia="Palatino Linotype" w:hAnsi="Palatino Linotype" w:cs="Palatino Linotype"/>
          <w:b/>
          <w:bCs/>
          <w:color w:val="000000"/>
        </w:rPr>
        <w:t>03655/INFOEM/IP/RR/2026</w:t>
      </w:r>
      <w:r w:rsidRPr="006C5C0E">
        <w:rPr>
          <w:rFonts w:ascii="Palatino Linotype" w:eastAsia="Palatino Linotype" w:hAnsi="Palatino Linotype" w:cs="Palatino Linotype"/>
        </w:rPr>
        <w:t xml:space="preserve">, pronunciada por el Pleno de este Instituto ante el proyecto presentado </w:t>
      </w:r>
      <w:r w:rsidR="009366E7" w:rsidRPr="006C5C0E">
        <w:rPr>
          <w:rFonts w:ascii="Palatino Linotype" w:eastAsia="Palatino Linotype" w:hAnsi="Palatino Linotype" w:cs="Palatino Linotype"/>
        </w:rPr>
        <w:t xml:space="preserve">por </w:t>
      </w:r>
      <w:r w:rsidR="00BC5279" w:rsidRPr="006C5C0E">
        <w:rPr>
          <w:rFonts w:ascii="Palatino Linotype" w:eastAsia="Palatino Linotype" w:hAnsi="Palatino Linotype" w:cs="Palatino Linotype"/>
        </w:rPr>
        <w:t xml:space="preserve">el </w:t>
      </w:r>
      <w:r w:rsidR="00BC5279" w:rsidRPr="006C5C0E">
        <w:rPr>
          <w:rFonts w:ascii="Palatino Linotype" w:eastAsia="Palatino Linotype" w:hAnsi="Palatino Linotype" w:cs="Palatino Linotype"/>
          <w:b/>
        </w:rPr>
        <w:t>Comisionado</w:t>
      </w:r>
      <w:r w:rsidR="00FA7954" w:rsidRPr="006C5C0E">
        <w:rPr>
          <w:rFonts w:ascii="Palatino Linotype" w:eastAsia="Palatino Linotype" w:hAnsi="Palatino Linotype" w:cs="Palatino Linotype"/>
          <w:b/>
        </w:rPr>
        <w:t xml:space="preserve"> Presidente</w:t>
      </w:r>
      <w:r w:rsidR="00BC5279" w:rsidRPr="006C5C0E">
        <w:rPr>
          <w:rFonts w:ascii="Palatino Linotype" w:eastAsia="Palatino Linotype" w:hAnsi="Palatino Linotype" w:cs="Palatino Linotype"/>
          <w:b/>
        </w:rPr>
        <w:t xml:space="preserve"> José Martínez Vilchis</w:t>
      </w:r>
      <w:r w:rsidR="009E5360" w:rsidRPr="006C5C0E">
        <w:rPr>
          <w:rFonts w:ascii="Palatino Linotype" w:eastAsia="Palatino Linotype" w:hAnsi="Palatino Linotype" w:cs="Palatino Linotype"/>
          <w:b/>
        </w:rPr>
        <w:t xml:space="preserve">, </w:t>
      </w:r>
      <w:r w:rsidR="009E5360" w:rsidRPr="006C5C0E">
        <w:rPr>
          <w:rFonts w:ascii="Palatino Linotype" w:eastAsia="Palatino Linotype" w:hAnsi="Palatino Linotype" w:cs="Palatino Linotype"/>
          <w:bCs/>
        </w:rPr>
        <w:t>conforme al criterio mayoritario que es del tenor siguiente:</w:t>
      </w:r>
    </w:p>
    <w:p w14:paraId="33047FC3" w14:textId="77777777" w:rsidR="00B760A7" w:rsidRPr="006C5C0E" w:rsidRDefault="00B760A7" w:rsidP="008B5DB1">
      <w:pPr>
        <w:spacing w:after="0" w:line="276" w:lineRule="auto"/>
        <w:ind w:right="139"/>
        <w:jc w:val="both"/>
        <w:rPr>
          <w:rFonts w:ascii="Palatino Linotype" w:eastAsia="Palatino Linotype" w:hAnsi="Palatino Linotype" w:cs="Palatino Linotype"/>
          <w:b/>
        </w:rPr>
      </w:pPr>
    </w:p>
    <w:p w14:paraId="33E51456" w14:textId="79B66ABE" w:rsidR="00F2242E" w:rsidRPr="006C5C0E" w:rsidRDefault="008B5DB1" w:rsidP="008B5DB1">
      <w:pPr>
        <w:spacing w:after="0" w:line="276" w:lineRule="auto"/>
        <w:ind w:right="139"/>
        <w:jc w:val="both"/>
        <w:rPr>
          <w:rFonts w:ascii="Palatino Linotype" w:eastAsia="Palatino Linotype" w:hAnsi="Palatino Linotype" w:cs="Palatino Linotype"/>
        </w:rPr>
      </w:pPr>
      <w:r w:rsidRPr="006C5C0E">
        <w:rPr>
          <w:rFonts w:ascii="Palatino Linotype" w:eastAsia="Palatino Linotype" w:hAnsi="Palatino Linotype" w:cs="Palatino Linotype"/>
          <w:b/>
        </w:rPr>
        <w:t xml:space="preserve">I. </w:t>
      </w:r>
      <w:r w:rsidR="00F2242E" w:rsidRPr="006C5C0E">
        <w:rPr>
          <w:rFonts w:ascii="Palatino Linotype" w:eastAsia="Palatino Linotype" w:hAnsi="Palatino Linotype" w:cs="Palatino Linotype"/>
          <w:b/>
        </w:rPr>
        <w:t>Antecedentes.</w:t>
      </w:r>
    </w:p>
    <w:p w14:paraId="4B93E8C6" w14:textId="45364A8F" w:rsidR="00927093" w:rsidRPr="006C5C0E" w:rsidRDefault="00F2242E" w:rsidP="007C54F4">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 xml:space="preserve">A través de la solicitud de acceso a la información </w:t>
      </w:r>
      <w:r w:rsidR="007C54F4" w:rsidRPr="006C5C0E">
        <w:rPr>
          <w:rFonts w:ascii="Palatino Linotype" w:eastAsia="Palatino Linotype" w:hAnsi="Palatino Linotype" w:cs="Palatino Linotype"/>
        </w:rPr>
        <w:t xml:space="preserve">del recurso de revisión </w:t>
      </w:r>
      <w:r w:rsidR="00846B9C" w:rsidRPr="006C5C0E">
        <w:rPr>
          <w:rFonts w:ascii="Palatino Linotype" w:eastAsia="Palatino Linotype" w:hAnsi="Palatino Linotype" w:cs="Palatino Linotype"/>
        </w:rPr>
        <w:t>que nos ocupa</w:t>
      </w:r>
      <w:r w:rsidRPr="006C5C0E">
        <w:rPr>
          <w:rFonts w:ascii="Palatino Linotype" w:eastAsia="Palatino Linotype" w:hAnsi="Palatino Linotype" w:cs="Palatino Linotype"/>
        </w:rPr>
        <w:t xml:space="preserve">, </w:t>
      </w:r>
      <w:r w:rsidR="00212B17" w:rsidRPr="006C5C0E">
        <w:rPr>
          <w:rFonts w:ascii="Palatino Linotype" w:eastAsia="Palatino Linotype" w:hAnsi="Palatino Linotype" w:cs="Palatino Linotype"/>
        </w:rPr>
        <w:t>el</w:t>
      </w:r>
      <w:r w:rsidRPr="006C5C0E">
        <w:rPr>
          <w:rFonts w:ascii="Palatino Linotype" w:eastAsia="Palatino Linotype" w:hAnsi="Palatino Linotype" w:cs="Palatino Linotype"/>
        </w:rPr>
        <w:t xml:space="preserve"> solicitante requirió </w:t>
      </w:r>
      <w:r w:rsidR="007C54F4" w:rsidRPr="006C5C0E">
        <w:rPr>
          <w:rFonts w:ascii="Palatino Linotype" w:eastAsia="Palatino Linotype" w:hAnsi="Palatino Linotype" w:cs="Palatino Linotype"/>
        </w:rPr>
        <w:t xml:space="preserve">en lo medular </w:t>
      </w:r>
      <w:r w:rsidRPr="006C5C0E">
        <w:rPr>
          <w:rFonts w:ascii="Palatino Linotype" w:eastAsia="Palatino Linotype" w:hAnsi="Palatino Linotype" w:cs="Palatino Linotype"/>
        </w:rPr>
        <w:t>a</w:t>
      </w:r>
      <w:r w:rsidR="00582A38" w:rsidRPr="006C5C0E">
        <w:rPr>
          <w:rFonts w:ascii="Palatino Linotype" w:eastAsia="Palatino Linotype" w:hAnsi="Palatino Linotype" w:cs="Palatino Linotype"/>
        </w:rPr>
        <w:t>l</w:t>
      </w:r>
      <w:r w:rsidR="00212B17" w:rsidRPr="006C5C0E">
        <w:rPr>
          <w:rFonts w:ascii="Palatino Linotype" w:eastAsia="Palatino Linotype" w:hAnsi="Palatino Linotype" w:cs="Palatino Linotype"/>
        </w:rPr>
        <w:t xml:space="preserve"> </w:t>
      </w:r>
      <w:r w:rsidR="00CD6B55" w:rsidRPr="006C5C0E">
        <w:rPr>
          <w:rFonts w:ascii="Palatino Linotype" w:eastAsia="Palatino Linotype" w:hAnsi="Palatino Linotype" w:cs="Palatino Linotype"/>
          <w:b/>
          <w:bCs/>
        </w:rPr>
        <w:t xml:space="preserve">Sistema Municipal para el Desarrollo Integral de la Familia de </w:t>
      </w:r>
      <w:proofErr w:type="spellStart"/>
      <w:r w:rsidR="00CD6B55" w:rsidRPr="006C5C0E">
        <w:rPr>
          <w:rFonts w:ascii="Palatino Linotype" w:eastAsia="Palatino Linotype" w:hAnsi="Palatino Linotype" w:cs="Palatino Linotype"/>
          <w:b/>
          <w:bCs/>
        </w:rPr>
        <w:t>Papalotla</w:t>
      </w:r>
      <w:proofErr w:type="spellEnd"/>
      <w:r w:rsidR="00BC5279" w:rsidRPr="006C5C0E">
        <w:rPr>
          <w:rFonts w:ascii="Palatino Linotype" w:eastAsia="Palatino Linotype" w:hAnsi="Palatino Linotype" w:cs="Palatino Linotype"/>
          <w:b/>
          <w:bCs/>
        </w:rPr>
        <w:t xml:space="preserve"> </w:t>
      </w:r>
      <w:r w:rsidRPr="006C5C0E">
        <w:rPr>
          <w:rFonts w:ascii="Palatino Linotype" w:eastAsia="Palatino Linotype" w:hAnsi="Palatino Linotype" w:cs="Palatino Linotype"/>
        </w:rPr>
        <w:t>(</w:t>
      </w:r>
      <w:r w:rsidR="007C54F4" w:rsidRPr="006C5C0E">
        <w:rPr>
          <w:rFonts w:ascii="Palatino Linotype" w:eastAsia="Palatino Linotype" w:hAnsi="Palatino Linotype" w:cs="Palatino Linotype"/>
          <w:bCs/>
        </w:rPr>
        <w:t>en adelante</w:t>
      </w:r>
      <w:r w:rsidR="007C54F4" w:rsidRPr="006C5C0E">
        <w:rPr>
          <w:rFonts w:ascii="Palatino Linotype" w:eastAsia="Palatino Linotype" w:hAnsi="Palatino Linotype" w:cs="Palatino Linotype"/>
          <w:b/>
        </w:rPr>
        <w:t xml:space="preserve"> </w:t>
      </w:r>
      <w:r w:rsidR="00DC6B8D" w:rsidRPr="006C5C0E">
        <w:rPr>
          <w:rFonts w:ascii="Palatino Linotype" w:eastAsia="Palatino Linotype" w:hAnsi="Palatino Linotype" w:cs="Palatino Linotype"/>
          <w:b/>
        </w:rPr>
        <w:t>SUJETO OBLIGADO</w:t>
      </w:r>
      <w:r w:rsidRPr="006C5C0E">
        <w:rPr>
          <w:rFonts w:ascii="Palatino Linotype" w:eastAsia="Palatino Linotype" w:hAnsi="Palatino Linotype" w:cs="Palatino Linotype"/>
          <w:bCs/>
        </w:rPr>
        <w:t>)</w:t>
      </w:r>
      <w:r w:rsidRPr="006C5C0E">
        <w:rPr>
          <w:rFonts w:ascii="Palatino Linotype" w:eastAsia="Palatino Linotype" w:hAnsi="Palatino Linotype" w:cs="Palatino Linotype"/>
          <w:b/>
        </w:rPr>
        <w:t xml:space="preserve">, </w:t>
      </w:r>
      <w:r w:rsidRPr="006C5C0E">
        <w:rPr>
          <w:rFonts w:ascii="Palatino Linotype" w:eastAsia="Palatino Linotype" w:hAnsi="Palatino Linotype" w:cs="Palatino Linotype"/>
        </w:rPr>
        <w:t xml:space="preserve">le proporcionara </w:t>
      </w:r>
      <w:r w:rsidR="00BC5279" w:rsidRPr="006C5C0E">
        <w:rPr>
          <w:rFonts w:ascii="Palatino Linotype" w:eastAsia="Palatino Linotype" w:hAnsi="Palatino Linotype" w:cs="Palatino Linotype"/>
        </w:rPr>
        <w:t xml:space="preserve">el </w:t>
      </w:r>
      <w:r w:rsidR="00594A85" w:rsidRPr="006C5C0E">
        <w:rPr>
          <w:rFonts w:ascii="Palatino Linotype" w:eastAsia="Palatino Linotype" w:hAnsi="Palatino Linotype" w:cs="Palatino Linotype"/>
        </w:rPr>
        <w:t>horario del S</w:t>
      </w:r>
      <w:r w:rsidR="00CD6B55" w:rsidRPr="006C5C0E">
        <w:rPr>
          <w:rFonts w:ascii="Palatino Linotype" w:eastAsia="Palatino Linotype" w:hAnsi="Palatino Linotype" w:cs="Palatino Linotype"/>
        </w:rPr>
        <w:t>ecretario del Ayuntamiento</w:t>
      </w:r>
      <w:r w:rsidR="009E5360" w:rsidRPr="006C5C0E">
        <w:rPr>
          <w:rFonts w:ascii="Palatino Linotype" w:eastAsia="Palatino Linotype" w:hAnsi="Palatino Linotype" w:cs="Palatino Linotype"/>
        </w:rPr>
        <w:t xml:space="preserve">. </w:t>
      </w:r>
    </w:p>
    <w:p w14:paraId="4486A1A8" w14:textId="77777777" w:rsidR="009C22FE" w:rsidRPr="006C5C0E" w:rsidRDefault="009C22FE" w:rsidP="008B5DB1">
      <w:pPr>
        <w:spacing w:after="0" w:line="276" w:lineRule="auto"/>
        <w:ind w:left="851" w:right="616"/>
        <w:jc w:val="both"/>
        <w:rPr>
          <w:rFonts w:ascii="Palatino Linotype" w:eastAsia="Palatino Linotype" w:hAnsi="Palatino Linotype" w:cs="Palatino Linotype"/>
          <w:i/>
        </w:rPr>
      </w:pPr>
    </w:p>
    <w:p w14:paraId="2DA1F23E" w14:textId="6B0CC688" w:rsidR="00E027E7" w:rsidRPr="006C5C0E" w:rsidRDefault="00BC5279" w:rsidP="00A57282">
      <w:pPr>
        <w:spacing w:after="0" w:line="276" w:lineRule="auto"/>
        <w:jc w:val="both"/>
        <w:rPr>
          <w:rFonts w:ascii="Palatino Linotype" w:eastAsia="Arial Unicode MS" w:hAnsi="Palatino Linotype"/>
        </w:rPr>
      </w:pPr>
      <w:r w:rsidRPr="006C5C0E">
        <w:rPr>
          <w:rFonts w:ascii="Palatino Linotype" w:eastAsia="Arial Unicode MS" w:hAnsi="Palatino Linotype"/>
        </w:rPr>
        <w:t xml:space="preserve">Posteriormente, </w:t>
      </w:r>
      <w:r w:rsidRPr="006C5C0E">
        <w:rPr>
          <w:rFonts w:ascii="Palatino Linotype" w:eastAsia="Arial Unicode MS" w:hAnsi="Palatino Linotype"/>
          <w:b/>
        </w:rPr>
        <w:t xml:space="preserve">EL SUJETO OBLIGADO </w:t>
      </w:r>
      <w:r w:rsidR="0058225D" w:rsidRPr="006C5C0E">
        <w:rPr>
          <w:rFonts w:ascii="Palatino Linotype" w:eastAsia="Arial Unicode MS" w:hAnsi="Palatino Linotype"/>
        </w:rPr>
        <w:t xml:space="preserve">en atención a la solicitud de información, </w:t>
      </w:r>
      <w:r w:rsidR="00594A85" w:rsidRPr="006C5C0E">
        <w:rPr>
          <w:rFonts w:ascii="Palatino Linotype" w:eastAsia="Arial Unicode MS" w:hAnsi="Palatino Linotype"/>
        </w:rPr>
        <w:t xml:space="preserve">a </w:t>
      </w:r>
      <w:r w:rsidR="00594A85" w:rsidRPr="006C5C0E">
        <w:rPr>
          <w:rFonts w:ascii="Palatino Linotype" w:eastAsia="Arial Unicode MS" w:hAnsi="Palatino Linotype"/>
          <w:i/>
        </w:rPr>
        <w:t>grosso modo</w:t>
      </w:r>
      <w:r w:rsidR="00CD6B55" w:rsidRPr="006C5C0E">
        <w:rPr>
          <w:rFonts w:ascii="Palatino Linotype" w:eastAsia="Arial Unicode MS" w:hAnsi="Palatino Linotype"/>
        </w:rPr>
        <w:t xml:space="preserve"> manifestó una incompetencia y citó el extracto del artículo 8 de la Constitución Política de los Estados Unidos Mexicanos</w:t>
      </w:r>
      <w:r w:rsidR="00E027E7" w:rsidRPr="006C5C0E">
        <w:rPr>
          <w:rFonts w:ascii="Palatino Linotype" w:eastAsia="Arial Unicode MS" w:hAnsi="Palatino Linotype"/>
        </w:rPr>
        <w:t xml:space="preserve"> que</w:t>
      </w:r>
      <w:r w:rsidR="00A57282" w:rsidRPr="006C5C0E">
        <w:rPr>
          <w:rFonts w:ascii="Palatino Linotype" w:eastAsia="Arial Unicode MS" w:hAnsi="Palatino Linotype"/>
        </w:rPr>
        <w:t xml:space="preserve"> </w:t>
      </w:r>
      <w:r w:rsidR="006A5BE7" w:rsidRPr="006C5C0E">
        <w:rPr>
          <w:rFonts w:ascii="Palatino Linotype" w:eastAsia="Arial Unicode MS" w:hAnsi="Palatino Linotype"/>
        </w:rPr>
        <w:t>son</w:t>
      </w:r>
      <w:r w:rsidR="00A57282" w:rsidRPr="006C5C0E">
        <w:rPr>
          <w:rFonts w:ascii="Palatino Linotype" w:eastAsia="Arial Unicode MS" w:hAnsi="Palatino Linotype"/>
        </w:rPr>
        <w:t xml:space="preserve"> del conocimiento de las partes. </w:t>
      </w:r>
      <w:r w:rsidR="00E027E7" w:rsidRPr="006C5C0E">
        <w:rPr>
          <w:rFonts w:ascii="Palatino Linotype" w:eastAsia="Arial Unicode MS" w:hAnsi="Palatino Linotype"/>
        </w:rPr>
        <w:t xml:space="preserve"> </w:t>
      </w:r>
    </w:p>
    <w:p w14:paraId="544976D1" w14:textId="77777777" w:rsidR="00A57282" w:rsidRPr="006C5C0E" w:rsidRDefault="00A57282" w:rsidP="00A57282">
      <w:pPr>
        <w:spacing w:after="0" w:line="276" w:lineRule="auto"/>
        <w:jc w:val="both"/>
        <w:rPr>
          <w:rFonts w:ascii="Palatino Linotype" w:eastAsia="Arial Unicode MS" w:hAnsi="Palatino Linotype"/>
        </w:rPr>
      </w:pPr>
    </w:p>
    <w:p w14:paraId="7C162170" w14:textId="57497B35" w:rsidR="00BC5279" w:rsidRPr="006C5C0E" w:rsidRDefault="0058225D" w:rsidP="007C54F4">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 xml:space="preserve">Una vez conocida la respuesta del </w:t>
      </w:r>
      <w:r w:rsidRPr="006C5C0E">
        <w:rPr>
          <w:rFonts w:ascii="Palatino Linotype" w:eastAsia="Palatino Linotype" w:hAnsi="Palatino Linotype" w:cs="Palatino Linotype"/>
          <w:b/>
        </w:rPr>
        <w:t>SUJETO OBLIGADO</w:t>
      </w:r>
      <w:r w:rsidRPr="006C5C0E">
        <w:rPr>
          <w:rFonts w:ascii="Palatino Linotype" w:eastAsia="Palatino Linotype" w:hAnsi="Palatino Linotype" w:cs="Palatino Linotype"/>
        </w:rPr>
        <w:t xml:space="preserve">, la parte </w:t>
      </w:r>
      <w:r w:rsidRPr="006C5C0E">
        <w:rPr>
          <w:rFonts w:ascii="Palatino Linotype" w:eastAsia="Palatino Linotype" w:hAnsi="Palatino Linotype" w:cs="Palatino Linotype"/>
          <w:b/>
        </w:rPr>
        <w:t>RECURRENTE</w:t>
      </w:r>
      <w:r w:rsidRPr="006C5C0E">
        <w:rPr>
          <w:rFonts w:ascii="Palatino Linotype" w:eastAsia="Palatino Linotype" w:hAnsi="Palatino Linotype" w:cs="Palatino Linotype"/>
        </w:rPr>
        <w:t xml:space="preserve"> interpuso </w:t>
      </w:r>
      <w:r w:rsidR="00CD6B55" w:rsidRPr="006C5C0E">
        <w:rPr>
          <w:rFonts w:ascii="Palatino Linotype" w:eastAsia="Palatino Linotype" w:hAnsi="Palatino Linotype" w:cs="Palatino Linotype"/>
        </w:rPr>
        <w:t>el</w:t>
      </w:r>
      <w:r w:rsidRPr="006C5C0E">
        <w:rPr>
          <w:rFonts w:ascii="Palatino Linotype" w:eastAsia="Palatino Linotype" w:hAnsi="Palatino Linotype" w:cs="Palatino Linotype"/>
        </w:rPr>
        <w:t xml:space="preserve"> </w:t>
      </w:r>
      <w:r w:rsidR="006A5BE7" w:rsidRPr="006C5C0E">
        <w:rPr>
          <w:rFonts w:ascii="Palatino Linotype" w:eastAsia="Palatino Linotype" w:hAnsi="Palatino Linotype" w:cs="Palatino Linotype"/>
        </w:rPr>
        <w:t>medio</w:t>
      </w:r>
      <w:r w:rsidRPr="006C5C0E">
        <w:rPr>
          <w:rFonts w:ascii="Palatino Linotype" w:eastAsia="Palatino Linotype" w:hAnsi="Palatino Linotype" w:cs="Palatino Linotype"/>
        </w:rPr>
        <w:t xml:space="preserve"> de impugnación objeto de estudio </w:t>
      </w:r>
      <w:r w:rsidR="007C54F4" w:rsidRPr="006C5C0E">
        <w:rPr>
          <w:rFonts w:ascii="Palatino Linotype" w:eastAsia="Palatino Linotype" w:hAnsi="Palatino Linotype" w:cs="Palatino Linotype"/>
        </w:rPr>
        <w:t xml:space="preserve">en lo medular </w:t>
      </w:r>
      <w:r w:rsidR="00CD6B55" w:rsidRPr="006C5C0E">
        <w:rPr>
          <w:rFonts w:ascii="Palatino Linotype" w:eastAsia="Palatino Linotype" w:hAnsi="Palatino Linotype" w:cs="Palatino Linotype"/>
        </w:rPr>
        <w:t>por la declaración de incompetencia</w:t>
      </w:r>
      <w:r w:rsidR="00BC5279" w:rsidRPr="006C5C0E">
        <w:rPr>
          <w:rFonts w:ascii="Palatino Linotype" w:eastAsia="Palatino Linotype" w:hAnsi="Palatino Linotype" w:cs="Palatino Linotype"/>
        </w:rPr>
        <w:t xml:space="preserve">. </w:t>
      </w:r>
    </w:p>
    <w:p w14:paraId="4DBD306A" w14:textId="77777777" w:rsidR="0058225D" w:rsidRPr="006C5C0E"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7F208CD3" w14:textId="1914F04B" w:rsidR="00927093" w:rsidRPr="006C5C0E" w:rsidRDefault="00CD6B55" w:rsidP="00927093">
      <w:pPr>
        <w:spacing w:after="0" w:line="276" w:lineRule="auto"/>
        <w:jc w:val="both"/>
        <w:rPr>
          <w:rFonts w:ascii="Palatino Linotype" w:eastAsia="Arial Unicode MS" w:hAnsi="Palatino Linotype"/>
        </w:rPr>
      </w:pPr>
      <w:r w:rsidRPr="006C5C0E">
        <w:rPr>
          <w:rFonts w:ascii="Palatino Linotype" w:eastAsia="Palatino Linotype" w:hAnsi="Palatino Linotype" w:cs="Palatino Linotype"/>
        </w:rPr>
        <w:lastRenderedPageBreak/>
        <w:t>En la sustanciación del recurso</w:t>
      </w:r>
      <w:r w:rsidRPr="006C5C0E">
        <w:rPr>
          <w:rFonts w:ascii="Palatino Linotype" w:eastAsia="Palatino Linotype" w:hAnsi="Palatino Linotype" w:cs="Palatino Linotype"/>
          <w:b/>
        </w:rPr>
        <w:t xml:space="preserve"> </w:t>
      </w:r>
      <w:r w:rsidR="00AB0BFA" w:rsidRPr="006C5C0E">
        <w:rPr>
          <w:rFonts w:ascii="Palatino Linotype" w:eastAsia="Palatino Linotype" w:hAnsi="Palatino Linotype" w:cs="Palatino Linotype"/>
          <w:b/>
        </w:rPr>
        <w:t xml:space="preserve">EL SUJETO OBLIGADO </w:t>
      </w:r>
      <w:r w:rsidRPr="006C5C0E">
        <w:rPr>
          <w:rFonts w:ascii="Palatino Linotype" w:eastAsia="Arial Unicode MS" w:hAnsi="Palatino Linotype"/>
        </w:rPr>
        <w:t xml:space="preserve">adjuntó a su informe justificado </w:t>
      </w:r>
      <w:r w:rsidR="00927093" w:rsidRPr="006C5C0E">
        <w:rPr>
          <w:rFonts w:ascii="Palatino Linotype" w:eastAsia="Arial Unicode MS" w:hAnsi="Palatino Linotype"/>
        </w:rPr>
        <w:t xml:space="preserve">los archivos electrónicos que son del conocimiento de las partes.  </w:t>
      </w:r>
    </w:p>
    <w:p w14:paraId="4BE6FA4D" w14:textId="77777777" w:rsidR="009A7F78" w:rsidRPr="006C5C0E" w:rsidRDefault="009A7F78" w:rsidP="009A7F78">
      <w:pPr>
        <w:pStyle w:val="Prrafodelista"/>
        <w:autoSpaceDE w:val="0"/>
        <w:autoSpaceDN w:val="0"/>
        <w:adjustRightInd w:val="0"/>
        <w:spacing w:after="0" w:line="276" w:lineRule="auto"/>
        <w:ind w:left="0"/>
        <w:jc w:val="both"/>
        <w:rPr>
          <w:rFonts w:ascii="Palatino Linotype" w:hAnsi="Palatino Linotype" w:cs="Arial"/>
          <w:color w:val="000000"/>
          <w:lang w:val="es-ES_tradnl"/>
        </w:rPr>
      </w:pPr>
    </w:p>
    <w:p w14:paraId="27675C24" w14:textId="0DC62A45" w:rsidR="008B5DB1" w:rsidRPr="006C5C0E"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6C5C0E">
        <w:rPr>
          <w:rFonts w:ascii="Palatino Linotype" w:eastAsia="Palatino Linotype" w:hAnsi="Palatino Linotype" w:cs="Palatino Linotype"/>
          <w:lang w:val="es-ES"/>
        </w:rPr>
        <w:t xml:space="preserve">Por su parte, </w:t>
      </w:r>
      <w:r w:rsidRPr="006C5C0E">
        <w:rPr>
          <w:rFonts w:ascii="Palatino Linotype" w:eastAsia="Palatino Linotype" w:hAnsi="Palatino Linotype" w:cs="Palatino Linotype"/>
          <w:b/>
          <w:lang w:val="es-ES"/>
        </w:rPr>
        <w:t>LA PARTE RECURRENTE</w:t>
      </w:r>
      <w:r w:rsidRPr="006C5C0E">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6C5C0E"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3A690C0E" w14:textId="77777777" w:rsidR="00BC5279" w:rsidRPr="006C5C0E" w:rsidRDefault="00BC5279" w:rsidP="00BC5279">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6C5C0E">
        <w:rPr>
          <w:rFonts w:ascii="Palatino Linotype" w:eastAsia="Palatino Linotype" w:hAnsi="Palatino Linotype" w:cs="Palatino Linotype"/>
          <w:lang w:val="es-ES"/>
        </w:rPr>
        <w:t xml:space="preserve">Así las cosas, la mayoría simple del Pleno consideró que: </w:t>
      </w:r>
    </w:p>
    <w:p w14:paraId="6B00518C" w14:textId="77777777" w:rsidR="00BC5279" w:rsidRPr="006C5C0E" w:rsidRDefault="00BC5279" w:rsidP="00BC5279">
      <w:pPr>
        <w:spacing w:after="0" w:line="276" w:lineRule="auto"/>
        <w:ind w:left="851" w:right="616"/>
        <w:jc w:val="both"/>
        <w:rPr>
          <w:rFonts w:ascii="Palatino Linotype" w:hAnsi="Palatino Linotype" w:cs="Arial"/>
          <w:i/>
        </w:rPr>
      </w:pPr>
    </w:p>
    <w:p w14:paraId="18C29572" w14:textId="1438687F" w:rsidR="00CD6B55" w:rsidRPr="006C5C0E" w:rsidRDefault="00BC5279"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t>“</w:t>
      </w:r>
      <w:r w:rsidR="00CD6B55" w:rsidRPr="006C5C0E">
        <w:rPr>
          <w:rFonts w:ascii="Palatino Linotype" w:hAnsi="Palatino Linotype" w:cs="Arial"/>
          <w:i/>
        </w:rPr>
        <w:t>…que el Derecho humano de acceso a la información pública debe ser ejercido de forma respetuosa, sin usar lenguaje altisonante, usando groserías o expresiones insultantes o en doble sentido, cuya finalidad o intención sea ocasionar agravios en la moral de las personas.</w:t>
      </w:r>
    </w:p>
    <w:p w14:paraId="7BEC04C9" w14:textId="77777777" w:rsidR="00CD6B55" w:rsidRPr="006C5C0E" w:rsidRDefault="00CD6B55"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t>Asimismo, se considera que no se puede ejercer el Derecho de acceso a la información ni el recurso de revisión para injuriar e insultar a Servidoras y Servidores Públicos,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14:paraId="530D7C45" w14:textId="77777777" w:rsidR="00CD6B55" w:rsidRPr="006C5C0E" w:rsidRDefault="00CD6B55" w:rsidP="009F0EBF">
      <w:pPr>
        <w:spacing w:after="0" w:line="276" w:lineRule="auto"/>
        <w:ind w:left="567" w:right="333"/>
        <w:jc w:val="both"/>
        <w:rPr>
          <w:rFonts w:ascii="Palatino Linotype" w:hAnsi="Palatino Linotype" w:cs="Arial"/>
          <w:i/>
        </w:rPr>
      </w:pPr>
    </w:p>
    <w:p w14:paraId="28809313" w14:textId="77777777" w:rsidR="00CD6B55" w:rsidRPr="006C5C0E" w:rsidRDefault="00CD6B55"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t xml:space="preserve">Aunado a lo anterior es de hacer notar, como referencia concatenada, lo que establece el artículo 8 de la Constitución Política de los Estados Unidos Mexicanos, que para el caso que nos ocupa, establece que los funcionarios y empleados públicos respetarán el ejercicio del derecho de petición, siempre que ésta se formule por escrito, de manera pacífica y respetuosa. </w:t>
      </w:r>
    </w:p>
    <w:p w14:paraId="679703B6" w14:textId="77777777" w:rsidR="00CD6B55" w:rsidRPr="006C5C0E" w:rsidRDefault="00CD6B55"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14:paraId="47653C61" w14:textId="77777777" w:rsidR="00CD6B55" w:rsidRPr="006C5C0E" w:rsidRDefault="00CD6B55" w:rsidP="009F0EBF">
      <w:pPr>
        <w:spacing w:after="0" w:line="276" w:lineRule="auto"/>
        <w:ind w:left="567" w:right="333"/>
        <w:jc w:val="both"/>
        <w:rPr>
          <w:rFonts w:ascii="Palatino Linotype" w:hAnsi="Palatino Linotype" w:cs="Arial"/>
          <w:i/>
        </w:rPr>
      </w:pPr>
    </w:p>
    <w:p w14:paraId="277645B8" w14:textId="77777777" w:rsidR="00CD6B55" w:rsidRPr="006C5C0E" w:rsidRDefault="00CD6B55"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lastRenderedPageBreak/>
        <w:t>De manera semejante, el artículo 9° constitucional prevé que no se considerará ilegal ni podrá disolverse una asamblea o reunión cuyo objeto sea formular una petición o protesta ante una autoridad, siempre que no se profieran injurias contra ésta. De lo contrario, el ejercicio del derecho de asociación se vuelve ilegal. Esta lógica, trasladada al derecho de acceso a la información, conduce a sostener que no puede concebirse como legítimo un ejercicio que utilice la solicitud o el recurso como vehículos de ofensa contra los servidores públicos.</w:t>
      </w:r>
    </w:p>
    <w:p w14:paraId="11CA42DD" w14:textId="77777777" w:rsidR="00CD6B55" w:rsidRPr="006C5C0E" w:rsidRDefault="00CD6B55" w:rsidP="009F0EBF">
      <w:pPr>
        <w:spacing w:after="0" w:line="276" w:lineRule="auto"/>
        <w:ind w:left="567" w:right="333"/>
        <w:jc w:val="both"/>
        <w:rPr>
          <w:rFonts w:ascii="Palatino Linotype" w:hAnsi="Palatino Linotype" w:cs="Arial"/>
          <w:i/>
        </w:rPr>
      </w:pPr>
    </w:p>
    <w:p w14:paraId="7F5D6D32" w14:textId="77777777" w:rsidR="00CD6B55" w:rsidRPr="006C5C0E" w:rsidRDefault="00CD6B55"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t>En consecuencia, debe afirmarse que el derecho de acceso a la información no se ejerce válidamente cuando su finalidad principal es insultar o denigrar a las personas servidoras públicas. En el caso que nos ocupa, si bien existió materia de transparencia, también es cierto que el solicitante incurrió en expresiones que contravienen los mínimos de respeto que, conforme al artículo 8 constitucional, deben observarse en cualquier petición dirigida a la autoridad.</w:t>
      </w:r>
    </w:p>
    <w:p w14:paraId="1773C1CC" w14:textId="77777777" w:rsidR="00CD6B55" w:rsidRPr="006C5C0E" w:rsidRDefault="00CD6B55" w:rsidP="009F0EBF">
      <w:pPr>
        <w:spacing w:after="0" w:line="276" w:lineRule="auto"/>
        <w:ind w:left="567" w:right="333"/>
        <w:jc w:val="both"/>
        <w:rPr>
          <w:rFonts w:ascii="Palatino Linotype" w:hAnsi="Palatino Linotype" w:cs="Arial"/>
          <w:i/>
        </w:rPr>
      </w:pPr>
    </w:p>
    <w:p w14:paraId="55D4FF1C" w14:textId="5A3789BF" w:rsidR="00BC5279" w:rsidRPr="006C5C0E" w:rsidRDefault="00CD6B55" w:rsidP="009F0EBF">
      <w:pPr>
        <w:spacing w:after="0" w:line="276" w:lineRule="auto"/>
        <w:ind w:left="567" w:right="333"/>
        <w:jc w:val="both"/>
        <w:rPr>
          <w:rFonts w:ascii="Palatino Linotype" w:hAnsi="Palatino Linotype" w:cs="Arial"/>
          <w:i/>
        </w:rPr>
      </w:pPr>
      <w:r w:rsidRPr="006C5C0E">
        <w:rPr>
          <w:rFonts w:ascii="Palatino Linotype" w:hAnsi="Palatino Linotype" w:cs="Arial"/>
          <w:i/>
        </w:rPr>
        <w:t>Por tanto, este Instituto exhorta a la persona recurrente a abstenerse de utilizar un lenguaje irrespetuoso en futuros ejercicios de acceso a la información, pues el respeto constituye la base indispensable para el adecuado funcionamiento de los mecanismos de transparencia</w:t>
      </w:r>
      <w:r w:rsidR="00BC5279" w:rsidRPr="006C5C0E">
        <w:rPr>
          <w:rFonts w:ascii="Palatino Linotype" w:hAnsi="Palatino Linotype" w:cs="Arial"/>
          <w:i/>
        </w:rPr>
        <w:t xml:space="preserve">.” (Sic) </w:t>
      </w:r>
    </w:p>
    <w:p w14:paraId="674BBC59" w14:textId="77777777" w:rsidR="00BC5279" w:rsidRPr="006C5C0E" w:rsidRDefault="00BC5279" w:rsidP="00BC5279">
      <w:pPr>
        <w:spacing w:after="0" w:line="276" w:lineRule="auto"/>
        <w:ind w:left="851" w:right="616"/>
        <w:jc w:val="both"/>
        <w:rPr>
          <w:rFonts w:ascii="Palatino Linotype" w:hAnsi="Palatino Linotype" w:cs="Arial"/>
          <w:i/>
        </w:rPr>
      </w:pPr>
    </w:p>
    <w:p w14:paraId="5F8580BD" w14:textId="77777777" w:rsidR="00BC5279" w:rsidRPr="006C5C0E" w:rsidRDefault="00BC5279" w:rsidP="00BC5279">
      <w:pPr>
        <w:pBdr>
          <w:top w:val="nil"/>
          <w:left w:val="nil"/>
          <w:bottom w:val="nil"/>
          <w:right w:val="nil"/>
          <w:between w:val="nil"/>
        </w:pBd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 xml:space="preserve">Bajo tal razonamiento se determinó </w:t>
      </w:r>
      <w:r w:rsidRPr="006C5C0E">
        <w:rPr>
          <w:rFonts w:ascii="Palatino Linotype" w:eastAsia="Palatino Linotype" w:hAnsi="Palatino Linotype" w:cs="Palatino Linotype"/>
          <w:b/>
        </w:rPr>
        <w:t>SOBRESEER</w:t>
      </w:r>
      <w:r w:rsidRPr="006C5C0E">
        <w:rPr>
          <w:rFonts w:ascii="Palatino Linotype" w:eastAsia="Palatino Linotype" w:hAnsi="Palatino Linotype" w:cs="Palatino Linotype"/>
        </w:rPr>
        <w:t xml:space="preserve"> el asunto, de conformidad a lo establecido en la fracción V, del artículo 192, de la Ley de Transparencia y Acceso a la Información Pública del Estado de México y Municipios.</w:t>
      </w:r>
    </w:p>
    <w:p w14:paraId="1FA8CDC5" w14:textId="77777777" w:rsidR="00BC5279" w:rsidRPr="006C5C0E" w:rsidRDefault="00BC5279" w:rsidP="00BC5279">
      <w:pPr>
        <w:spacing w:after="0" w:line="276" w:lineRule="auto"/>
        <w:ind w:left="851" w:right="616"/>
        <w:jc w:val="both"/>
        <w:rPr>
          <w:rFonts w:ascii="Palatino Linotype" w:hAnsi="Palatino Linotype" w:cs="Arial"/>
          <w:i/>
        </w:rPr>
      </w:pPr>
    </w:p>
    <w:p w14:paraId="54D723A9" w14:textId="5DA0C9EF" w:rsidR="0058225D" w:rsidRPr="006C5C0E"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6C5C0E">
        <w:rPr>
          <w:rFonts w:ascii="Palatino Linotype" w:eastAsia="Palatino Linotype" w:hAnsi="Palatino Linotype" w:cs="Palatino Linotype"/>
          <w:b/>
        </w:rPr>
        <w:t xml:space="preserve">II. </w:t>
      </w:r>
      <w:r w:rsidR="0058225D" w:rsidRPr="006C5C0E">
        <w:rPr>
          <w:rFonts w:ascii="Palatino Linotype" w:eastAsia="Palatino Linotype" w:hAnsi="Palatino Linotype" w:cs="Palatino Linotype"/>
          <w:b/>
        </w:rPr>
        <w:t xml:space="preserve">Razones del Voto </w:t>
      </w:r>
      <w:r w:rsidR="00BC5279" w:rsidRPr="006C5C0E">
        <w:rPr>
          <w:rFonts w:ascii="Palatino Linotype" w:eastAsia="Palatino Linotype" w:hAnsi="Palatino Linotype" w:cs="Palatino Linotype"/>
          <w:b/>
        </w:rPr>
        <w:t>Disidente</w:t>
      </w:r>
    </w:p>
    <w:p w14:paraId="791709D5"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Considero que el derecho de acceso a la información pública debiera ser ejercido con el debido respeto personal e institucional, sin hacer uso de expresiones peyorativas, ofensivas o denigrantes, es indispensable analizar la naturaleza y finalidad del derecho de acceso a la información, el principio de libertad de expresión y el derecho al honor; por ello, a continuación, me permito exponer los motivos por los que, aún en el contexto de palabras altisonantes, se debe garantizar la entrega de la información solicitada.</w:t>
      </w:r>
    </w:p>
    <w:p w14:paraId="03E13502"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71BB2E51"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Negarse a tramitar solicitudes con base en el tono o lenguaje empleado, no se encuentra contemplado en la Constitución ni en la Ley General de Transparencia y Acceso a la Información Pública. Por ende, no se protege el derecho fundamental de acceso a la información si se toma tal criterio.</w:t>
      </w:r>
    </w:p>
    <w:p w14:paraId="34ECDA27"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7D79E667"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Asimismo, el artículo 124 de la Ley General establece los requisitos de procedencia de la solicitud, y estos no pueden excederse en ninguna circunstancia. El artículo 128 afirma que solo se puede considerar no presentada una solicitud cuando el solicitante no responda a un requerimiento previo y no de manera automática como primera acción.</w:t>
      </w:r>
    </w:p>
    <w:p w14:paraId="4888EE43"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48294918"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 xml:space="preserve">Debemos tener en cuenta que el acceso a la información pública es un derecho fundamental que busca garantizar la transparencia gubernamental, permitiendo el escrutinio público y empoderando a los ciudadanos a participar activamente en la democracia. Limitar este derecho basándonos en el tono o contenido adjetivo de una solicitud, iría en contra del propósito principal de promover un gobierno abierto y transparente. </w:t>
      </w:r>
    </w:p>
    <w:p w14:paraId="72E605DE"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7D7C01EB"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El contenido sustantivo de una solicitud de acceso a la información (es decir, la información que se solicita) debe ser tratado de manera independiente a cualquier comentario o expresión que se halla. Permitir que la entrega de información se vea afectada por expresiones adicionales, aunque sean inapropiadas, sentaría un precedente peligroso que podría desincentivar o complicar futuros requerimientos de información.</w:t>
      </w:r>
    </w:p>
    <w:p w14:paraId="19628058"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72E28010"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Por otro lado, la libertad de expresión es un derecho fundamental que permite a los ciudadanos expresar sus opiniones, incluidas las críticas hacia la administración pública. Aunque este derecho no es absoluto y no justifica el uso de lenguaje ofensivo, es esencial recordar que su protección es vital para el funcionamiento de una sociedad democrática. Si bien el derecho al honor es esencial y protege la reputación y dignidad de las personas, considero que, en el contexto de una solicitud de acceso a la información, la preservación de la transparencia gubernamental y la promoción de la rendición de cuentas deben tener prioridad.</w:t>
      </w:r>
    </w:p>
    <w:p w14:paraId="7657ECAE"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261FCD9E"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Sin embargo, en el presente asunto tuvo mayor peso, de acuerdo al Criterio Mayoritario, lo que manifestó el particular en su solicitud al expresar manifestaciones subjetivas con lenguaje peyorativo sobreseyendo el recurso de revisión.</w:t>
      </w:r>
    </w:p>
    <w:p w14:paraId="2D1FEA5C" w14:textId="77777777" w:rsidR="00BC5279" w:rsidRPr="006C5C0E" w:rsidRDefault="00BC5279" w:rsidP="00BC5279">
      <w:pPr>
        <w:spacing w:after="0" w:line="276" w:lineRule="auto"/>
        <w:jc w:val="both"/>
        <w:rPr>
          <w:rFonts w:ascii="Palatino Linotype" w:eastAsia="Palatino Linotype" w:hAnsi="Palatino Linotype" w:cs="Palatino Linotype"/>
        </w:rPr>
      </w:pPr>
    </w:p>
    <w:p w14:paraId="3C6E9B98" w14:textId="77777777" w:rsidR="00BC5279" w:rsidRPr="006C5C0E" w:rsidRDefault="00BC5279"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 xml:space="preserve">Derivado de lo anterior, se emite </w:t>
      </w:r>
      <w:r w:rsidRPr="006C5C0E">
        <w:rPr>
          <w:rFonts w:ascii="Palatino Linotype" w:eastAsia="Palatino Linotype" w:hAnsi="Palatino Linotype" w:cs="Palatino Linotype"/>
          <w:b/>
        </w:rPr>
        <w:t>VOTO DISIDENTE</w:t>
      </w:r>
      <w:r w:rsidRPr="006C5C0E">
        <w:rPr>
          <w:rFonts w:ascii="Palatino Linotype" w:eastAsia="Palatino Linotype" w:hAnsi="Palatino Linotype" w:cs="Palatino Linotype"/>
        </w:rPr>
        <w:t>, pues considero que se debió privilegiar la entrega de la información peticionada, independientemente de las expresiones subjetivas contenidas en la solicitud de acceso a la información.</w:t>
      </w:r>
    </w:p>
    <w:p w14:paraId="03386996" w14:textId="20FC19EB" w:rsidR="00BC5279" w:rsidRPr="006C5C0E" w:rsidRDefault="00CD6B55" w:rsidP="00BC5279">
      <w:pPr>
        <w:spacing w:after="0" w:line="276" w:lineRule="auto"/>
        <w:jc w:val="both"/>
        <w:rPr>
          <w:rFonts w:ascii="Palatino Linotype" w:eastAsia="Palatino Linotype" w:hAnsi="Palatino Linotype" w:cs="Palatino Linotype"/>
        </w:rPr>
      </w:pPr>
      <w:r w:rsidRPr="006C5C0E">
        <w:rPr>
          <w:rFonts w:ascii="Palatino Linotype" w:eastAsia="Palatino Linotype" w:hAnsi="Palatino Linotype" w:cs="Palatino Linotype"/>
        </w:rPr>
        <w:t>SCMM/DEMF/PAG</w:t>
      </w:r>
    </w:p>
    <w:p w14:paraId="02A339BD" w14:textId="77777777" w:rsidR="00EC14A1" w:rsidRPr="006C5C0E" w:rsidRDefault="00EC14A1" w:rsidP="008B5DB1">
      <w:pPr>
        <w:spacing w:after="0" w:line="276" w:lineRule="auto"/>
        <w:jc w:val="both"/>
        <w:rPr>
          <w:rFonts w:ascii="Palatino Linotype" w:hAnsi="Palatino Linotype" w:cs="Arial"/>
        </w:rPr>
      </w:pPr>
    </w:p>
    <w:p w14:paraId="27B2DB11" w14:textId="77777777" w:rsidR="00EC14A1" w:rsidRPr="006C5C0E" w:rsidRDefault="00EC14A1" w:rsidP="008B5DB1">
      <w:pPr>
        <w:spacing w:after="0" w:line="276" w:lineRule="auto"/>
        <w:jc w:val="both"/>
        <w:rPr>
          <w:rFonts w:ascii="Palatino Linotype" w:hAnsi="Palatino Linotype" w:cs="Arial"/>
        </w:rPr>
      </w:pPr>
    </w:p>
    <w:p w14:paraId="19F6F6C3" w14:textId="4BC27F57" w:rsidR="00F2242E" w:rsidRPr="006C5C0E" w:rsidRDefault="00EC14A1" w:rsidP="008B5DB1">
      <w:pPr>
        <w:spacing w:after="0" w:line="276" w:lineRule="auto"/>
        <w:rPr>
          <w:rFonts w:ascii="Palatino Linotype" w:hAnsi="Palatino Linotype" w:cs="Arial"/>
        </w:rPr>
      </w:pPr>
      <w:r w:rsidRPr="006C5C0E">
        <w:rPr>
          <w:rFonts w:ascii="Palatino Linotype" w:hAnsi="Palatino Linotype" w:cs="Arial"/>
        </w:rPr>
        <w:br w:type="page"/>
      </w:r>
    </w:p>
    <w:p w14:paraId="32655901" w14:textId="77777777" w:rsidR="00F2242E" w:rsidRPr="006C5C0E"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6C5C0E"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6C5C0E"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6C5C0E" w:rsidRDefault="00F2242E" w:rsidP="008B5DB1">
      <w:pPr>
        <w:spacing w:after="0" w:line="276" w:lineRule="auto"/>
        <w:rPr>
          <w:rFonts w:ascii="Palatino Linotype" w:hAnsi="Palatino Linotype"/>
        </w:rPr>
      </w:pPr>
    </w:p>
    <w:p w14:paraId="23B45606" w14:textId="77777777" w:rsidR="00F2242E" w:rsidRPr="006C5C0E" w:rsidRDefault="00F2242E" w:rsidP="008B5DB1">
      <w:pPr>
        <w:spacing w:after="0" w:line="276" w:lineRule="auto"/>
        <w:rPr>
          <w:rFonts w:ascii="Palatino Linotype" w:hAnsi="Palatino Linotype"/>
        </w:rPr>
      </w:pPr>
    </w:p>
    <w:p w14:paraId="5854E18B" w14:textId="77777777" w:rsidR="00F2242E" w:rsidRPr="006C5C0E" w:rsidRDefault="00F2242E" w:rsidP="008B5DB1">
      <w:pPr>
        <w:spacing w:after="0" w:line="276" w:lineRule="auto"/>
        <w:rPr>
          <w:rFonts w:ascii="Palatino Linotype" w:hAnsi="Palatino Linotype"/>
        </w:rPr>
      </w:pPr>
    </w:p>
    <w:p w14:paraId="2BFC9C60" w14:textId="77777777" w:rsidR="00687A0B" w:rsidRPr="006C5C0E" w:rsidRDefault="00687A0B" w:rsidP="008B5DB1">
      <w:pPr>
        <w:spacing w:after="0" w:line="276" w:lineRule="auto"/>
        <w:rPr>
          <w:rFonts w:ascii="Palatino Linotype" w:hAnsi="Palatino Linotype"/>
        </w:rPr>
      </w:pPr>
    </w:p>
    <w:sectPr w:rsidR="00687A0B" w:rsidRPr="006C5C0E"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C35BE" w14:textId="77777777" w:rsidR="00D625D3" w:rsidRDefault="00D625D3" w:rsidP="00F2242E">
      <w:pPr>
        <w:spacing w:after="0" w:line="240" w:lineRule="auto"/>
      </w:pPr>
      <w:r>
        <w:separator/>
      </w:r>
    </w:p>
  </w:endnote>
  <w:endnote w:type="continuationSeparator" w:id="0">
    <w:p w14:paraId="3D055307" w14:textId="77777777" w:rsidR="00D625D3" w:rsidRDefault="00D625D3"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9B5AF" w14:textId="77777777" w:rsidR="00D625D3" w:rsidRDefault="00D625D3" w:rsidP="00F2242E">
      <w:pPr>
        <w:spacing w:after="0" w:line="240" w:lineRule="auto"/>
      </w:pPr>
      <w:r>
        <w:separator/>
      </w:r>
    </w:p>
  </w:footnote>
  <w:footnote w:type="continuationSeparator" w:id="0">
    <w:p w14:paraId="731D4B60" w14:textId="77777777" w:rsidR="00D625D3" w:rsidRDefault="00D625D3"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49A69875" w:rsidR="00BA3F5C" w:rsidRPr="00EB2020"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EB2020">
      <w:rPr>
        <w:rFonts w:ascii="Palatino Linotype" w:eastAsia="Palatino Linotype" w:hAnsi="Palatino Linotype" w:cs="Palatino Linotype"/>
        <w:b/>
        <w:color w:val="000000"/>
        <w:sz w:val="20"/>
        <w:szCs w:val="20"/>
      </w:rPr>
      <w:t xml:space="preserve">VOTO </w:t>
    </w:r>
    <w:r w:rsidR="009E5360" w:rsidRPr="00EB2020">
      <w:rPr>
        <w:rFonts w:ascii="Palatino Linotype" w:eastAsia="Palatino Linotype" w:hAnsi="Palatino Linotype" w:cs="Palatino Linotype"/>
        <w:b/>
        <w:color w:val="000000"/>
        <w:sz w:val="20"/>
        <w:szCs w:val="20"/>
      </w:rPr>
      <w:t>DISIDENTE</w:t>
    </w:r>
  </w:p>
  <w:p w14:paraId="38CF1810" w14:textId="35F3A899" w:rsidR="00BA3F5C" w:rsidRPr="0040411E"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sidRPr="00EB2020">
      <w:rPr>
        <w:rFonts w:ascii="Palatino Linotype" w:eastAsia="Palatino Linotype" w:hAnsi="Palatino Linotype" w:cs="Palatino Linotype"/>
        <w:b/>
        <w:color w:val="000000"/>
        <w:sz w:val="20"/>
        <w:szCs w:val="20"/>
      </w:rPr>
      <w:t xml:space="preserve">RECURSO DE REVISIÓN </w:t>
    </w:r>
    <w:r w:rsidR="00CD6B55" w:rsidRPr="00CD6B55">
      <w:rPr>
        <w:rFonts w:ascii="Palatino Linotype" w:eastAsia="Palatino Linotype" w:hAnsi="Palatino Linotype" w:cs="Palatino Linotype"/>
        <w:b/>
        <w:sz w:val="20"/>
        <w:szCs w:val="20"/>
      </w:rPr>
      <w:t>03655/INFOEM/IP/RR/2026</w:t>
    </w:r>
    <w:r w:rsidRPr="00EB2020">
      <w:rPr>
        <w:noProof/>
        <w:sz w:val="20"/>
        <w:szCs w:val="20"/>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05B8"/>
    <w:multiLevelType w:val="hybridMultilevel"/>
    <w:tmpl w:val="16481D3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6092446"/>
    <w:multiLevelType w:val="hybridMultilevel"/>
    <w:tmpl w:val="7F0E992C"/>
    <w:lvl w:ilvl="0" w:tplc="BA3638E4">
      <w:start w:val="1"/>
      <w:numFmt w:val="decimal"/>
      <w:lvlText w:val="%1)"/>
      <w:lvlJc w:val="left"/>
      <w:pPr>
        <w:ind w:left="2422" w:hanging="360"/>
      </w:pPr>
      <w:rPr>
        <w:rFonts w:hint="default"/>
      </w:r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21A97FED"/>
    <w:multiLevelType w:val="hybridMultilevel"/>
    <w:tmpl w:val="15FE2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E26FA8"/>
    <w:multiLevelType w:val="hybridMultilevel"/>
    <w:tmpl w:val="3FFACA48"/>
    <w:lvl w:ilvl="0" w:tplc="18CCC67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27E6055"/>
    <w:multiLevelType w:val="hybridMultilevel"/>
    <w:tmpl w:val="0D26DF64"/>
    <w:lvl w:ilvl="0" w:tplc="C310C6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5594999"/>
    <w:multiLevelType w:val="hybridMultilevel"/>
    <w:tmpl w:val="1BE452F6"/>
    <w:lvl w:ilvl="0" w:tplc="FFFFFFFF">
      <w:start w:val="1"/>
      <w:numFmt w:val="decimal"/>
      <w:lvlText w:val="%1)"/>
      <w:lvlJc w:val="left"/>
      <w:pPr>
        <w:ind w:left="2422" w:hanging="360"/>
      </w:pPr>
      <w:rPr>
        <w:rFonts w:hint="default"/>
      </w:rPr>
    </w:lvl>
    <w:lvl w:ilvl="1" w:tplc="080A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656B0999"/>
    <w:multiLevelType w:val="hybridMultilevel"/>
    <w:tmpl w:val="57421846"/>
    <w:lvl w:ilvl="0" w:tplc="BA3638E4">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5"/>
  </w:num>
  <w:num w:numId="5">
    <w:abstractNumId w:val="3"/>
  </w:num>
  <w:num w:numId="6">
    <w:abstractNumId w:val="0"/>
  </w:num>
  <w:num w:numId="7">
    <w:abstractNumId w:val="7"/>
  </w:num>
  <w:num w:numId="8">
    <w:abstractNumId w:val="9"/>
  </w:num>
  <w:num w:numId="9">
    <w:abstractNumId w:val="1"/>
  </w:num>
  <w:num w:numId="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14131"/>
    <w:rsid w:val="0005390C"/>
    <w:rsid w:val="00070107"/>
    <w:rsid w:val="0009632C"/>
    <w:rsid w:val="000E7816"/>
    <w:rsid w:val="000F68BD"/>
    <w:rsid w:val="0011704A"/>
    <w:rsid w:val="00133F35"/>
    <w:rsid w:val="00135259"/>
    <w:rsid w:val="00140E03"/>
    <w:rsid w:val="00162410"/>
    <w:rsid w:val="00163CA2"/>
    <w:rsid w:val="00172596"/>
    <w:rsid w:val="001A3625"/>
    <w:rsid w:val="001C7463"/>
    <w:rsid w:val="001D28F2"/>
    <w:rsid w:val="001D3BC2"/>
    <w:rsid w:val="00210128"/>
    <w:rsid w:val="00212B17"/>
    <w:rsid w:val="00235436"/>
    <w:rsid w:val="00264C48"/>
    <w:rsid w:val="002A393D"/>
    <w:rsid w:val="002A7C27"/>
    <w:rsid w:val="00301409"/>
    <w:rsid w:val="0032277E"/>
    <w:rsid w:val="00331B59"/>
    <w:rsid w:val="00353102"/>
    <w:rsid w:val="00370C38"/>
    <w:rsid w:val="0038368A"/>
    <w:rsid w:val="003B328E"/>
    <w:rsid w:val="003B699B"/>
    <w:rsid w:val="0040411E"/>
    <w:rsid w:val="004545E2"/>
    <w:rsid w:val="00475F04"/>
    <w:rsid w:val="0048630B"/>
    <w:rsid w:val="004D3E99"/>
    <w:rsid w:val="004E2D12"/>
    <w:rsid w:val="00517BB2"/>
    <w:rsid w:val="00555751"/>
    <w:rsid w:val="005601A8"/>
    <w:rsid w:val="0056161E"/>
    <w:rsid w:val="005633D5"/>
    <w:rsid w:val="00580407"/>
    <w:rsid w:val="0058225D"/>
    <w:rsid w:val="00582A38"/>
    <w:rsid w:val="00594A85"/>
    <w:rsid w:val="005B13D5"/>
    <w:rsid w:val="005B52F4"/>
    <w:rsid w:val="005C46A7"/>
    <w:rsid w:val="005C68F4"/>
    <w:rsid w:val="005E4BF7"/>
    <w:rsid w:val="005F783A"/>
    <w:rsid w:val="0062170F"/>
    <w:rsid w:val="006340CD"/>
    <w:rsid w:val="0064393C"/>
    <w:rsid w:val="00646DB1"/>
    <w:rsid w:val="00665559"/>
    <w:rsid w:val="00666A22"/>
    <w:rsid w:val="0068693C"/>
    <w:rsid w:val="00687A0B"/>
    <w:rsid w:val="00694875"/>
    <w:rsid w:val="006A5BE7"/>
    <w:rsid w:val="006B5D6F"/>
    <w:rsid w:val="006C5C0E"/>
    <w:rsid w:val="006E1113"/>
    <w:rsid w:val="006E74B7"/>
    <w:rsid w:val="00707A0D"/>
    <w:rsid w:val="007200B8"/>
    <w:rsid w:val="00721DF4"/>
    <w:rsid w:val="00746E77"/>
    <w:rsid w:val="00771623"/>
    <w:rsid w:val="00771B04"/>
    <w:rsid w:val="007955B4"/>
    <w:rsid w:val="007C542A"/>
    <w:rsid w:val="007C54F4"/>
    <w:rsid w:val="007C6256"/>
    <w:rsid w:val="007C6B35"/>
    <w:rsid w:val="00816541"/>
    <w:rsid w:val="00820DAB"/>
    <w:rsid w:val="00823524"/>
    <w:rsid w:val="00846B9C"/>
    <w:rsid w:val="008476D8"/>
    <w:rsid w:val="00854E61"/>
    <w:rsid w:val="0086228C"/>
    <w:rsid w:val="00871019"/>
    <w:rsid w:val="00871174"/>
    <w:rsid w:val="00871B1A"/>
    <w:rsid w:val="00880DD4"/>
    <w:rsid w:val="0088587D"/>
    <w:rsid w:val="00885E47"/>
    <w:rsid w:val="00894B97"/>
    <w:rsid w:val="00895955"/>
    <w:rsid w:val="00897394"/>
    <w:rsid w:val="008A3CEB"/>
    <w:rsid w:val="008B2799"/>
    <w:rsid w:val="008B5DB1"/>
    <w:rsid w:val="008C73AC"/>
    <w:rsid w:val="008F0F81"/>
    <w:rsid w:val="008F2DCC"/>
    <w:rsid w:val="008F4A7F"/>
    <w:rsid w:val="00900639"/>
    <w:rsid w:val="009106C8"/>
    <w:rsid w:val="00927093"/>
    <w:rsid w:val="009366E7"/>
    <w:rsid w:val="009746FF"/>
    <w:rsid w:val="00992A71"/>
    <w:rsid w:val="009A503B"/>
    <w:rsid w:val="009A7F78"/>
    <w:rsid w:val="009C22FE"/>
    <w:rsid w:val="009C24B6"/>
    <w:rsid w:val="009D374E"/>
    <w:rsid w:val="009E5360"/>
    <w:rsid w:val="009F0EBF"/>
    <w:rsid w:val="009F4261"/>
    <w:rsid w:val="009F60C1"/>
    <w:rsid w:val="00A0675C"/>
    <w:rsid w:val="00A06AE7"/>
    <w:rsid w:val="00A12DB2"/>
    <w:rsid w:val="00A166D5"/>
    <w:rsid w:val="00A42FDB"/>
    <w:rsid w:val="00A446A1"/>
    <w:rsid w:val="00A53EBC"/>
    <w:rsid w:val="00A57282"/>
    <w:rsid w:val="00A754AE"/>
    <w:rsid w:val="00A755C9"/>
    <w:rsid w:val="00A83B40"/>
    <w:rsid w:val="00AB0BFA"/>
    <w:rsid w:val="00AB18F3"/>
    <w:rsid w:val="00AE3196"/>
    <w:rsid w:val="00AF3C13"/>
    <w:rsid w:val="00B12B1B"/>
    <w:rsid w:val="00B22B08"/>
    <w:rsid w:val="00B400B7"/>
    <w:rsid w:val="00B45EBF"/>
    <w:rsid w:val="00B50962"/>
    <w:rsid w:val="00B62449"/>
    <w:rsid w:val="00B759B8"/>
    <w:rsid w:val="00B760A7"/>
    <w:rsid w:val="00B81E41"/>
    <w:rsid w:val="00BA3F5C"/>
    <w:rsid w:val="00BA7A89"/>
    <w:rsid w:val="00BB27C8"/>
    <w:rsid w:val="00BB606A"/>
    <w:rsid w:val="00BC5279"/>
    <w:rsid w:val="00BD13DF"/>
    <w:rsid w:val="00C306C7"/>
    <w:rsid w:val="00C70547"/>
    <w:rsid w:val="00C80BFF"/>
    <w:rsid w:val="00C962B9"/>
    <w:rsid w:val="00CD6B55"/>
    <w:rsid w:val="00CE41F4"/>
    <w:rsid w:val="00CE6683"/>
    <w:rsid w:val="00CF08D6"/>
    <w:rsid w:val="00D625D3"/>
    <w:rsid w:val="00D77656"/>
    <w:rsid w:val="00D94E06"/>
    <w:rsid w:val="00DC6B8D"/>
    <w:rsid w:val="00DD647B"/>
    <w:rsid w:val="00DE0A9C"/>
    <w:rsid w:val="00DF672E"/>
    <w:rsid w:val="00E027E7"/>
    <w:rsid w:val="00E124D5"/>
    <w:rsid w:val="00E15025"/>
    <w:rsid w:val="00E17025"/>
    <w:rsid w:val="00E2242B"/>
    <w:rsid w:val="00E42256"/>
    <w:rsid w:val="00E44DC2"/>
    <w:rsid w:val="00E616A4"/>
    <w:rsid w:val="00E771CF"/>
    <w:rsid w:val="00E92C22"/>
    <w:rsid w:val="00EB1ECE"/>
    <w:rsid w:val="00EB2020"/>
    <w:rsid w:val="00EB59F6"/>
    <w:rsid w:val="00EB6090"/>
    <w:rsid w:val="00EC14A1"/>
    <w:rsid w:val="00EC7E92"/>
    <w:rsid w:val="00F1783B"/>
    <w:rsid w:val="00F17D1C"/>
    <w:rsid w:val="00F2242E"/>
    <w:rsid w:val="00F24E3E"/>
    <w:rsid w:val="00F25CBC"/>
    <w:rsid w:val="00F53279"/>
    <w:rsid w:val="00F65FBB"/>
    <w:rsid w:val="00F71483"/>
    <w:rsid w:val="00FA2DDF"/>
    <w:rsid w:val="00FA7954"/>
    <w:rsid w:val="00FC4CFC"/>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table" w:styleId="Tablaconcuadrcula">
    <w:name w:val="Table Grid"/>
    <w:basedOn w:val="Tablanormal"/>
    <w:uiPriority w:val="59"/>
    <w:rsid w:val="006A5BE7"/>
    <w:pPr>
      <w:spacing w:after="0" w:line="240" w:lineRule="auto"/>
      <w:jc w:val="both"/>
    </w:pPr>
    <w:rPr>
      <w:rFonts w:ascii="Palatino Linotype" w:eastAsia="Palatino Linotype" w:hAnsi="Palatino Linotype" w:cs="Palatino Linotype"/>
      <w:kern w:val="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158BC-5BD9-43EE-8C8C-85A7BA98B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1317</Words>
  <Characters>7247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Cuenta Microsoft</cp:lastModifiedBy>
  <cp:revision>4</cp:revision>
  <cp:lastPrinted>2026-03-09T15:31:00Z</cp:lastPrinted>
  <dcterms:created xsi:type="dcterms:W3CDTF">2026-04-30T15:43:00Z</dcterms:created>
  <dcterms:modified xsi:type="dcterms:W3CDTF">2026-04-30T15:44:00Z</dcterms:modified>
</cp:coreProperties>
</file>