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70CD6" w14:textId="77777777" w:rsidR="00351272" w:rsidRDefault="00F255A7">
      <w:pPr>
        <w:widowControl w:val="0"/>
        <w:pBdr>
          <w:top w:val="nil"/>
          <w:left w:val="nil"/>
          <w:bottom w:val="nil"/>
          <w:right w:val="nil"/>
          <w:between w:val="nil"/>
        </w:pBdr>
        <w:spacing w:before="240" w:after="240" w:line="360" w:lineRule="auto"/>
        <w:jc w:val="both"/>
        <w:rPr>
          <w:rFonts w:ascii="Palatino Linotype" w:eastAsia="Palatino Linotype" w:hAnsi="Palatino Linotype" w:cs="Palatino Linotype"/>
        </w:rPr>
      </w:pPr>
      <w:bookmarkStart w:id="0" w:name="_heading=h.3lsnwmx770dl" w:colFirst="0" w:colLast="0"/>
      <w:bookmarkEnd w:id="0"/>
      <w:r>
        <w:rPr>
          <w:rFonts w:ascii="Palatino Linotype" w:eastAsia="Palatino Linotype" w:hAnsi="Palatino Linotype" w:cs="Palatino Linotype"/>
          <w:b/>
          <w:bCs/>
        </w:rPr>
        <w:t>VOTO DISIDENTE QUE F</w:t>
      </w:r>
      <w:r>
        <w:rPr>
          <w:rFonts w:ascii="Palatino Linotype" w:eastAsia="Palatino Linotype" w:hAnsi="Palatino Linotype" w:cs="Palatino Linotype"/>
          <w:b/>
          <w:bCs/>
          <w:color w:val="000000"/>
        </w:rPr>
        <w:t>ORMULA</w:t>
      </w:r>
      <w:r>
        <w:rPr>
          <w:rFonts w:ascii="Palatino Linotype" w:eastAsia="Palatino Linotype" w:hAnsi="Palatino Linotype" w:cs="Palatino Linotype"/>
          <w:b/>
          <w:bCs/>
        </w:rPr>
        <w:t xml:space="preserve"> LA COMISIONADA GUADALUPE RAMÍREZ PEÑA, EN RELACIÓN CON LA RESOLUCIÓN DICTADA POR EL PLENO DEL INSTITUTO DE TRANSPARENCIA, ACCESO A LA INFORMACIÓN PÚBLICA Y PROTECCIÓN DE DATOS PERSONALES DEL ESTADO DE MÉXICO Y MUNICIPIOS, EN LA TRIGÉSIMA PRIMERA SESIÓN ORDINARIA DEL DOS DE SEPTIEMBRE DE DOS MIL VEINTISÉIS, EN EL RECURSO DE REVISIÓN 03280/</w:t>
      </w:r>
      <w:proofErr w:type="spellStart"/>
      <w:r>
        <w:rPr>
          <w:rFonts w:ascii="Palatino Linotype" w:eastAsia="Palatino Linotype" w:hAnsi="Palatino Linotype" w:cs="Palatino Linotype"/>
          <w:b/>
          <w:bCs/>
        </w:rPr>
        <w:t>INFOEM</w:t>
      </w:r>
      <w:proofErr w:type="spellEnd"/>
      <w:r>
        <w:rPr>
          <w:rFonts w:ascii="Palatino Linotype" w:eastAsia="Palatino Linotype" w:hAnsi="Palatino Linotype" w:cs="Palatino Linotype"/>
          <w:b/>
          <w:bCs/>
        </w:rPr>
        <w:t>/IP/</w:t>
      </w:r>
      <w:proofErr w:type="spellStart"/>
      <w:r>
        <w:rPr>
          <w:rFonts w:ascii="Palatino Linotype" w:eastAsia="Palatino Linotype" w:hAnsi="Palatino Linotype" w:cs="Palatino Linotype"/>
          <w:b/>
          <w:bCs/>
        </w:rPr>
        <w:t>RR</w:t>
      </w:r>
      <w:proofErr w:type="spellEnd"/>
      <w:r>
        <w:rPr>
          <w:rFonts w:ascii="Palatino Linotype" w:eastAsia="Palatino Linotype" w:hAnsi="Palatino Linotype" w:cs="Palatino Linotype"/>
          <w:b/>
          <w:bCs/>
        </w:rPr>
        <w:t>/2026.</w:t>
      </w:r>
    </w:p>
    <w:p w14:paraId="14944E1A" w14:textId="77777777" w:rsidR="00351272" w:rsidRDefault="00F255A7">
      <w:pPr>
        <w:spacing w:before="240" w:after="240" w:line="360" w:lineRule="auto"/>
        <w:ind w:right="51"/>
        <w:jc w:val="both"/>
        <w:rPr>
          <w:rFonts w:ascii="Palatino Linotype" w:eastAsia="Palatino Linotype" w:hAnsi="Palatino Linotype" w:cs="Palatino Linotype"/>
        </w:rPr>
      </w:pPr>
      <w:r>
        <w:rPr>
          <w:rFonts w:ascii="Palatino Linotype" w:eastAsia="Palatino Linotype" w:hAnsi="Palatino Linotype" w:cs="Palatino Linotype"/>
        </w:rPr>
        <w:t xml:space="preserve">El Pleno del Instituto de Transparencia, Acceso a la Información Pública y Protección de Datos Personales del Estado de México resolvió por mayoría de votos, la Resolución relativa al Recurso de Revisión </w:t>
      </w:r>
      <w:r>
        <w:rPr>
          <w:rFonts w:ascii="Palatino Linotype" w:eastAsia="Palatino Linotype" w:hAnsi="Palatino Linotype" w:cs="Palatino Linotype"/>
          <w:b/>
          <w:bCs/>
        </w:rPr>
        <w:t>03280/</w:t>
      </w:r>
      <w:proofErr w:type="spellStart"/>
      <w:r>
        <w:rPr>
          <w:rFonts w:ascii="Palatino Linotype" w:eastAsia="Palatino Linotype" w:hAnsi="Palatino Linotype" w:cs="Palatino Linotype"/>
          <w:b/>
          <w:bCs/>
        </w:rPr>
        <w:t>INFOEM</w:t>
      </w:r>
      <w:proofErr w:type="spellEnd"/>
      <w:r>
        <w:rPr>
          <w:rFonts w:ascii="Palatino Linotype" w:eastAsia="Palatino Linotype" w:hAnsi="Palatino Linotype" w:cs="Palatino Linotype"/>
          <w:b/>
          <w:bCs/>
        </w:rPr>
        <w:t>/IP/</w:t>
      </w:r>
      <w:proofErr w:type="spellStart"/>
      <w:r>
        <w:rPr>
          <w:rFonts w:ascii="Palatino Linotype" w:eastAsia="Palatino Linotype" w:hAnsi="Palatino Linotype" w:cs="Palatino Linotype"/>
          <w:b/>
          <w:bCs/>
        </w:rPr>
        <w:t>RR</w:t>
      </w:r>
      <w:proofErr w:type="spellEnd"/>
      <w:r>
        <w:rPr>
          <w:rFonts w:ascii="Palatino Linotype" w:eastAsia="Palatino Linotype" w:hAnsi="Palatino Linotype" w:cs="Palatino Linotype"/>
          <w:b/>
          <w:bCs/>
        </w:rPr>
        <w:t xml:space="preserve">/2025, </w:t>
      </w:r>
      <w:r>
        <w:rPr>
          <w:rFonts w:ascii="Palatino Linotype" w:eastAsia="Palatino Linotype" w:hAnsi="Palatino Linotype" w:cs="Palatino Linotype"/>
        </w:rPr>
        <w:t xml:space="preserve">respecto de la cual, quien suscribe, emite </w:t>
      </w:r>
      <w:r>
        <w:rPr>
          <w:rFonts w:ascii="Palatino Linotype" w:eastAsia="Palatino Linotype" w:hAnsi="Palatino Linotype" w:cs="Palatino Linotype"/>
          <w:b/>
          <w:bCs/>
        </w:rPr>
        <w:t>VOTO DISIDENTE</w:t>
      </w:r>
      <w:r>
        <w:rPr>
          <w:rFonts w:ascii="Palatino Linotype" w:eastAsia="Palatino Linotype" w:hAnsi="Palatino Linotype" w:cs="Palatino Linotype"/>
        </w:rPr>
        <w:t>, con fundamento en lo dispuesto en los artículos 14, fracción XI, del Reglamento del Instituto de Transparencia, Acceso a la Información Pública y Protección de Personales Datos del Estado de México, así como 45 y 48, fracción I, de los Lineamientos para el funcionamiento del Pleno y las Comisiones del Instituto de Transparencia, Acceso a la Información Pública y Protección de Datos Personales del Estado de México y Municipios.</w:t>
      </w:r>
    </w:p>
    <w:p w14:paraId="1885058D" w14:textId="77777777" w:rsidR="00351272" w:rsidRDefault="00F255A7">
      <w:pPr>
        <w:spacing w:before="240" w:after="24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Para iniciar la emisión del presente voto, conviene mencionar, que, de manera respetuosa, la suscrita </w:t>
      </w:r>
      <w:r>
        <w:rPr>
          <w:rFonts w:ascii="Palatino Linotype" w:eastAsia="Palatino Linotype" w:hAnsi="Palatino Linotype" w:cs="Palatino Linotype"/>
          <w:b/>
          <w:bCs/>
        </w:rPr>
        <w:t>no comparte en su totalidad las consideraciones que fueron vertidas en la resolución del recurso de revisión al rubro citado, particularmente respecto al cambio de modalidad en la entrega de la información</w:t>
      </w:r>
      <w:r>
        <w:rPr>
          <w:rFonts w:ascii="Palatino Linotype" w:eastAsia="Palatino Linotype" w:hAnsi="Palatino Linotype" w:cs="Palatino Linotype"/>
        </w:rPr>
        <w:t>,</w:t>
      </w:r>
      <w:r>
        <w:rPr>
          <w:rFonts w:ascii="Palatino Linotype" w:eastAsia="Palatino Linotype" w:hAnsi="Palatino Linotype" w:cs="Palatino Linotype"/>
          <w:b/>
          <w:bCs/>
        </w:rPr>
        <w:t xml:space="preserve"> </w:t>
      </w:r>
      <w:r>
        <w:rPr>
          <w:rFonts w:ascii="Palatino Linotype" w:eastAsia="Palatino Linotype" w:hAnsi="Palatino Linotype" w:cs="Palatino Linotype"/>
        </w:rPr>
        <w:t xml:space="preserve">en virtud de que, para la emisora del voto, </w:t>
      </w:r>
      <w:r>
        <w:rPr>
          <w:rFonts w:ascii="Palatino Linotype" w:eastAsia="Palatino Linotype" w:hAnsi="Palatino Linotype" w:cs="Palatino Linotype"/>
          <w:b/>
          <w:bCs/>
        </w:rPr>
        <w:t xml:space="preserve">contrario a lo argumentado en la resolución, </w:t>
      </w:r>
      <w:r>
        <w:rPr>
          <w:rFonts w:ascii="Palatino Linotype" w:eastAsia="Palatino Linotype" w:hAnsi="Palatino Linotype" w:cs="Palatino Linotype"/>
        </w:rPr>
        <w:t xml:space="preserve">en el presente caso </w:t>
      </w:r>
      <w:r>
        <w:rPr>
          <w:rFonts w:ascii="Palatino Linotype" w:eastAsia="Palatino Linotype" w:hAnsi="Palatino Linotype" w:cs="Palatino Linotype"/>
          <w:b/>
          <w:bCs/>
        </w:rPr>
        <w:t xml:space="preserve">el Sujeto Obligado NO acreditó la imposibilidad técnica para efectuar el cambio de modalidad, </w:t>
      </w:r>
      <w:r>
        <w:rPr>
          <w:rFonts w:ascii="Palatino Linotype" w:eastAsia="Palatino Linotype" w:hAnsi="Palatino Linotype" w:cs="Palatino Linotype"/>
        </w:rPr>
        <w:t>por las razones que a continuación se señalan:</w:t>
      </w:r>
    </w:p>
    <w:p w14:paraId="2FBD4B27" w14:textId="77777777" w:rsidR="00351272" w:rsidRDefault="00F255A7">
      <w:pPr>
        <w:spacing w:before="240" w:after="240" w:line="360" w:lineRule="auto"/>
        <w:ind w:right="-28"/>
        <w:jc w:val="both"/>
        <w:rPr>
          <w:rFonts w:ascii="Palatino Linotype" w:eastAsia="Palatino Linotype" w:hAnsi="Palatino Linotype" w:cs="Palatino Linotype"/>
        </w:rPr>
      </w:pPr>
      <w:r>
        <w:rPr>
          <w:rFonts w:ascii="Palatino Linotype" w:eastAsia="Palatino Linotype" w:hAnsi="Palatino Linotype" w:cs="Palatino Linotype"/>
        </w:rPr>
        <w:lastRenderedPageBreak/>
        <w:t>En primer lugar</w:t>
      </w:r>
      <w:r>
        <w:rPr>
          <w:rFonts w:ascii="Palatino Linotype" w:eastAsia="Palatino Linotype" w:hAnsi="Palatino Linotype" w:cs="Palatino Linotype"/>
          <w:b/>
          <w:bCs/>
        </w:rPr>
        <w:t xml:space="preserve">, respecto al </w:t>
      </w:r>
      <w:r>
        <w:rPr>
          <w:rFonts w:ascii="Palatino Linotype" w:eastAsia="Palatino Linotype" w:hAnsi="Palatino Linotype" w:cs="Palatino Linotype"/>
          <w:b/>
          <w:bCs/>
          <w:u w:val="single"/>
        </w:rPr>
        <w:t>cambio de modalidad</w:t>
      </w:r>
      <w:r>
        <w:rPr>
          <w:rFonts w:ascii="Palatino Linotype" w:eastAsia="Palatino Linotype" w:hAnsi="Palatino Linotype" w:cs="Palatino Linotype"/>
          <w:b/>
          <w:bCs/>
        </w:rPr>
        <w:t xml:space="preserve"> </w:t>
      </w:r>
      <w:r>
        <w:rPr>
          <w:rFonts w:ascii="Palatino Linotype" w:eastAsia="Palatino Linotype" w:hAnsi="Palatino Linotype" w:cs="Palatino Linotype"/>
        </w:rPr>
        <w:t xml:space="preserve">conviene mencionar que el artículo 155, fracción V, de la Ley de Transparencia y Acceso a la Información Pública del Estado de México y Municipios, precisa que para presentar una solicitud, el particular podrá señalar </w:t>
      </w:r>
      <w:r>
        <w:rPr>
          <w:rFonts w:ascii="Palatino Linotype" w:eastAsia="Palatino Linotype" w:hAnsi="Palatino Linotype" w:cs="Palatino Linotype"/>
          <w:b/>
          <w:bCs/>
        </w:rPr>
        <w:t>la modalidad en la que prefiere se otorgue el acceso a la información</w:t>
      </w:r>
      <w:r>
        <w:rPr>
          <w:rFonts w:ascii="Palatino Linotype" w:eastAsia="Palatino Linotype" w:hAnsi="Palatino Linotype" w:cs="Palatino Linotype"/>
        </w:rPr>
        <w:t>, la cual podrá ser verbal, siempre y cuando sea para fines de orientación, mediante consulta directa, mediante la expedición de copias simples o certificadas o la reproducción en cualquier otro medio, incluidos los electrónicos.</w:t>
      </w:r>
    </w:p>
    <w:p w14:paraId="0BF8E373" w14:textId="77777777" w:rsidR="00351272" w:rsidRDefault="00F255A7">
      <w:pPr>
        <w:spacing w:before="240" w:after="240" w:line="360" w:lineRule="auto"/>
        <w:ind w:right="-28"/>
        <w:jc w:val="both"/>
        <w:rPr>
          <w:rFonts w:ascii="Palatino Linotype" w:eastAsia="Palatino Linotype" w:hAnsi="Palatino Linotype" w:cs="Palatino Linotype"/>
          <w:b/>
          <w:bCs/>
        </w:rPr>
      </w:pPr>
      <w:r>
        <w:rPr>
          <w:rFonts w:ascii="Palatino Linotype" w:eastAsia="Palatino Linotype" w:hAnsi="Palatino Linotype" w:cs="Palatino Linotype"/>
        </w:rPr>
        <w:t xml:space="preserve">El artículo 158, dispone que, de manera excepcional, cuando de manera fundada y motivada lo determine el Sujeto Obligado, </w:t>
      </w:r>
      <w:r>
        <w:rPr>
          <w:rFonts w:ascii="Palatino Linotype" w:eastAsia="Palatino Linotype" w:hAnsi="Palatino Linotype" w:cs="Palatino Linotype"/>
          <w:b/>
          <w:bCs/>
        </w:rPr>
        <w:t>en los casos en que la entrega de la información que se encuentre a su disposición sobrepase las capacidades técnicas, administrativas y humanas del Sujeto Obligado para cumplir con la solicitud, se podrá poner a disposición del solicitante la información en consulta directa.</w:t>
      </w:r>
    </w:p>
    <w:p w14:paraId="663A62CE" w14:textId="77777777" w:rsidR="00351272" w:rsidRDefault="00F255A7">
      <w:pPr>
        <w:spacing w:before="240" w:after="24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En ese orden de ideas, el artículo 164 de dicho ordenamiento jurídico, prevé que el acceso se dará en la modalidad de entrega y, en su caso, de envío elegidos por el solicitante. </w:t>
      </w:r>
      <w:r>
        <w:rPr>
          <w:rFonts w:ascii="Palatino Linotype" w:eastAsia="Palatino Linotype" w:hAnsi="Palatino Linotype" w:cs="Palatino Linotype"/>
          <w:b/>
          <w:bCs/>
        </w:rPr>
        <w:t>Cuando la información no pueda entregarse o enviarse en la modalidad elegida, el sujeto obligado deberá ofrecer otra u otras modalidades de entrega.</w:t>
      </w:r>
      <w:r>
        <w:rPr>
          <w:rFonts w:ascii="Palatino Linotype" w:eastAsia="Palatino Linotype" w:hAnsi="Palatino Linotype" w:cs="Palatino Linotype"/>
        </w:rPr>
        <w:t xml:space="preserve"> En cualquier caso, </w:t>
      </w:r>
      <w:r>
        <w:rPr>
          <w:rFonts w:ascii="Palatino Linotype" w:eastAsia="Palatino Linotype" w:hAnsi="Palatino Linotype" w:cs="Palatino Linotype"/>
          <w:b/>
          <w:bCs/>
        </w:rPr>
        <w:t>se deberá fundar y motivar</w:t>
      </w:r>
      <w:r>
        <w:rPr>
          <w:rFonts w:ascii="Palatino Linotype" w:eastAsia="Palatino Linotype" w:hAnsi="Palatino Linotype" w:cs="Palatino Linotype"/>
        </w:rPr>
        <w:t xml:space="preserve"> la necesidad de ofrecer otras modalidades.</w:t>
      </w:r>
    </w:p>
    <w:p w14:paraId="68ED633B" w14:textId="77777777" w:rsidR="00351272" w:rsidRDefault="00F255A7">
      <w:pPr>
        <w:spacing w:before="240" w:after="24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Para lo cual, conforme al artículo 174 de la Ley de la materia, indica que los costos de reproducción y, en su caso, de envío para la obtención de la información deberán ser cubiertos por el solicitante de manera previa a la entrega por parte del Sujeto Obligado. En tales consideraciones, la entrega deberá hacerse, </w:t>
      </w:r>
      <w:r>
        <w:rPr>
          <w:rFonts w:ascii="Palatino Linotype" w:eastAsia="Palatino Linotype" w:hAnsi="Palatino Linotype" w:cs="Palatino Linotype"/>
          <w:b/>
          <w:bCs/>
        </w:rPr>
        <w:t>en la medida de lo posible, en la forma solicitada por el interesado, salvo que exista un impedimento justificado para atenderla</w:t>
      </w:r>
      <w:r>
        <w:rPr>
          <w:rFonts w:ascii="Palatino Linotype" w:eastAsia="Palatino Linotype" w:hAnsi="Palatino Linotype" w:cs="Palatino Linotype"/>
        </w:rPr>
        <w:t xml:space="preserve">, en cuyo caso, deberán exponerse las razones por las cuales no es posible utilizar el medio </w:t>
      </w:r>
      <w:r>
        <w:rPr>
          <w:rFonts w:ascii="Palatino Linotype" w:eastAsia="Palatino Linotype" w:hAnsi="Palatino Linotype" w:cs="Palatino Linotype"/>
        </w:rPr>
        <w:lastRenderedPageBreak/>
        <w:t xml:space="preserve">de reproducción solicitado; en este sentido, la entrega de la información en una modalidad distinta a la elegida por la particular </w:t>
      </w:r>
      <w:r>
        <w:rPr>
          <w:rFonts w:ascii="Palatino Linotype" w:eastAsia="Palatino Linotype" w:hAnsi="Palatino Linotype" w:cs="Palatino Linotype"/>
          <w:b/>
          <w:bCs/>
        </w:rPr>
        <w:t>sólo procede, en caso de que se acredite la imposibilidad de atenderla.</w:t>
      </w:r>
      <w:r>
        <w:rPr>
          <w:rFonts w:ascii="Palatino Linotype" w:eastAsia="Palatino Linotype" w:hAnsi="Palatino Linotype" w:cs="Palatino Linotype"/>
        </w:rPr>
        <w:t xml:space="preserve"> </w:t>
      </w:r>
    </w:p>
    <w:p w14:paraId="7604CBEF" w14:textId="77777777" w:rsidR="00351272" w:rsidRDefault="00F255A7">
      <w:pPr>
        <w:spacing w:before="240" w:after="24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Así, cuando se justifique el impedimento, </w:t>
      </w:r>
      <w:r>
        <w:rPr>
          <w:rFonts w:ascii="Palatino Linotype" w:eastAsia="Palatino Linotype" w:hAnsi="Palatino Linotype" w:cs="Palatino Linotype"/>
          <w:b/>
          <w:bCs/>
        </w:rPr>
        <w:t>los Sujetos Obligados deberán ofrecer al particular otras modalidades de entrega que permita la información</w:t>
      </w:r>
      <w:r>
        <w:rPr>
          <w:rFonts w:ascii="Palatino Linotype" w:eastAsia="Palatino Linotype" w:hAnsi="Palatino Linotype" w:cs="Palatino Linotype"/>
        </w:rPr>
        <w:t>, como consulta directa en las oficinas de la Unidad de Transparencia; lo anterior, es robustecido con el Criterio orientados 08/17, emitido por el entonces Pleno del Instituto Nacional de Transparencia, Acceso a la Información y Protección de Datos Personales, el cual establece lo siguiente:</w:t>
      </w:r>
    </w:p>
    <w:p w14:paraId="3110998B" w14:textId="77777777" w:rsidR="00351272" w:rsidRDefault="00F255A7">
      <w:pPr>
        <w:spacing w:before="120" w:after="120" w:line="240" w:lineRule="auto"/>
        <w:ind w:left="567" w:right="567"/>
        <w:jc w:val="both"/>
        <w:rPr>
          <w:rFonts w:ascii="Palatino Linotype" w:eastAsia="Palatino Linotype" w:hAnsi="Palatino Linotype" w:cs="Palatino Linotype"/>
          <w:i/>
          <w:iCs/>
        </w:rPr>
      </w:pPr>
      <w:r>
        <w:rPr>
          <w:rFonts w:ascii="Palatino Linotype" w:eastAsia="Palatino Linotype" w:hAnsi="Palatino Linotype" w:cs="Palatino Linotype"/>
          <w:b/>
          <w:bCs/>
          <w:i/>
          <w:iCs/>
        </w:rPr>
        <w:t>“Modalidad de entrega. Procedencia de proporcionar la información solicitada en una diversa a la elegida por el solicitante.</w:t>
      </w:r>
      <w:r>
        <w:rPr>
          <w:rFonts w:ascii="Palatino Linotype" w:eastAsia="Palatino Linotype" w:hAnsi="Palatino Linotype" w:cs="Palatino Linotype"/>
          <w:i/>
          <w:iCs/>
        </w:rPr>
        <w:t xml:space="preserve"> De una interpretación a los artículos 133 de la Ley General de Transparencia y Acceso a la Información Pública y 136 de la Ley Federal de Transparencia y Acceso a la Información Pública, cuando no sea posible atender la modalidad elegida, la obligación de acceso a la información se tendrá por cumplida cuando el sujeto obligado: a) justifique el impedimento para atender la misma y b) se notifique al particular la disposición de la información en todas las modalidades que permita el documento de que se trate</w:t>
      </w:r>
      <w:r>
        <w:rPr>
          <w:rFonts w:ascii="Palatino Linotype" w:eastAsia="Palatino Linotype" w:hAnsi="Palatino Linotype" w:cs="Palatino Linotype"/>
          <w:i/>
          <w:iCs/>
        </w:rPr>
        <w:t>, procurando reducir, en todo momento, los costos de entrega.”</w:t>
      </w:r>
    </w:p>
    <w:p w14:paraId="64DF3DF0" w14:textId="77777777" w:rsidR="00351272" w:rsidRDefault="00F255A7">
      <w:pPr>
        <w:spacing w:before="240" w:after="240" w:line="360" w:lineRule="auto"/>
        <w:jc w:val="both"/>
        <w:rPr>
          <w:rFonts w:ascii="Palatino Linotype" w:eastAsia="Palatino Linotype" w:hAnsi="Palatino Linotype" w:cs="Palatino Linotype"/>
          <w:b/>
          <w:bCs/>
        </w:rPr>
      </w:pPr>
      <w:r>
        <w:rPr>
          <w:rFonts w:ascii="Palatino Linotype" w:eastAsia="Palatino Linotype" w:hAnsi="Palatino Linotype" w:cs="Palatino Linotype"/>
        </w:rPr>
        <w:t xml:space="preserve">Del citado criterio, se desprende que cuando no sea posible atender la modalidad elegida por los solicitantes, la obligación de acceso a la información se tendrá por cumplida cuando el </w:t>
      </w:r>
      <w:r>
        <w:rPr>
          <w:rFonts w:ascii="Palatino Linotype" w:eastAsia="Palatino Linotype" w:hAnsi="Palatino Linotype" w:cs="Palatino Linotype"/>
          <w:b/>
          <w:bCs/>
        </w:rPr>
        <w:t>Sujeto Obligado</w:t>
      </w:r>
      <w:r>
        <w:rPr>
          <w:rFonts w:ascii="Palatino Linotype" w:eastAsia="Palatino Linotype" w:hAnsi="Palatino Linotype" w:cs="Palatino Linotype"/>
        </w:rPr>
        <w:t xml:space="preserve"> justifique el impedimento para atender la misma y se notifique al particular la puesta a disposición de la </w:t>
      </w:r>
      <w:r>
        <w:rPr>
          <w:rFonts w:ascii="Palatino Linotype" w:eastAsia="Palatino Linotype" w:hAnsi="Palatino Linotype" w:cs="Palatino Linotype"/>
          <w:b/>
          <w:bCs/>
        </w:rPr>
        <w:t>información en todas las modalidades que lo permitan, procurando reducir los costos de entrega.</w:t>
      </w:r>
    </w:p>
    <w:p w14:paraId="63581539" w14:textId="77777777" w:rsidR="00351272" w:rsidRDefault="00F255A7">
      <w:pPr>
        <w:spacing w:before="240" w:after="24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Además, según Calero, Natalia (2016), en la “Ley General de Transparencia y Acceso a la Información Pública Comentada” (pág. 401), cuando los sujetos obligados ofrezcan como </w:t>
      </w:r>
      <w:r>
        <w:rPr>
          <w:rFonts w:ascii="Palatino Linotype" w:eastAsia="Palatino Linotype" w:hAnsi="Palatino Linotype" w:cs="Palatino Linotype"/>
        </w:rPr>
        <w:lastRenderedPageBreak/>
        <w:t>modalidad de entrega de la información, consulta directa, estos deberán fundar y motivar las razones por las cuales no es posible otorgar el acceso a los documentos de otra forma; además que se deberá explicar de manera detallada lo siguiente:</w:t>
      </w:r>
    </w:p>
    <w:p w14:paraId="45332145" w14:textId="77777777" w:rsidR="00351272" w:rsidRDefault="00F255A7">
      <w:pPr>
        <w:numPr>
          <w:ilvl w:val="0"/>
          <w:numId w:val="1"/>
        </w:numPr>
        <w:spacing w:before="240" w:after="240" w:line="276" w:lineRule="auto"/>
        <w:ind w:left="284" w:firstLine="0"/>
        <w:jc w:val="both"/>
      </w:pPr>
      <w:r>
        <w:rPr>
          <w:rFonts w:ascii="Palatino Linotype" w:eastAsia="Palatino Linotype" w:hAnsi="Palatino Linotype" w:cs="Palatino Linotype"/>
        </w:rPr>
        <w:t>Las razones por las cuales la información implicaba un análisis, estudio o procesamiento de datos;</w:t>
      </w:r>
    </w:p>
    <w:p w14:paraId="55902DAE" w14:textId="77777777" w:rsidR="00351272" w:rsidRDefault="00F255A7">
      <w:pPr>
        <w:numPr>
          <w:ilvl w:val="0"/>
          <w:numId w:val="1"/>
        </w:numPr>
        <w:spacing w:before="240" w:after="240" w:line="276" w:lineRule="auto"/>
        <w:ind w:left="284" w:firstLine="0"/>
        <w:jc w:val="both"/>
      </w:pPr>
      <w:r>
        <w:rPr>
          <w:rFonts w:ascii="Palatino Linotype" w:eastAsia="Palatino Linotype" w:hAnsi="Palatino Linotype" w:cs="Palatino Linotype"/>
        </w:rPr>
        <w:t>Por qué motivo el tiempo, que se le otorga al Sujeto Obligado para dar respuesta, en la modalidad elegida a la solicitud de información, no le es suficiente, y</w:t>
      </w:r>
    </w:p>
    <w:p w14:paraId="17354F58" w14:textId="77777777" w:rsidR="00351272" w:rsidRDefault="00F255A7">
      <w:pPr>
        <w:numPr>
          <w:ilvl w:val="0"/>
          <w:numId w:val="1"/>
        </w:numPr>
        <w:spacing w:before="240" w:after="240" w:line="276" w:lineRule="auto"/>
        <w:ind w:left="284" w:firstLine="0"/>
        <w:jc w:val="both"/>
      </w:pPr>
      <w:r>
        <w:rPr>
          <w:rFonts w:ascii="Palatino Linotype" w:eastAsia="Palatino Linotype" w:hAnsi="Palatino Linotype" w:cs="Palatino Linotype"/>
        </w:rPr>
        <w:t>La cantidad de recursos humanos y materiales con los que cuenta el Sujeto Obligado son insuficientes.</w:t>
      </w:r>
    </w:p>
    <w:p w14:paraId="0DAD8A3B" w14:textId="0F0366A9" w:rsidR="00BC6743" w:rsidRDefault="00BC6743">
      <w:pPr>
        <w:spacing w:before="240" w:after="240" w:line="360" w:lineRule="auto"/>
        <w:jc w:val="both"/>
        <w:rPr>
          <w:rFonts w:ascii="Palatino Linotype" w:eastAsia="Palatino Linotype" w:hAnsi="Palatino Linotype" w:cs="Palatino Linotype"/>
        </w:rPr>
      </w:pPr>
      <w:r>
        <w:rPr>
          <w:rFonts w:ascii="Palatino Linotype" w:eastAsia="Palatino Linotype" w:hAnsi="Palatino Linotype" w:cs="Palatino Linotype"/>
        </w:rPr>
        <w:t>E</w:t>
      </w:r>
      <w:r w:rsidRPr="00BC6743">
        <w:rPr>
          <w:rFonts w:ascii="Palatino Linotype" w:eastAsia="Palatino Linotype" w:hAnsi="Palatino Linotype" w:cs="Palatino Linotype"/>
        </w:rPr>
        <w:t xml:space="preserve">n el presente asunto, el </w:t>
      </w:r>
      <w:r w:rsidRPr="00BC6743">
        <w:rPr>
          <w:rFonts w:ascii="Palatino Linotype" w:eastAsia="Palatino Linotype" w:hAnsi="Palatino Linotype" w:cs="Palatino Linotype"/>
          <w:b/>
          <w:bCs/>
        </w:rPr>
        <w:t>Sujeto Obligado</w:t>
      </w:r>
      <w:r w:rsidRPr="00BC6743">
        <w:rPr>
          <w:rFonts w:ascii="Palatino Linotype" w:eastAsia="Palatino Linotype" w:hAnsi="Palatino Linotype" w:cs="Palatino Linotype"/>
        </w:rPr>
        <w:t xml:space="preserve"> </w:t>
      </w:r>
      <w:r>
        <w:rPr>
          <w:rFonts w:ascii="Palatino Linotype" w:eastAsia="Palatino Linotype" w:hAnsi="Palatino Linotype" w:cs="Palatino Linotype"/>
        </w:rPr>
        <w:t>refirió que los c</w:t>
      </w:r>
      <w:r w:rsidRPr="00BC6743">
        <w:rPr>
          <w:rFonts w:ascii="Palatino Linotype" w:eastAsia="Palatino Linotype" w:hAnsi="Palatino Linotype" w:cs="Palatino Linotype"/>
        </w:rPr>
        <w:t xml:space="preserve">omprobantes de pago mediante cheque y/o </w:t>
      </w:r>
      <w:proofErr w:type="gramStart"/>
      <w:r w:rsidRPr="00BC6743">
        <w:rPr>
          <w:rFonts w:ascii="Palatino Linotype" w:eastAsia="Palatino Linotype" w:hAnsi="Palatino Linotype" w:cs="Palatino Linotype"/>
        </w:rPr>
        <w:t>transferencias</w:t>
      </w:r>
      <w:r>
        <w:rPr>
          <w:rFonts w:ascii="Palatino Linotype" w:eastAsia="Palatino Linotype" w:hAnsi="Palatino Linotype" w:cs="Palatino Linotype"/>
        </w:rPr>
        <w:t xml:space="preserve"> generados</w:t>
      </w:r>
      <w:proofErr w:type="gramEnd"/>
      <w:r>
        <w:rPr>
          <w:rFonts w:ascii="Palatino Linotype" w:eastAsia="Palatino Linotype" w:hAnsi="Palatino Linotype" w:cs="Palatino Linotype"/>
        </w:rPr>
        <w:t xml:space="preserve"> </w:t>
      </w:r>
      <w:r w:rsidRPr="00BC6743">
        <w:rPr>
          <w:rFonts w:ascii="Palatino Linotype" w:eastAsia="Palatino Linotype" w:hAnsi="Palatino Linotype" w:cs="Palatino Linotype"/>
        </w:rPr>
        <w:t>durante el mes de diciembre de 2025</w:t>
      </w:r>
      <w:r w:rsidR="00C82346">
        <w:rPr>
          <w:rFonts w:ascii="Palatino Linotype" w:eastAsia="Palatino Linotype" w:hAnsi="Palatino Linotype" w:cs="Palatino Linotype"/>
        </w:rPr>
        <w:t>,</w:t>
      </w:r>
      <w:r w:rsidRPr="00BC6743">
        <w:rPr>
          <w:rFonts w:ascii="Palatino Linotype" w:eastAsia="Palatino Linotype" w:hAnsi="Palatino Linotype" w:cs="Palatino Linotype"/>
        </w:rPr>
        <w:t xml:space="preserve"> por parte de la </w:t>
      </w:r>
      <w:r>
        <w:rPr>
          <w:rFonts w:ascii="Palatino Linotype" w:eastAsia="Palatino Linotype" w:hAnsi="Palatino Linotype" w:cs="Palatino Linotype"/>
        </w:rPr>
        <w:t>T</w:t>
      </w:r>
      <w:r w:rsidRPr="00BC6743">
        <w:rPr>
          <w:rFonts w:ascii="Palatino Linotype" w:eastAsia="Palatino Linotype" w:hAnsi="Palatino Linotype" w:cs="Palatino Linotype"/>
        </w:rPr>
        <w:t xml:space="preserve">esorería </w:t>
      </w:r>
      <w:r>
        <w:rPr>
          <w:rFonts w:ascii="Palatino Linotype" w:eastAsia="Palatino Linotype" w:hAnsi="Palatino Linotype" w:cs="Palatino Linotype"/>
        </w:rPr>
        <w:t>M</w:t>
      </w:r>
      <w:r w:rsidRPr="00BC6743">
        <w:rPr>
          <w:rFonts w:ascii="Palatino Linotype" w:eastAsia="Palatino Linotype" w:hAnsi="Palatino Linotype" w:cs="Palatino Linotype"/>
        </w:rPr>
        <w:t>unicipal</w:t>
      </w:r>
      <w:r w:rsidR="00C82346">
        <w:rPr>
          <w:rFonts w:ascii="Palatino Linotype" w:eastAsia="Palatino Linotype" w:hAnsi="Palatino Linotype" w:cs="Palatino Linotype"/>
        </w:rPr>
        <w:t>,</w:t>
      </w:r>
      <w:r>
        <w:rPr>
          <w:rFonts w:ascii="Palatino Linotype" w:eastAsia="Palatino Linotype" w:hAnsi="Palatino Linotype" w:cs="Palatino Linotype"/>
        </w:rPr>
        <w:t xml:space="preserve"> </w:t>
      </w:r>
      <w:r w:rsidRPr="00BC6743">
        <w:rPr>
          <w:rFonts w:ascii="Palatino Linotype" w:eastAsia="Palatino Linotype" w:hAnsi="Palatino Linotype" w:cs="Palatino Linotype"/>
        </w:rPr>
        <w:t>sobrepasa</w:t>
      </w:r>
      <w:r>
        <w:rPr>
          <w:rFonts w:ascii="Palatino Linotype" w:eastAsia="Palatino Linotype" w:hAnsi="Palatino Linotype" w:cs="Palatino Linotype"/>
        </w:rPr>
        <w:t xml:space="preserve"> las capacidades técnicas</w:t>
      </w:r>
      <w:r w:rsidR="00C82346">
        <w:rPr>
          <w:rFonts w:ascii="Palatino Linotype" w:eastAsia="Palatino Linotype" w:hAnsi="Palatino Linotype" w:cs="Palatino Linotype"/>
        </w:rPr>
        <w:t xml:space="preserve"> </w:t>
      </w:r>
      <w:r w:rsidRPr="00BC6743">
        <w:rPr>
          <w:rFonts w:ascii="Palatino Linotype" w:eastAsia="Palatino Linotype" w:hAnsi="Palatino Linotype" w:cs="Palatino Linotype"/>
        </w:rPr>
        <w:t>del Sistema de Acceso a la Información Mexiquense (</w:t>
      </w:r>
      <w:proofErr w:type="spellStart"/>
      <w:r w:rsidRPr="00BC6743">
        <w:rPr>
          <w:rFonts w:ascii="Palatino Linotype" w:eastAsia="Palatino Linotype" w:hAnsi="Palatino Linotype" w:cs="Palatino Linotype"/>
        </w:rPr>
        <w:t>SAIMEX</w:t>
      </w:r>
      <w:proofErr w:type="spellEnd"/>
      <w:r w:rsidRPr="00BC6743">
        <w:rPr>
          <w:rFonts w:ascii="Palatino Linotype" w:eastAsia="Palatino Linotype" w:hAnsi="Palatino Linotype" w:cs="Palatino Linotype"/>
        </w:rPr>
        <w:t>), al</w:t>
      </w:r>
      <w:r w:rsidR="00C82346">
        <w:rPr>
          <w:rFonts w:ascii="Palatino Linotype" w:eastAsia="Palatino Linotype" w:hAnsi="Palatino Linotype" w:cs="Palatino Linotype"/>
        </w:rPr>
        <w:t xml:space="preserve"> conformarse por </w:t>
      </w:r>
      <w:r w:rsidRPr="00BC6743">
        <w:rPr>
          <w:rFonts w:ascii="Palatino Linotype" w:eastAsia="Palatino Linotype" w:hAnsi="Palatino Linotype" w:cs="Palatino Linotype"/>
        </w:rPr>
        <w:t>10,302 fojas</w:t>
      </w:r>
      <w:r w:rsidR="00BE383C">
        <w:rPr>
          <w:rFonts w:ascii="Palatino Linotype" w:eastAsia="Palatino Linotype" w:hAnsi="Palatino Linotype" w:cs="Palatino Linotype"/>
        </w:rPr>
        <w:t>.</w:t>
      </w:r>
    </w:p>
    <w:p w14:paraId="75332ED6" w14:textId="3F7072BC" w:rsidR="006A49F3" w:rsidRPr="006A49F3" w:rsidRDefault="006A49F3" w:rsidP="006A49F3">
      <w:pPr>
        <w:spacing w:before="240" w:after="240" w:line="360" w:lineRule="auto"/>
        <w:jc w:val="both"/>
        <w:rPr>
          <w:rFonts w:ascii="Palatino Linotype" w:eastAsia="Palatino Linotype" w:hAnsi="Palatino Linotype" w:cs="Palatino Linotype"/>
        </w:rPr>
      </w:pPr>
      <w:r w:rsidRPr="006A49F3">
        <w:rPr>
          <w:rFonts w:ascii="Palatino Linotype" w:eastAsia="Palatino Linotype" w:hAnsi="Palatino Linotype" w:cs="Palatino Linotype"/>
        </w:rPr>
        <w:t>No obstante, personalmente considero que la información que es del interés de la persona solicitante no sobrepasa</w:t>
      </w:r>
      <w:r>
        <w:rPr>
          <w:rFonts w:ascii="Palatino Linotype" w:eastAsia="Palatino Linotype" w:hAnsi="Palatino Linotype" w:cs="Palatino Linotype"/>
        </w:rPr>
        <w:t xml:space="preserve"> el peso de 500MB o</w:t>
      </w:r>
      <w:r w:rsidRPr="006A49F3">
        <w:rPr>
          <w:rFonts w:ascii="Palatino Linotype" w:eastAsia="Palatino Linotype" w:hAnsi="Palatino Linotype" w:cs="Palatino Linotype"/>
        </w:rPr>
        <w:t xml:space="preserve"> las 8,000 hojas que pueden ser cargadas en el </w:t>
      </w:r>
      <w:proofErr w:type="spellStart"/>
      <w:r w:rsidRPr="006A49F3">
        <w:rPr>
          <w:rFonts w:ascii="Palatino Linotype" w:eastAsia="Palatino Linotype" w:hAnsi="Palatino Linotype" w:cs="Palatino Linotype"/>
        </w:rPr>
        <w:t>SAIMEX</w:t>
      </w:r>
      <w:proofErr w:type="spellEnd"/>
      <w:r w:rsidRPr="006A49F3">
        <w:rPr>
          <w:rFonts w:ascii="Palatino Linotype" w:eastAsia="Palatino Linotype" w:hAnsi="Palatino Linotype" w:cs="Palatino Linotype"/>
        </w:rPr>
        <w:t>,</w:t>
      </w:r>
      <w:r>
        <w:rPr>
          <w:rFonts w:ascii="Palatino Linotype" w:eastAsia="Palatino Linotype" w:hAnsi="Palatino Linotype" w:cs="Palatino Linotype"/>
        </w:rPr>
        <w:t xml:space="preserve"> </w:t>
      </w:r>
      <w:r w:rsidRPr="006A49F3">
        <w:rPr>
          <w:rFonts w:ascii="Palatino Linotype" w:eastAsia="Palatino Linotype" w:hAnsi="Palatino Linotype" w:cs="Palatino Linotype"/>
        </w:rPr>
        <w:t>como lo ha hecho saber la Dirección General de Informática de este Instituto en diversas solicitudes de reportes de incidencia, derivado de la sustanciación de diversos recursos de revisión, como se ejemplifica a continuación para mejor referencia:</w:t>
      </w:r>
    </w:p>
    <w:p w14:paraId="4798BBF5" w14:textId="52DB44CF" w:rsidR="006A49F3" w:rsidRPr="006A49F3" w:rsidRDefault="006A49F3" w:rsidP="006A49F3">
      <w:pPr>
        <w:spacing w:before="240" w:after="240" w:line="360" w:lineRule="auto"/>
        <w:jc w:val="center"/>
        <w:rPr>
          <w:rFonts w:ascii="Palatino Linotype" w:eastAsia="Palatino Linotype" w:hAnsi="Palatino Linotype" w:cs="Palatino Linotype"/>
        </w:rPr>
      </w:pPr>
      <w:r w:rsidRPr="006A49F3">
        <w:rPr>
          <w:rFonts w:ascii="Palatino Linotype" w:eastAsia="Palatino Linotype" w:hAnsi="Palatino Linotype" w:cs="Palatino Linotype"/>
        </w:rPr>
        <w:lastRenderedPageBreak/>
        <w:drawing>
          <wp:inline distT="0" distB="0" distL="0" distR="0" wp14:anchorId="11B55965" wp14:editId="6AA83A8E">
            <wp:extent cx="5267325" cy="1400175"/>
            <wp:effectExtent l="0" t="0" r="9525" b="9525"/>
            <wp:docPr id="11736612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extLst>
                        <a:ext uri="{28A0092B-C50C-407E-A947-70E740481C1C}">
                          <a14:useLocalDpi xmlns:a14="http://schemas.microsoft.com/office/drawing/2010/main" val="0"/>
                        </a:ext>
                      </a:extLst>
                    </a:blip>
                    <a:srcRect l="42262" t="38927" r="11234" b="39046"/>
                    <a:stretch>
                      <a:fillRect/>
                    </a:stretch>
                  </pic:blipFill>
                  <pic:spPr bwMode="auto">
                    <a:xfrm>
                      <a:off x="0" y="0"/>
                      <a:ext cx="5267325" cy="1400175"/>
                    </a:xfrm>
                    <a:prstGeom prst="rect">
                      <a:avLst/>
                    </a:prstGeom>
                    <a:noFill/>
                    <a:ln>
                      <a:noFill/>
                    </a:ln>
                  </pic:spPr>
                </pic:pic>
              </a:graphicData>
            </a:graphic>
          </wp:inline>
        </w:drawing>
      </w:r>
    </w:p>
    <w:p w14:paraId="631E66F3" w14:textId="7F29076F" w:rsidR="00C25451" w:rsidRDefault="006A49F3">
      <w:pPr>
        <w:spacing w:before="240" w:after="240" w:line="360" w:lineRule="auto"/>
        <w:jc w:val="both"/>
        <w:rPr>
          <w:rFonts w:ascii="Palatino Linotype" w:eastAsia="Palatino Linotype" w:hAnsi="Palatino Linotype" w:cs="Palatino Linotype"/>
        </w:rPr>
      </w:pPr>
      <w:r>
        <w:rPr>
          <w:rFonts w:ascii="Palatino Linotype" w:eastAsia="Palatino Linotype" w:hAnsi="Palatino Linotype" w:cs="Palatino Linotype"/>
        </w:rPr>
        <w:t>Ello e</w:t>
      </w:r>
      <w:r w:rsidRPr="006A49F3">
        <w:rPr>
          <w:rFonts w:ascii="Palatino Linotype" w:eastAsia="Palatino Linotype" w:hAnsi="Palatino Linotype" w:cs="Palatino Linotype"/>
        </w:rPr>
        <w:t>n virtud de que</w:t>
      </w:r>
      <w:r>
        <w:rPr>
          <w:rFonts w:ascii="Palatino Linotype" w:eastAsia="Palatino Linotype" w:hAnsi="Palatino Linotype" w:cs="Palatino Linotype"/>
        </w:rPr>
        <w:t>,</w:t>
      </w:r>
      <w:r w:rsidRPr="006A49F3">
        <w:rPr>
          <w:rFonts w:ascii="Palatino Linotype" w:eastAsia="Palatino Linotype" w:hAnsi="Palatino Linotype" w:cs="Palatino Linotype"/>
        </w:rPr>
        <w:t xml:space="preserve"> en el presente asunto</w:t>
      </w:r>
      <w:r>
        <w:rPr>
          <w:rFonts w:ascii="Palatino Linotype" w:eastAsia="Palatino Linotype" w:hAnsi="Palatino Linotype" w:cs="Palatino Linotype"/>
        </w:rPr>
        <w:t xml:space="preserve"> se requirió información específica, que consiste en </w:t>
      </w:r>
      <w:r>
        <w:rPr>
          <w:rFonts w:ascii="Palatino Linotype" w:eastAsia="Palatino Linotype" w:hAnsi="Palatino Linotype" w:cs="Palatino Linotype"/>
        </w:rPr>
        <w:t>los c</w:t>
      </w:r>
      <w:r w:rsidRPr="00BC6743">
        <w:rPr>
          <w:rFonts w:ascii="Palatino Linotype" w:eastAsia="Palatino Linotype" w:hAnsi="Palatino Linotype" w:cs="Palatino Linotype"/>
        </w:rPr>
        <w:t>omprobantes de pago mediante cheque y/o transferencias</w:t>
      </w:r>
      <w:r>
        <w:rPr>
          <w:rFonts w:ascii="Palatino Linotype" w:eastAsia="Palatino Linotype" w:hAnsi="Palatino Linotype" w:cs="Palatino Linotype"/>
        </w:rPr>
        <w:t xml:space="preserve"> generados </w:t>
      </w:r>
      <w:r w:rsidRPr="00BC6743">
        <w:rPr>
          <w:rFonts w:ascii="Palatino Linotype" w:eastAsia="Palatino Linotype" w:hAnsi="Palatino Linotype" w:cs="Palatino Linotype"/>
        </w:rPr>
        <w:t>durante el mes de diciembre de 2025</w:t>
      </w:r>
      <w:r>
        <w:rPr>
          <w:rFonts w:ascii="Palatino Linotype" w:eastAsia="Palatino Linotype" w:hAnsi="Palatino Linotype" w:cs="Palatino Linotype"/>
        </w:rPr>
        <w:t>,</w:t>
      </w:r>
      <w:r w:rsidRPr="00BC6743">
        <w:rPr>
          <w:rFonts w:ascii="Palatino Linotype" w:eastAsia="Palatino Linotype" w:hAnsi="Palatino Linotype" w:cs="Palatino Linotype"/>
        </w:rPr>
        <w:t xml:space="preserve"> por parte de la </w:t>
      </w:r>
      <w:r>
        <w:rPr>
          <w:rFonts w:ascii="Palatino Linotype" w:eastAsia="Palatino Linotype" w:hAnsi="Palatino Linotype" w:cs="Palatino Linotype"/>
        </w:rPr>
        <w:t>T</w:t>
      </w:r>
      <w:r w:rsidRPr="00BC6743">
        <w:rPr>
          <w:rFonts w:ascii="Palatino Linotype" w:eastAsia="Palatino Linotype" w:hAnsi="Palatino Linotype" w:cs="Palatino Linotype"/>
        </w:rPr>
        <w:t xml:space="preserve">esorería </w:t>
      </w:r>
      <w:r>
        <w:rPr>
          <w:rFonts w:ascii="Palatino Linotype" w:eastAsia="Palatino Linotype" w:hAnsi="Palatino Linotype" w:cs="Palatino Linotype"/>
        </w:rPr>
        <w:t>M</w:t>
      </w:r>
      <w:r w:rsidRPr="00BC6743">
        <w:rPr>
          <w:rFonts w:ascii="Palatino Linotype" w:eastAsia="Palatino Linotype" w:hAnsi="Palatino Linotype" w:cs="Palatino Linotype"/>
        </w:rPr>
        <w:t>unicipal</w:t>
      </w:r>
      <w:r>
        <w:rPr>
          <w:rFonts w:ascii="Palatino Linotype" w:eastAsia="Palatino Linotype" w:hAnsi="Palatino Linotype" w:cs="Palatino Linotype"/>
        </w:rPr>
        <w:t>,</w:t>
      </w:r>
      <w:r>
        <w:rPr>
          <w:rFonts w:ascii="Palatino Linotype" w:eastAsia="Palatino Linotype" w:hAnsi="Palatino Linotype" w:cs="Palatino Linotype"/>
        </w:rPr>
        <w:t xml:space="preserve"> no así toda la documentación generada con motivo de dichos pagos, </w:t>
      </w:r>
      <w:bookmarkStart w:id="1" w:name="_heading=h.yio6kqycns0c" w:colFirst="0" w:colLast="0"/>
      <w:bookmarkEnd w:id="1"/>
      <w:r>
        <w:rPr>
          <w:rFonts w:ascii="Palatino Linotype" w:eastAsia="Palatino Linotype" w:hAnsi="Palatino Linotype" w:cs="Palatino Linotype"/>
        </w:rPr>
        <w:t xml:space="preserve">por lo que la cantidad de </w:t>
      </w:r>
      <w:r w:rsidR="00F255A7">
        <w:rPr>
          <w:rFonts w:ascii="Palatino Linotype" w:eastAsia="Palatino Linotype" w:hAnsi="Palatino Linotype" w:cs="Palatino Linotype"/>
        </w:rPr>
        <w:t>10,30</w:t>
      </w:r>
      <w:r w:rsidR="00C82346">
        <w:rPr>
          <w:rFonts w:ascii="Palatino Linotype" w:eastAsia="Palatino Linotype" w:hAnsi="Palatino Linotype" w:cs="Palatino Linotype"/>
        </w:rPr>
        <w:t>2</w:t>
      </w:r>
      <w:r w:rsidR="00F255A7">
        <w:rPr>
          <w:rFonts w:ascii="Palatino Linotype" w:eastAsia="Palatino Linotype" w:hAnsi="Palatino Linotype" w:cs="Palatino Linotype"/>
        </w:rPr>
        <w:t xml:space="preserve"> fojas </w:t>
      </w:r>
      <w:r>
        <w:rPr>
          <w:rFonts w:ascii="Palatino Linotype" w:eastAsia="Palatino Linotype" w:hAnsi="Palatino Linotype" w:cs="Palatino Linotype"/>
        </w:rPr>
        <w:t xml:space="preserve">reportadas por el </w:t>
      </w:r>
      <w:r w:rsidRPr="006A49F3">
        <w:rPr>
          <w:rFonts w:ascii="Palatino Linotype" w:eastAsia="Palatino Linotype" w:hAnsi="Palatino Linotype" w:cs="Palatino Linotype"/>
          <w:b/>
          <w:bCs/>
        </w:rPr>
        <w:t>Sujeto Obligado</w:t>
      </w:r>
      <w:r w:rsidR="00F255A7">
        <w:rPr>
          <w:rFonts w:ascii="Palatino Linotype" w:eastAsia="Palatino Linotype" w:hAnsi="Palatino Linotype" w:cs="Palatino Linotype"/>
        </w:rPr>
        <w:t xml:space="preserve"> </w:t>
      </w:r>
      <w:r>
        <w:rPr>
          <w:rFonts w:ascii="Palatino Linotype" w:eastAsia="Palatino Linotype" w:hAnsi="Palatino Linotype" w:cs="Palatino Linotype"/>
        </w:rPr>
        <w:t>resulta</w:t>
      </w:r>
      <w:r w:rsidR="00F255A7">
        <w:rPr>
          <w:rFonts w:ascii="Palatino Linotype" w:eastAsia="Palatino Linotype" w:hAnsi="Palatino Linotype" w:cs="Palatino Linotype"/>
        </w:rPr>
        <w:t xml:space="preserve"> inconclusa</w:t>
      </w:r>
      <w:r w:rsidR="00F446E7">
        <w:rPr>
          <w:rFonts w:ascii="Palatino Linotype" w:eastAsia="Palatino Linotype" w:hAnsi="Palatino Linotype" w:cs="Palatino Linotype"/>
        </w:rPr>
        <w:t xml:space="preserve">, </w:t>
      </w:r>
      <w:r w:rsidR="00C25451">
        <w:rPr>
          <w:rFonts w:ascii="Palatino Linotype" w:eastAsia="Palatino Linotype" w:hAnsi="Palatino Linotype" w:cs="Palatino Linotype"/>
        </w:rPr>
        <w:t xml:space="preserve">dado que </w:t>
      </w:r>
      <w:r w:rsidR="00C25451" w:rsidRPr="00243EA7">
        <w:rPr>
          <w:rFonts w:ascii="Palatino Linotype" w:eastAsia="Palatino Linotype" w:hAnsi="Palatino Linotype" w:cs="Palatino Linotype"/>
        </w:rPr>
        <w:t>no aportó elementos suficientes</w:t>
      </w:r>
      <w:r w:rsidR="00500E06">
        <w:rPr>
          <w:rFonts w:ascii="Palatino Linotype" w:eastAsia="Palatino Linotype" w:hAnsi="Palatino Linotype" w:cs="Palatino Linotype"/>
        </w:rPr>
        <w:t xml:space="preserve"> que permitieran </w:t>
      </w:r>
      <w:r w:rsidR="00C25451" w:rsidRPr="00243EA7">
        <w:rPr>
          <w:rFonts w:ascii="Palatino Linotype" w:eastAsia="Palatino Linotype" w:hAnsi="Palatino Linotype" w:cs="Palatino Linotype"/>
        </w:rPr>
        <w:t xml:space="preserve">corroborar que la información que requiere la persona solicitante </w:t>
      </w:r>
      <w:r w:rsidR="00500E06">
        <w:rPr>
          <w:rFonts w:ascii="Palatino Linotype" w:eastAsia="Palatino Linotype" w:hAnsi="Palatino Linotype" w:cs="Palatino Linotype"/>
        </w:rPr>
        <w:t xml:space="preserve">efectivamente </w:t>
      </w:r>
      <w:r w:rsidR="00C25451" w:rsidRPr="00243EA7">
        <w:rPr>
          <w:rFonts w:ascii="Palatino Linotype" w:eastAsia="Palatino Linotype" w:hAnsi="Palatino Linotype" w:cs="Palatino Linotype"/>
        </w:rPr>
        <w:t xml:space="preserve">excede las capacidades de </w:t>
      </w:r>
      <w:proofErr w:type="spellStart"/>
      <w:r w:rsidR="00C25451" w:rsidRPr="00243EA7">
        <w:rPr>
          <w:rFonts w:ascii="Palatino Linotype" w:eastAsia="Palatino Linotype" w:hAnsi="Palatino Linotype" w:cs="Palatino Linotype"/>
        </w:rPr>
        <w:t>SAIMEX</w:t>
      </w:r>
      <w:proofErr w:type="spellEnd"/>
      <w:r w:rsidR="00500E06">
        <w:rPr>
          <w:rFonts w:ascii="Palatino Linotype" w:eastAsia="Palatino Linotype" w:hAnsi="Palatino Linotype" w:cs="Palatino Linotype"/>
        </w:rPr>
        <w:t>, como por ejemplo, el número de pagos realizados durante el periodo solicitado y la cantidad de hojas generadas por cada pago.</w:t>
      </w:r>
    </w:p>
    <w:p w14:paraId="7DF4CB4A" w14:textId="77777777" w:rsidR="00500E06" w:rsidRDefault="00500E06" w:rsidP="00500E06">
      <w:pPr>
        <w:spacing w:before="240" w:after="240" w:line="360" w:lineRule="auto"/>
        <w:ind w:right="49"/>
        <w:jc w:val="both"/>
        <w:rPr>
          <w:rFonts w:ascii="Palatino Linotype" w:eastAsia="Palatino Linotype" w:hAnsi="Palatino Linotype" w:cs="Palatino Linotype"/>
          <w:b/>
          <w:u w:val="single"/>
        </w:rPr>
      </w:pPr>
      <w:r w:rsidRPr="00243EA7">
        <w:rPr>
          <w:rFonts w:ascii="Palatino Linotype" w:hAnsi="Palatino Linotype"/>
        </w:rPr>
        <w:t xml:space="preserve">Además, </w:t>
      </w:r>
      <w:r w:rsidRPr="00243EA7">
        <w:rPr>
          <w:rFonts w:ascii="Palatino Linotype" w:eastAsia="Palatino Linotype" w:hAnsi="Palatino Linotype" w:cs="Palatino Linotype"/>
        </w:rPr>
        <w:t>es</w:t>
      </w:r>
      <w:r>
        <w:rPr>
          <w:rFonts w:ascii="Palatino Linotype" w:eastAsia="Palatino Linotype" w:hAnsi="Palatino Linotype" w:cs="Palatino Linotype"/>
        </w:rPr>
        <w:t xml:space="preserve"> importante reiterar que</w:t>
      </w:r>
      <w:r w:rsidRPr="00243EA7">
        <w:rPr>
          <w:rFonts w:ascii="Palatino Linotype" w:eastAsia="Palatino Linotype" w:hAnsi="Palatino Linotype" w:cs="Palatino Linotype"/>
        </w:rPr>
        <w:t xml:space="preserve"> la Dirección General Informática de este Instituto ha hecho saber que el sistema </w:t>
      </w:r>
      <w:proofErr w:type="spellStart"/>
      <w:r w:rsidRPr="00243EA7">
        <w:rPr>
          <w:rFonts w:ascii="Palatino Linotype" w:eastAsia="Palatino Linotype" w:hAnsi="Palatino Linotype" w:cs="Palatino Linotype"/>
        </w:rPr>
        <w:t>SAIMEX</w:t>
      </w:r>
      <w:proofErr w:type="spellEnd"/>
      <w:r w:rsidRPr="00243EA7">
        <w:rPr>
          <w:rFonts w:ascii="Palatino Linotype" w:eastAsia="Palatino Linotype" w:hAnsi="Palatino Linotype" w:cs="Palatino Linotype"/>
        </w:rPr>
        <w:t xml:space="preserve">, </w:t>
      </w:r>
      <w:r w:rsidRPr="00243EA7">
        <w:rPr>
          <w:rFonts w:ascii="Palatino Linotype" w:eastAsia="Palatino Linotype" w:hAnsi="Palatino Linotype" w:cs="Palatino Linotype"/>
          <w:b/>
        </w:rPr>
        <w:t xml:space="preserve">tiene un soporte tecnológico para que se puedan adjuntar archivos con un peso aproximado de 500Mb o su equivalente de hasta 8,000 hojas </w:t>
      </w:r>
      <w:r w:rsidRPr="00243EA7">
        <w:rPr>
          <w:rFonts w:ascii="Palatino Linotype" w:eastAsia="Palatino Linotype" w:hAnsi="Palatino Linotype" w:cs="Palatino Linotype"/>
          <w:b/>
          <w:u w:val="single"/>
        </w:rPr>
        <w:t>bajo parámetros escaneo en resolución máxima de 150Dpi’s, escala de grises y formato PDF, extraído directamente del escáne</w:t>
      </w:r>
      <w:r>
        <w:rPr>
          <w:rFonts w:ascii="Palatino Linotype" w:eastAsia="Palatino Linotype" w:hAnsi="Palatino Linotype" w:cs="Palatino Linotype"/>
          <w:b/>
          <w:u w:val="single"/>
        </w:rPr>
        <w:t>r.</w:t>
      </w:r>
    </w:p>
    <w:p w14:paraId="3D29ABC7" w14:textId="05F8DAE1" w:rsidR="00BE383C" w:rsidRPr="003D2BB6" w:rsidRDefault="00500E06" w:rsidP="00500E06">
      <w:pPr>
        <w:spacing w:before="240" w:after="240" w:line="360" w:lineRule="auto"/>
        <w:ind w:right="49"/>
        <w:jc w:val="both"/>
        <w:rPr>
          <w:rFonts w:ascii="Palatino Linotype" w:eastAsia="Palatino Linotype" w:hAnsi="Palatino Linotype" w:cs="Palatino Linotype"/>
        </w:rPr>
      </w:pPr>
      <w:r>
        <w:rPr>
          <w:rFonts w:ascii="Palatino Linotype" w:eastAsia="Palatino Linotype" w:hAnsi="Palatino Linotype" w:cs="Palatino Linotype"/>
        </w:rPr>
        <w:t xml:space="preserve">En el presente asunto, el </w:t>
      </w:r>
      <w:r w:rsidRPr="00500E06">
        <w:rPr>
          <w:rFonts w:ascii="Palatino Linotype" w:eastAsia="Palatino Linotype" w:hAnsi="Palatino Linotype" w:cs="Palatino Linotype"/>
          <w:b/>
          <w:bCs/>
        </w:rPr>
        <w:t>Sujeto Obligado</w:t>
      </w:r>
      <w:r>
        <w:rPr>
          <w:rFonts w:ascii="Palatino Linotype" w:eastAsia="Palatino Linotype" w:hAnsi="Palatino Linotype" w:cs="Palatino Linotype"/>
        </w:rPr>
        <w:t xml:space="preserve"> no señaló los parámetros de escaneo en la resolución utilizada que comprobara que</w:t>
      </w:r>
      <w:r w:rsidR="00B85138">
        <w:rPr>
          <w:rFonts w:ascii="Palatino Linotype" w:eastAsia="Palatino Linotype" w:hAnsi="Palatino Linotype" w:cs="Palatino Linotype"/>
        </w:rPr>
        <w:t xml:space="preserve"> la información excedía el peso máximo </w:t>
      </w:r>
      <w:r>
        <w:rPr>
          <w:rFonts w:ascii="Palatino Linotype" w:eastAsia="Palatino Linotype" w:hAnsi="Palatino Linotype" w:cs="Palatino Linotype"/>
        </w:rPr>
        <w:t xml:space="preserve">que soporta el </w:t>
      </w:r>
      <w:proofErr w:type="spellStart"/>
      <w:r>
        <w:rPr>
          <w:rFonts w:ascii="Palatino Linotype" w:eastAsia="Palatino Linotype" w:hAnsi="Palatino Linotype" w:cs="Palatino Linotype"/>
        </w:rPr>
        <w:t>SAIMEX</w:t>
      </w:r>
      <w:proofErr w:type="spellEnd"/>
      <w:r w:rsidR="00BE383C">
        <w:rPr>
          <w:rFonts w:ascii="Palatino Linotype" w:eastAsia="Palatino Linotype" w:hAnsi="Palatino Linotype" w:cs="Palatino Linotype"/>
        </w:rPr>
        <w:t xml:space="preserve">, ya que, si bien la Dirección General de Informática registro la incidencia con </w:t>
      </w:r>
      <w:r w:rsidR="00BE383C">
        <w:rPr>
          <w:rFonts w:ascii="Palatino Linotype" w:eastAsia="Palatino Linotype" w:hAnsi="Palatino Linotype" w:cs="Palatino Linotype"/>
        </w:rPr>
        <w:t xml:space="preserve">un peso aproximado de </w:t>
      </w:r>
      <w:r w:rsidR="00BE383C" w:rsidRPr="00C82346">
        <w:rPr>
          <w:rFonts w:ascii="Palatino Linotype" w:eastAsia="Palatino Linotype" w:hAnsi="Palatino Linotype" w:cs="Palatino Linotype"/>
        </w:rPr>
        <w:t xml:space="preserve">643.875 </w:t>
      </w:r>
      <w:r w:rsidR="00BE383C">
        <w:rPr>
          <w:rFonts w:ascii="Palatino Linotype" w:eastAsia="Palatino Linotype" w:hAnsi="Palatino Linotype" w:cs="Palatino Linotype"/>
        </w:rPr>
        <w:t>M</w:t>
      </w:r>
      <w:r w:rsidR="00BE383C" w:rsidRPr="00C82346">
        <w:rPr>
          <w:rFonts w:ascii="Palatino Linotype" w:eastAsia="Palatino Linotype" w:hAnsi="Palatino Linotype" w:cs="Palatino Linotype"/>
        </w:rPr>
        <w:t>B</w:t>
      </w:r>
      <w:r w:rsidR="00BE383C">
        <w:rPr>
          <w:rFonts w:ascii="Palatino Linotype" w:eastAsia="Palatino Linotype" w:hAnsi="Palatino Linotype" w:cs="Palatino Linotype"/>
        </w:rPr>
        <w:t>,</w:t>
      </w:r>
      <w:r w:rsidR="00BE383C">
        <w:rPr>
          <w:rFonts w:ascii="Palatino Linotype" w:eastAsia="Palatino Linotype" w:hAnsi="Palatino Linotype" w:cs="Palatino Linotype"/>
        </w:rPr>
        <w:t xml:space="preserve"> </w:t>
      </w:r>
      <w:r w:rsidR="00C34583">
        <w:rPr>
          <w:rFonts w:ascii="Palatino Linotype" w:eastAsia="Palatino Linotype" w:hAnsi="Palatino Linotype" w:cs="Palatino Linotype"/>
        </w:rPr>
        <w:t>el peso que reportan, así como lo ex</w:t>
      </w:r>
      <w:r w:rsidR="00BE383C" w:rsidRPr="00BE383C">
        <w:rPr>
          <w:rFonts w:ascii="Palatino Linotype" w:eastAsia="Palatino Linotype" w:hAnsi="Palatino Linotype" w:cs="Palatino Linotype"/>
        </w:rPr>
        <w:t xml:space="preserve">presado en su </w:t>
      </w:r>
      <w:r w:rsidR="00BE383C" w:rsidRPr="00BE383C">
        <w:rPr>
          <w:rFonts w:ascii="Palatino Linotype" w:eastAsia="Palatino Linotype" w:hAnsi="Palatino Linotype" w:cs="Palatino Linotype"/>
        </w:rPr>
        <w:lastRenderedPageBreak/>
        <w:t xml:space="preserve">solicitud para el cambio de modalidad, considerando los supuestos de su justificación con base en los artículos 158 y 164 de la Ley de Transparencia y Acceso a la Información Pública del Estado de México y Municipios, </w:t>
      </w:r>
      <w:r w:rsidR="00BE383C" w:rsidRPr="00BE383C">
        <w:rPr>
          <w:rFonts w:ascii="Palatino Linotype" w:eastAsia="Palatino Linotype" w:hAnsi="Palatino Linotype" w:cs="Palatino Linotype"/>
          <w:b/>
          <w:bCs/>
          <w:u w:val="single"/>
        </w:rPr>
        <w:t>es responsabilidad de</w:t>
      </w:r>
      <w:r w:rsidR="00C20794">
        <w:rPr>
          <w:rFonts w:ascii="Palatino Linotype" w:eastAsia="Palatino Linotype" w:hAnsi="Palatino Linotype" w:cs="Palatino Linotype"/>
          <w:b/>
          <w:bCs/>
          <w:u w:val="single"/>
        </w:rPr>
        <w:t xml:space="preserve"> </w:t>
      </w:r>
      <w:r w:rsidR="00BE383C" w:rsidRPr="00BE383C">
        <w:rPr>
          <w:rFonts w:ascii="Palatino Linotype" w:eastAsia="Palatino Linotype" w:hAnsi="Palatino Linotype" w:cs="Palatino Linotype"/>
          <w:b/>
          <w:bCs/>
          <w:u w:val="single"/>
        </w:rPr>
        <w:t>l</w:t>
      </w:r>
      <w:r w:rsidR="00C20794">
        <w:rPr>
          <w:rFonts w:ascii="Palatino Linotype" w:eastAsia="Palatino Linotype" w:hAnsi="Palatino Linotype" w:cs="Palatino Linotype"/>
          <w:b/>
          <w:bCs/>
          <w:u w:val="single"/>
        </w:rPr>
        <w:t>os</w:t>
      </w:r>
      <w:r w:rsidR="00BE383C" w:rsidRPr="00BE383C">
        <w:rPr>
          <w:rFonts w:ascii="Palatino Linotype" w:eastAsia="Palatino Linotype" w:hAnsi="Palatino Linotype" w:cs="Palatino Linotype"/>
          <w:b/>
          <w:bCs/>
          <w:u w:val="single"/>
        </w:rPr>
        <w:t xml:space="preserve"> Sujeto</w:t>
      </w:r>
      <w:r w:rsidR="00C20794">
        <w:rPr>
          <w:rFonts w:ascii="Palatino Linotype" w:eastAsia="Palatino Linotype" w:hAnsi="Palatino Linotype" w:cs="Palatino Linotype"/>
          <w:b/>
          <w:bCs/>
          <w:u w:val="single"/>
        </w:rPr>
        <w:t>s</w:t>
      </w:r>
      <w:r w:rsidR="00BE383C" w:rsidRPr="00BE383C">
        <w:rPr>
          <w:rFonts w:ascii="Palatino Linotype" w:eastAsia="Palatino Linotype" w:hAnsi="Palatino Linotype" w:cs="Palatino Linotype"/>
          <w:b/>
          <w:bCs/>
          <w:u w:val="single"/>
        </w:rPr>
        <w:t xml:space="preserve"> Obligado</w:t>
      </w:r>
      <w:r w:rsidR="00C20794">
        <w:rPr>
          <w:rFonts w:ascii="Palatino Linotype" w:eastAsia="Palatino Linotype" w:hAnsi="Palatino Linotype" w:cs="Palatino Linotype"/>
          <w:b/>
          <w:bCs/>
          <w:u w:val="single"/>
        </w:rPr>
        <w:t>s</w:t>
      </w:r>
      <w:r w:rsidR="003D2BB6" w:rsidRPr="003D2BB6">
        <w:rPr>
          <w:rFonts w:ascii="Palatino Linotype" w:eastAsia="Palatino Linotype" w:hAnsi="Palatino Linotype" w:cs="Palatino Linotype"/>
          <w:b/>
          <w:bCs/>
        </w:rPr>
        <w:t xml:space="preserve">, </w:t>
      </w:r>
      <w:r w:rsidR="003D2BB6" w:rsidRPr="003D2BB6">
        <w:rPr>
          <w:rFonts w:ascii="Palatino Linotype" w:eastAsia="Palatino Linotype" w:hAnsi="Palatino Linotype" w:cs="Palatino Linotype"/>
        </w:rPr>
        <w:t>en este caso, el cumulo de información consistente en las 10,302 hojas.</w:t>
      </w:r>
    </w:p>
    <w:p w14:paraId="70BC4350" w14:textId="6E08C676" w:rsidR="00351272" w:rsidRDefault="00500E06" w:rsidP="00500E06">
      <w:pPr>
        <w:spacing w:before="240" w:after="240" w:line="360" w:lineRule="auto"/>
        <w:jc w:val="both"/>
        <w:rPr>
          <w:rFonts w:ascii="Palatino Linotype" w:eastAsia="Palatino Linotype" w:hAnsi="Palatino Linotype" w:cs="Palatino Linotype"/>
        </w:rPr>
      </w:pPr>
      <w:r w:rsidRPr="00243EA7">
        <w:rPr>
          <w:rFonts w:ascii="Palatino Linotype" w:eastAsia="Palatino Linotype" w:hAnsi="Palatino Linotype" w:cs="Palatino Linotype"/>
        </w:rPr>
        <w:t xml:space="preserve">Derivado de los argumentos expuestos, la suscrita considera que los documentos que contienen la información que es del interés de la persona solicitante, no cuentan con las características para sobrepasar las capacidades técnicas del sistema </w:t>
      </w:r>
      <w:proofErr w:type="spellStart"/>
      <w:r w:rsidRPr="00243EA7">
        <w:rPr>
          <w:rFonts w:ascii="Palatino Linotype" w:eastAsia="Palatino Linotype" w:hAnsi="Palatino Linotype" w:cs="Palatino Linotype"/>
        </w:rPr>
        <w:t>SAIMEX</w:t>
      </w:r>
      <w:proofErr w:type="spellEnd"/>
      <w:r w:rsidRPr="00243EA7">
        <w:rPr>
          <w:rFonts w:ascii="Palatino Linotype" w:eastAsia="Palatino Linotype" w:hAnsi="Palatino Linotype" w:cs="Palatino Linotype"/>
        </w:rPr>
        <w:t>, por lo tanto, no comparto que en la resolución de los recursos de revisión al rubro citados, se hubiera validado el cambio de modalidad en la entrega de la información propuesto por el</w:t>
      </w:r>
      <w:r w:rsidRPr="00243EA7">
        <w:rPr>
          <w:rFonts w:ascii="Palatino Linotype" w:eastAsia="Palatino Linotype" w:hAnsi="Palatino Linotype" w:cs="Palatino Linotype"/>
          <w:b/>
        </w:rPr>
        <w:t xml:space="preserve"> Sujeto Obligado, </w:t>
      </w:r>
      <w:r w:rsidRPr="00243EA7">
        <w:rPr>
          <w:rFonts w:ascii="Palatino Linotype" w:eastAsia="Palatino Linotype" w:hAnsi="Palatino Linotype" w:cs="Palatino Linotype"/>
        </w:rPr>
        <w:t>y por ende, se emite el presente</w:t>
      </w:r>
      <w:r w:rsidRPr="00243EA7">
        <w:rPr>
          <w:rFonts w:ascii="Palatino Linotype" w:eastAsia="Palatino Linotype" w:hAnsi="Palatino Linotype" w:cs="Palatino Linotype"/>
          <w:b/>
        </w:rPr>
        <w:t xml:space="preserve"> voto disidente.</w:t>
      </w:r>
    </w:p>
    <w:p w14:paraId="016F3F84" w14:textId="77777777" w:rsidR="00351272" w:rsidRDefault="00351272">
      <w:pPr>
        <w:spacing w:after="0" w:line="360" w:lineRule="auto"/>
        <w:jc w:val="both"/>
        <w:rPr>
          <w:rFonts w:ascii="Palatino Linotype" w:eastAsia="Palatino Linotype" w:hAnsi="Palatino Linotype" w:cs="Palatino Linotype"/>
        </w:rPr>
      </w:pPr>
    </w:p>
    <w:p w14:paraId="23E44A5A" w14:textId="77777777" w:rsidR="00351272" w:rsidRDefault="00351272">
      <w:pPr>
        <w:spacing w:line="360" w:lineRule="auto"/>
        <w:jc w:val="both"/>
        <w:rPr>
          <w:rFonts w:ascii="Palatino Linotype" w:eastAsia="Palatino Linotype" w:hAnsi="Palatino Linotype" w:cs="Palatino Linotype"/>
        </w:rPr>
      </w:pPr>
    </w:p>
    <w:p w14:paraId="0805164C" w14:textId="77777777" w:rsidR="00351272" w:rsidRDefault="00351272">
      <w:pPr>
        <w:spacing w:line="360" w:lineRule="auto"/>
        <w:jc w:val="both"/>
        <w:rPr>
          <w:rFonts w:ascii="Palatino Linotype" w:eastAsia="Palatino Linotype" w:hAnsi="Palatino Linotype" w:cs="Palatino Linotype"/>
        </w:rPr>
      </w:pPr>
    </w:p>
    <w:p w14:paraId="4635180B" w14:textId="77777777" w:rsidR="00351272" w:rsidRDefault="00351272">
      <w:pPr>
        <w:spacing w:line="360" w:lineRule="auto"/>
        <w:jc w:val="both"/>
        <w:rPr>
          <w:rFonts w:ascii="Palatino Linotype" w:eastAsia="Palatino Linotype" w:hAnsi="Palatino Linotype" w:cs="Palatino Linotype"/>
        </w:rPr>
      </w:pPr>
    </w:p>
    <w:p w14:paraId="7DE8498D" w14:textId="77777777" w:rsidR="00351272" w:rsidRDefault="00351272">
      <w:pPr>
        <w:spacing w:line="360" w:lineRule="auto"/>
        <w:jc w:val="both"/>
        <w:rPr>
          <w:rFonts w:ascii="Palatino Linotype" w:eastAsia="Palatino Linotype" w:hAnsi="Palatino Linotype" w:cs="Palatino Linotype"/>
        </w:rPr>
      </w:pPr>
    </w:p>
    <w:p w14:paraId="535AAFCA" w14:textId="77777777" w:rsidR="00351272" w:rsidRDefault="00351272">
      <w:pPr>
        <w:spacing w:line="360" w:lineRule="auto"/>
        <w:jc w:val="both"/>
        <w:rPr>
          <w:rFonts w:ascii="Palatino Linotype" w:eastAsia="Palatino Linotype" w:hAnsi="Palatino Linotype" w:cs="Palatino Linotype"/>
        </w:rPr>
      </w:pPr>
    </w:p>
    <w:p w14:paraId="5916C51A" w14:textId="77777777" w:rsidR="00351272" w:rsidRDefault="00351272">
      <w:pPr>
        <w:spacing w:line="360" w:lineRule="auto"/>
        <w:jc w:val="both"/>
        <w:rPr>
          <w:rFonts w:ascii="Palatino Linotype" w:eastAsia="Palatino Linotype" w:hAnsi="Palatino Linotype" w:cs="Palatino Linotype"/>
        </w:rPr>
      </w:pPr>
    </w:p>
    <w:p w14:paraId="599465CA" w14:textId="77777777" w:rsidR="00351272" w:rsidRDefault="00351272">
      <w:pPr>
        <w:spacing w:line="360" w:lineRule="auto"/>
        <w:jc w:val="both"/>
        <w:rPr>
          <w:rFonts w:ascii="Palatino Linotype" w:eastAsia="Palatino Linotype" w:hAnsi="Palatino Linotype" w:cs="Palatino Linotype"/>
        </w:rPr>
      </w:pPr>
    </w:p>
    <w:p w14:paraId="2D11CD14" w14:textId="77777777" w:rsidR="00351272" w:rsidRDefault="00351272">
      <w:pPr>
        <w:spacing w:line="360" w:lineRule="auto"/>
        <w:jc w:val="both"/>
        <w:rPr>
          <w:rFonts w:ascii="Palatino Linotype" w:eastAsia="Palatino Linotype" w:hAnsi="Palatino Linotype" w:cs="Palatino Linotype"/>
        </w:rPr>
      </w:pPr>
    </w:p>
    <w:p w14:paraId="1EF531D0" w14:textId="77777777" w:rsidR="00351272" w:rsidRDefault="00351272">
      <w:pPr>
        <w:spacing w:line="360" w:lineRule="auto"/>
        <w:jc w:val="both"/>
        <w:rPr>
          <w:rFonts w:ascii="Palatino Linotype" w:eastAsia="Palatino Linotype" w:hAnsi="Palatino Linotype" w:cs="Palatino Linotype"/>
        </w:rPr>
      </w:pPr>
    </w:p>
    <w:p w14:paraId="3F84BF38" w14:textId="77777777" w:rsidR="00351272" w:rsidRDefault="00351272">
      <w:pPr>
        <w:spacing w:line="360" w:lineRule="auto"/>
        <w:jc w:val="both"/>
        <w:rPr>
          <w:rFonts w:ascii="Palatino Linotype" w:eastAsia="Palatino Linotype" w:hAnsi="Palatino Linotype" w:cs="Palatino Linotype"/>
        </w:rPr>
      </w:pPr>
    </w:p>
    <w:p w14:paraId="62A8AC32" w14:textId="77777777" w:rsidR="00351272" w:rsidRDefault="00351272">
      <w:pPr>
        <w:spacing w:line="360" w:lineRule="auto"/>
        <w:jc w:val="both"/>
        <w:rPr>
          <w:rFonts w:ascii="Palatino Linotype" w:eastAsia="Palatino Linotype" w:hAnsi="Palatino Linotype" w:cs="Palatino Linotype"/>
        </w:rPr>
      </w:pPr>
    </w:p>
    <w:p w14:paraId="7BE2E6BB" w14:textId="77777777" w:rsidR="00351272" w:rsidRDefault="00351272">
      <w:pPr>
        <w:spacing w:line="360" w:lineRule="auto"/>
        <w:jc w:val="both"/>
        <w:rPr>
          <w:rFonts w:ascii="Palatino Linotype" w:eastAsia="Palatino Linotype" w:hAnsi="Palatino Linotype" w:cs="Palatino Linotype"/>
        </w:rPr>
      </w:pPr>
    </w:p>
    <w:p w14:paraId="4ABA9BB4" w14:textId="77777777" w:rsidR="00351272" w:rsidRDefault="00351272">
      <w:pPr>
        <w:spacing w:line="360" w:lineRule="auto"/>
        <w:jc w:val="both"/>
        <w:rPr>
          <w:rFonts w:ascii="Palatino Linotype" w:eastAsia="Palatino Linotype" w:hAnsi="Palatino Linotype" w:cs="Palatino Linotype"/>
        </w:rPr>
      </w:pPr>
    </w:p>
    <w:p w14:paraId="73F42752" w14:textId="77777777" w:rsidR="00351272" w:rsidRDefault="00351272">
      <w:pPr>
        <w:spacing w:line="360" w:lineRule="auto"/>
        <w:jc w:val="both"/>
        <w:rPr>
          <w:rFonts w:ascii="Palatino Linotype" w:eastAsia="Palatino Linotype" w:hAnsi="Palatino Linotype" w:cs="Palatino Linotype"/>
        </w:rPr>
      </w:pPr>
    </w:p>
    <w:p w14:paraId="78957A4F" w14:textId="77777777" w:rsidR="00351272" w:rsidRDefault="00351272">
      <w:pPr>
        <w:spacing w:line="360" w:lineRule="auto"/>
        <w:jc w:val="both"/>
        <w:rPr>
          <w:rFonts w:ascii="Palatino Linotype" w:eastAsia="Palatino Linotype" w:hAnsi="Palatino Linotype" w:cs="Palatino Linotype"/>
        </w:rPr>
      </w:pPr>
    </w:p>
    <w:p w14:paraId="19821CEA" w14:textId="77777777" w:rsidR="00351272" w:rsidRDefault="00351272">
      <w:pPr>
        <w:spacing w:line="360" w:lineRule="auto"/>
        <w:jc w:val="both"/>
        <w:rPr>
          <w:rFonts w:ascii="Palatino Linotype" w:eastAsia="Palatino Linotype" w:hAnsi="Palatino Linotype" w:cs="Palatino Linotype"/>
        </w:rPr>
      </w:pPr>
    </w:p>
    <w:p w14:paraId="2F9C0C5C" w14:textId="77777777" w:rsidR="00351272" w:rsidRDefault="00351272">
      <w:pPr>
        <w:spacing w:line="360" w:lineRule="auto"/>
        <w:jc w:val="both"/>
        <w:rPr>
          <w:rFonts w:ascii="Palatino Linotype" w:eastAsia="Palatino Linotype" w:hAnsi="Palatino Linotype" w:cs="Palatino Linotype"/>
        </w:rPr>
      </w:pPr>
    </w:p>
    <w:p w14:paraId="1092E69D" w14:textId="77777777" w:rsidR="00351272" w:rsidRDefault="00351272">
      <w:pPr>
        <w:spacing w:line="360" w:lineRule="auto"/>
        <w:jc w:val="both"/>
        <w:rPr>
          <w:rFonts w:ascii="Palatino Linotype" w:eastAsia="Palatino Linotype" w:hAnsi="Palatino Linotype" w:cs="Palatino Linotype"/>
        </w:rPr>
      </w:pPr>
    </w:p>
    <w:p w14:paraId="6EA5C98F" w14:textId="77777777" w:rsidR="00351272" w:rsidRDefault="00351272">
      <w:pPr>
        <w:spacing w:line="360" w:lineRule="auto"/>
        <w:jc w:val="both"/>
        <w:rPr>
          <w:rFonts w:ascii="Palatino Linotype" w:eastAsia="Palatino Linotype" w:hAnsi="Palatino Linotype" w:cs="Palatino Linotype"/>
        </w:rPr>
      </w:pPr>
    </w:p>
    <w:p w14:paraId="69325973" w14:textId="77777777" w:rsidR="00351272" w:rsidRDefault="00351272">
      <w:pPr>
        <w:spacing w:line="360" w:lineRule="auto"/>
        <w:jc w:val="both"/>
        <w:rPr>
          <w:rFonts w:ascii="Palatino Linotype" w:eastAsia="Palatino Linotype" w:hAnsi="Palatino Linotype" w:cs="Palatino Linotype"/>
        </w:rPr>
      </w:pPr>
    </w:p>
    <w:p w14:paraId="4B9E7D33" w14:textId="77777777" w:rsidR="00351272" w:rsidRDefault="00351272">
      <w:pPr>
        <w:spacing w:line="360" w:lineRule="auto"/>
        <w:jc w:val="both"/>
        <w:rPr>
          <w:rFonts w:ascii="Palatino Linotype" w:eastAsia="Palatino Linotype" w:hAnsi="Palatino Linotype" w:cs="Palatino Linotype"/>
        </w:rPr>
      </w:pPr>
    </w:p>
    <w:p w14:paraId="1A35E100" w14:textId="77777777" w:rsidR="00351272" w:rsidRDefault="00351272">
      <w:pPr>
        <w:spacing w:line="360" w:lineRule="auto"/>
        <w:jc w:val="both"/>
        <w:rPr>
          <w:rFonts w:ascii="Palatino Linotype" w:eastAsia="Palatino Linotype" w:hAnsi="Palatino Linotype" w:cs="Palatino Linotype"/>
        </w:rPr>
      </w:pPr>
      <w:bookmarkStart w:id="2" w:name="_heading=h.30j0zll" w:colFirst="0" w:colLast="0"/>
      <w:bookmarkEnd w:id="2"/>
    </w:p>
    <w:sectPr w:rsidR="00351272">
      <w:headerReference w:type="default" r:id="rId9"/>
      <w:footerReference w:type="default" r:id="rId10"/>
      <w:pgSz w:w="12240" w:h="15840"/>
      <w:pgMar w:top="1985" w:right="1701" w:bottom="2552"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437D9" w14:textId="77777777" w:rsidR="00F255A7" w:rsidRDefault="00F255A7">
      <w:pPr>
        <w:spacing w:after="0" w:line="240" w:lineRule="auto"/>
      </w:pPr>
      <w:r>
        <w:separator/>
      </w:r>
    </w:p>
  </w:endnote>
  <w:endnote w:type="continuationSeparator" w:id="0">
    <w:p w14:paraId="06DE3BF6" w14:textId="77777777" w:rsidR="00F255A7" w:rsidRDefault="00F25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E37BD65-6582-445F-8CE8-515C50B6FFA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021C8289-80BA-4549-97DE-B08BA0E418B6}"/>
    <w:embedBold r:id="rId3" w:fontKey="{4255AF59-22AA-401F-93AB-535DDAAA46F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30221BE-0526-49CC-81F2-5FB380B3CA3A}"/>
  </w:font>
  <w:font w:name="Palatino Linotype">
    <w:panose1 w:val="02040502050505030304"/>
    <w:charset w:val="00"/>
    <w:family w:val="roman"/>
    <w:pitch w:val="variable"/>
    <w:sig w:usb0="E0000287" w:usb1="40000013" w:usb2="00000000" w:usb3="00000000" w:csb0="0000019F" w:csb1="00000000"/>
    <w:embedRegular r:id="rId5" w:fontKey="{9B49B0E1-7EB8-4B2C-95D6-9A0D28DE5438}"/>
    <w:embedBold r:id="rId6" w:fontKey="{A23DFC41-1062-4110-ADF3-7EE16D2301EA}"/>
    <w:embedItalic r:id="rId7" w:fontKey="{D686766B-A1F7-4F11-A04F-421B12095022}"/>
    <w:embedBoldItalic r:id="rId8" w:fontKey="{7D7D75E4-B9E5-4CAC-BC4C-44DD5828302C}"/>
  </w:font>
  <w:font w:name="Cambria">
    <w:panose1 w:val="02040503050406030204"/>
    <w:charset w:val="00"/>
    <w:family w:val="roman"/>
    <w:pitch w:val="variable"/>
    <w:sig w:usb0="E00006FF" w:usb1="420024FF" w:usb2="02000000" w:usb3="00000000" w:csb0="0000019F" w:csb1="00000000"/>
    <w:embedRegular r:id="rId9" w:fontKey="{64B92D5B-E844-431F-9460-E7D2E8A3E8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334A" w14:textId="77777777" w:rsidR="00351272" w:rsidRDefault="00F255A7">
    <w:pPr>
      <w:pBdr>
        <w:top w:val="nil"/>
        <w:left w:val="nil"/>
        <w:bottom w:val="nil"/>
        <w:right w:val="nil"/>
        <w:between w:val="nil"/>
      </w:pBdr>
      <w:tabs>
        <w:tab w:val="center" w:pos="4252"/>
        <w:tab w:val="right" w:pos="8504"/>
      </w:tabs>
      <w:spacing w:after="0" w:line="240" w:lineRule="auto"/>
      <w:jc w:val="right"/>
      <w:rPr>
        <w:color w:val="000000"/>
      </w:rPr>
    </w:pPr>
    <w:r>
      <w:rPr>
        <w:color w:val="000000"/>
      </w:rPr>
      <w:t xml:space="preserve">Página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BC6743">
      <w:rPr>
        <w:b/>
        <w:bCs/>
        <w:noProof/>
        <w:color w:val="000000"/>
        <w:sz w:val="24"/>
        <w:szCs w:val="24"/>
      </w:rPr>
      <w:t>1</w:t>
    </w:r>
    <w:r>
      <w:rPr>
        <w:b/>
        <w:bCs/>
        <w:color w:val="000000"/>
        <w:sz w:val="24"/>
        <w:szCs w:val="24"/>
      </w:rPr>
      <w:fldChar w:fldCharType="end"/>
    </w:r>
    <w:r>
      <w:rPr>
        <w:color w:val="000000"/>
      </w:rPr>
      <w:t xml:space="preserve"> de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BC6743">
      <w:rPr>
        <w:b/>
        <w:bCs/>
        <w:noProof/>
        <w:color w:val="000000"/>
        <w:sz w:val="24"/>
        <w:szCs w:val="24"/>
      </w:rPr>
      <w:t>2</w:t>
    </w:r>
    <w:r>
      <w:rPr>
        <w:b/>
        <w:bCs/>
        <w:color w:val="000000"/>
        <w:sz w:val="24"/>
        <w:szCs w:val="24"/>
      </w:rPr>
      <w:fldChar w:fldCharType="end"/>
    </w:r>
  </w:p>
  <w:p w14:paraId="0BEF5D47" w14:textId="77777777" w:rsidR="00351272" w:rsidRDefault="0035127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3B5B4" w14:textId="77777777" w:rsidR="00F255A7" w:rsidRDefault="00F255A7">
      <w:pPr>
        <w:spacing w:after="0" w:line="240" w:lineRule="auto"/>
      </w:pPr>
      <w:r>
        <w:separator/>
      </w:r>
    </w:p>
  </w:footnote>
  <w:footnote w:type="continuationSeparator" w:id="0">
    <w:p w14:paraId="5E4E80B4" w14:textId="77777777" w:rsidR="00F255A7" w:rsidRDefault="00F25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A79C" w14:textId="77777777" w:rsidR="00351272" w:rsidRDefault="00F255A7">
    <w:pPr>
      <w:widowControl w:val="0"/>
      <w:pBdr>
        <w:top w:val="nil"/>
        <w:left w:val="nil"/>
        <w:bottom w:val="nil"/>
        <w:right w:val="nil"/>
        <w:between w:val="nil"/>
      </w:pBdr>
      <w:spacing w:after="0" w:line="276" w:lineRule="auto"/>
      <w:rPr>
        <w:rFonts w:ascii="Palatino Linotype" w:eastAsia="Palatino Linotype" w:hAnsi="Palatino Linotype" w:cs="Palatino Linotype"/>
      </w:rPr>
    </w:pPr>
    <w:r>
      <w:rPr>
        <w:noProof/>
      </w:rPr>
      <w:drawing>
        <wp:anchor distT="0" distB="0" distL="0" distR="0" simplePos="0" relativeHeight="251658240" behindDoc="1" locked="0" layoutInCell="1" hidden="0" allowOverlap="1" wp14:anchorId="74A382A2" wp14:editId="3FD7827A">
          <wp:simplePos x="0" y="0"/>
          <wp:positionH relativeFrom="column">
            <wp:posOffset>-761998</wp:posOffset>
          </wp:positionH>
          <wp:positionV relativeFrom="paragraph">
            <wp:posOffset>-149858</wp:posOffset>
          </wp:positionV>
          <wp:extent cx="7521053" cy="9897494"/>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21053" cy="9897494"/>
                  </a:xfrm>
                  <a:prstGeom prst="rect">
                    <a:avLst/>
                  </a:prstGeom>
                  <a:ln/>
                </pic:spPr>
              </pic:pic>
            </a:graphicData>
          </a:graphic>
        </wp:anchor>
      </w:drawing>
    </w:r>
  </w:p>
  <w:tbl>
    <w:tblPr>
      <w:tblStyle w:val="a0"/>
      <w:tblW w:w="5382" w:type="dxa"/>
      <w:tblInd w:w="3402" w:type="dxa"/>
      <w:tblLayout w:type="fixed"/>
      <w:tblLook w:val="0400" w:firstRow="0" w:lastRow="0" w:firstColumn="0" w:lastColumn="0" w:noHBand="0" w:noVBand="1"/>
    </w:tblPr>
    <w:tblGrid>
      <w:gridCol w:w="2410"/>
      <w:gridCol w:w="2972"/>
    </w:tblGrid>
    <w:tr w:rsidR="00351272" w14:paraId="206994C8" w14:textId="77777777">
      <w:tc>
        <w:tcPr>
          <w:tcW w:w="2410" w:type="dxa"/>
          <w:vAlign w:val="center"/>
        </w:tcPr>
        <w:p w14:paraId="0EA6D5DB" w14:textId="77777777" w:rsidR="00351272" w:rsidRDefault="0035127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sz w:val="20"/>
              <w:szCs w:val="20"/>
            </w:rPr>
          </w:pPr>
        </w:p>
      </w:tc>
      <w:tc>
        <w:tcPr>
          <w:tcW w:w="2972" w:type="dxa"/>
          <w:vAlign w:val="center"/>
        </w:tcPr>
        <w:p w14:paraId="3166DF4B" w14:textId="77777777" w:rsidR="00351272" w:rsidRDefault="0035127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sz w:val="20"/>
              <w:szCs w:val="20"/>
            </w:rPr>
          </w:pPr>
        </w:p>
        <w:p w14:paraId="52910494" w14:textId="77777777" w:rsidR="00351272" w:rsidRDefault="00F255A7">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sz w:val="20"/>
              <w:szCs w:val="20"/>
            </w:rPr>
          </w:pPr>
          <w:r>
            <w:rPr>
              <w:rFonts w:ascii="Palatino Linotype" w:eastAsia="Palatino Linotype" w:hAnsi="Palatino Linotype" w:cs="Palatino Linotype"/>
              <w:b/>
              <w:bCs/>
              <w:color w:val="000000"/>
              <w:sz w:val="20"/>
              <w:szCs w:val="20"/>
            </w:rPr>
            <w:t>VOTO DISIDENTE</w:t>
          </w:r>
        </w:p>
      </w:tc>
    </w:tr>
    <w:tr w:rsidR="00351272" w14:paraId="59B801C1" w14:textId="77777777">
      <w:tc>
        <w:tcPr>
          <w:tcW w:w="2410" w:type="dxa"/>
          <w:vAlign w:val="center"/>
        </w:tcPr>
        <w:p w14:paraId="0D7D8F88" w14:textId="77777777" w:rsidR="00351272" w:rsidRDefault="00F255A7">
          <w:pPr>
            <w:tabs>
              <w:tab w:val="center" w:pos="4419"/>
              <w:tab w:val="right" w:pos="8838"/>
            </w:tabs>
            <w:spacing w:after="0" w:line="240" w:lineRule="auto"/>
            <w:jc w:val="both"/>
            <w:rPr>
              <w:rFonts w:ascii="Palatino Linotype" w:eastAsia="Palatino Linotype" w:hAnsi="Palatino Linotype" w:cs="Palatino Linotype"/>
              <w:b/>
              <w:bCs/>
              <w:color w:val="000000"/>
              <w:sz w:val="20"/>
              <w:szCs w:val="20"/>
            </w:rPr>
          </w:pPr>
          <w:r>
            <w:rPr>
              <w:rFonts w:ascii="Palatino Linotype" w:eastAsia="Palatino Linotype" w:hAnsi="Palatino Linotype" w:cs="Palatino Linotype"/>
              <w:b/>
              <w:bCs/>
              <w:color w:val="000000"/>
              <w:sz w:val="20"/>
              <w:szCs w:val="20"/>
            </w:rPr>
            <w:t>Recurso de Revisión:</w:t>
          </w:r>
        </w:p>
      </w:tc>
      <w:tc>
        <w:tcPr>
          <w:tcW w:w="2972" w:type="dxa"/>
        </w:tcPr>
        <w:p w14:paraId="24F803D6" w14:textId="77777777" w:rsidR="00351272" w:rsidRDefault="00F255A7">
          <w:pPr>
            <w:pBdr>
              <w:top w:val="nil"/>
              <w:left w:val="nil"/>
              <w:bottom w:val="nil"/>
              <w:right w:val="nil"/>
              <w:between w:val="nil"/>
            </w:pBdr>
            <w:tabs>
              <w:tab w:val="center" w:pos="4419"/>
              <w:tab w:val="right" w:pos="8838"/>
            </w:tabs>
            <w:spacing w:after="0" w:line="240" w:lineRule="auto"/>
            <w:jc w:val="both"/>
            <w:rPr>
              <w:rFonts w:ascii="Palatino Linotype" w:eastAsia="Palatino Linotype" w:hAnsi="Palatino Linotype" w:cs="Palatino Linotype"/>
              <w:b/>
              <w:bCs/>
              <w:color w:val="000000"/>
              <w:sz w:val="20"/>
              <w:szCs w:val="20"/>
            </w:rPr>
          </w:pPr>
          <w:r>
            <w:rPr>
              <w:rFonts w:ascii="Palatino Linotype" w:eastAsia="Palatino Linotype" w:hAnsi="Palatino Linotype" w:cs="Palatino Linotype"/>
              <w:b/>
              <w:bCs/>
              <w:color w:val="000000"/>
              <w:sz w:val="20"/>
              <w:szCs w:val="20"/>
            </w:rPr>
            <w:t>03280/</w:t>
          </w:r>
          <w:proofErr w:type="spellStart"/>
          <w:r>
            <w:rPr>
              <w:rFonts w:ascii="Palatino Linotype" w:eastAsia="Palatino Linotype" w:hAnsi="Palatino Linotype" w:cs="Palatino Linotype"/>
              <w:b/>
              <w:bCs/>
              <w:color w:val="000000"/>
              <w:sz w:val="20"/>
              <w:szCs w:val="20"/>
            </w:rPr>
            <w:t>INFOEM</w:t>
          </w:r>
          <w:proofErr w:type="spellEnd"/>
          <w:r>
            <w:rPr>
              <w:rFonts w:ascii="Palatino Linotype" w:eastAsia="Palatino Linotype" w:hAnsi="Palatino Linotype" w:cs="Palatino Linotype"/>
              <w:b/>
              <w:bCs/>
              <w:color w:val="000000"/>
              <w:sz w:val="20"/>
              <w:szCs w:val="20"/>
            </w:rPr>
            <w:t>/IP/</w:t>
          </w:r>
          <w:proofErr w:type="spellStart"/>
          <w:r>
            <w:rPr>
              <w:rFonts w:ascii="Palatino Linotype" w:eastAsia="Palatino Linotype" w:hAnsi="Palatino Linotype" w:cs="Palatino Linotype"/>
              <w:b/>
              <w:bCs/>
              <w:color w:val="000000"/>
              <w:sz w:val="20"/>
              <w:szCs w:val="20"/>
            </w:rPr>
            <w:t>RR</w:t>
          </w:r>
          <w:proofErr w:type="spellEnd"/>
          <w:r>
            <w:rPr>
              <w:rFonts w:ascii="Palatino Linotype" w:eastAsia="Palatino Linotype" w:hAnsi="Palatino Linotype" w:cs="Palatino Linotype"/>
              <w:b/>
              <w:bCs/>
              <w:color w:val="000000"/>
              <w:sz w:val="20"/>
              <w:szCs w:val="20"/>
            </w:rPr>
            <w:t>/2026</w:t>
          </w:r>
        </w:p>
      </w:tc>
    </w:tr>
  </w:tbl>
  <w:p w14:paraId="0328413A" w14:textId="77777777" w:rsidR="00351272" w:rsidRDefault="00351272">
    <w:pPr>
      <w:pBdr>
        <w:top w:val="nil"/>
        <w:left w:val="nil"/>
        <w:bottom w:val="nil"/>
        <w:right w:val="nil"/>
        <w:between w:val="nil"/>
      </w:pBdr>
      <w:tabs>
        <w:tab w:val="center" w:pos="4419"/>
        <w:tab w:val="right" w:pos="8838"/>
      </w:tabs>
      <w:spacing w:after="0" w:line="240" w:lineRule="auto"/>
      <w:rPr>
        <w:color w:val="000000"/>
      </w:rPr>
    </w:pPr>
  </w:p>
  <w:p w14:paraId="3A5B0811" w14:textId="77777777" w:rsidR="00351272" w:rsidRDefault="00351272">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3897"/>
    <w:multiLevelType w:val="multilevel"/>
    <w:tmpl w:val="9042CE48"/>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777809DB"/>
    <w:multiLevelType w:val="multilevel"/>
    <w:tmpl w:val="AC0CD2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07623250">
    <w:abstractNumId w:val="1"/>
  </w:num>
  <w:num w:numId="2" w16cid:durableId="1886912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272"/>
    <w:rsid w:val="00170DBF"/>
    <w:rsid w:val="00351272"/>
    <w:rsid w:val="003D2BB6"/>
    <w:rsid w:val="00500E06"/>
    <w:rsid w:val="006A49F3"/>
    <w:rsid w:val="009E5A79"/>
    <w:rsid w:val="00B85138"/>
    <w:rsid w:val="00BC6743"/>
    <w:rsid w:val="00BE383C"/>
    <w:rsid w:val="00C20794"/>
    <w:rsid w:val="00C25451"/>
    <w:rsid w:val="00C34583"/>
    <w:rsid w:val="00C82346"/>
    <w:rsid w:val="00D91E76"/>
    <w:rsid w:val="00F255A7"/>
    <w:rsid w:val="00F446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E98B"/>
  <w15:docId w15:val="{74C1F76B-B7E8-4F4E-8D03-F8DEFCD30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2917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1723"/>
  </w:style>
  <w:style w:type="paragraph" w:styleId="Piedepgina">
    <w:name w:val="footer"/>
    <w:basedOn w:val="Normal"/>
    <w:link w:val="PiedepginaCar"/>
    <w:uiPriority w:val="99"/>
    <w:unhideWhenUsed/>
    <w:rsid w:val="002917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1723"/>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BC67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DVASDHgrU5EB55l8Ulk86FSLPQ==">CgMxLjAyDmguM2xzbndteDc3MGRsMg5oLnlpbzZrcXljbnMwYzIJaC4zMGowemxsOAByITE0cTNvdjkyVEkwS0dnVDNVZDNHVUlBY01xX0FZb1hDMQ==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1410</Words>
  <Characters>7756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INFOEM619</dc:creator>
  <cp:lastModifiedBy>VIRIDIANA SANTANA</cp:lastModifiedBy>
  <cp:revision>2</cp:revision>
  <dcterms:created xsi:type="dcterms:W3CDTF">2026-09-07T18:04:00Z</dcterms:created>
  <dcterms:modified xsi:type="dcterms:W3CDTF">2026-09-07T18:04:00Z</dcterms:modified>
</cp:coreProperties>
</file>