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D8B02" w14:textId="10F1F1D9" w:rsidR="00976B1D" w:rsidRPr="00FA5A0F" w:rsidRDefault="00A5441A" w:rsidP="00820C84">
      <w:pPr>
        <w:tabs>
          <w:tab w:val="left" w:pos="1843"/>
        </w:tabs>
        <w:spacing w:after="0" w:line="360" w:lineRule="auto"/>
        <w:jc w:val="both"/>
        <w:rPr>
          <w:rFonts w:ascii="Palatino Linotype" w:hAnsi="Palatino Linotype"/>
          <w:b/>
          <w:lang w:val="es-MX"/>
        </w:rPr>
      </w:pPr>
      <w:r w:rsidRPr="00FA5A0F">
        <w:rPr>
          <w:rFonts w:ascii="Palatino Linotype" w:hAnsi="Palatino Linotype" w:cs="Tahoma"/>
          <w:b/>
        </w:rPr>
        <w:t>VOTO</w:t>
      </w:r>
      <w:r w:rsidR="009E0861" w:rsidRPr="00FA5A0F">
        <w:rPr>
          <w:rFonts w:ascii="Palatino Linotype" w:hAnsi="Palatino Linotype" w:cs="Tahoma"/>
          <w:b/>
        </w:rPr>
        <w:t xml:space="preserve"> PARTICULAR QUE FORMULA EL COMISIONADO LUIS GUSTAVO PARRA NORIEGA, </w:t>
      </w:r>
      <w:r w:rsidR="00E659E3" w:rsidRPr="00FA5A0F">
        <w:rPr>
          <w:rFonts w:ascii="Palatino Linotype" w:hAnsi="Palatino Linotype" w:cs="Tahoma"/>
          <w:b/>
        </w:rPr>
        <w:t>A</w:t>
      </w:r>
      <w:r w:rsidR="009E0861" w:rsidRPr="00FA5A0F">
        <w:rPr>
          <w:rFonts w:ascii="Palatino Linotype" w:hAnsi="Palatino Linotype" w:cs="Tahoma"/>
          <w:b/>
        </w:rPr>
        <w:t xml:space="preserve"> LA RESOLUCIÓN DEL RECURSO DE REVISIÓN </w:t>
      </w:r>
      <w:r w:rsidR="003F6215">
        <w:rPr>
          <w:rFonts w:ascii="Palatino Linotype" w:eastAsia="Palatino Linotype" w:hAnsi="Palatino Linotype" w:cs="Palatino Linotype"/>
          <w:b/>
        </w:rPr>
        <w:t>03604/INFOEM/IP/RR/2021</w:t>
      </w:r>
      <w:r w:rsidR="00A34E38" w:rsidRPr="00FA5A0F">
        <w:rPr>
          <w:rFonts w:ascii="Palatino Linotype" w:hAnsi="Palatino Linotype" w:cs="Tahoma"/>
          <w:b/>
        </w:rPr>
        <w:t xml:space="preserve">, </w:t>
      </w:r>
      <w:r w:rsidR="006563A1" w:rsidRPr="00FA5A0F">
        <w:rPr>
          <w:rFonts w:ascii="Palatino Linotype" w:hAnsi="Palatino Linotype" w:cs="Tahoma"/>
          <w:b/>
        </w:rPr>
        <w:t xml:space="preserve">PROMOVIDO EN CONTRA </w:t>
      </w:r>
      <w:r w:rsidR="00B46D61" w:rsidRPr="00FA5A0F">
        <w:rPr>
          <w:rFonts w:ascii="Palatino Linotype" w:hAnsi="Palatino Linotype" w:cs="Tahoma"/>
          <w:b/>
        </w:rPr>
        <w:t>DE</w:t>
      </w:r>
      <w:r w:rsidR="003F6215">
        <w:rPr>
          <w:rFonts w:ascii="Palatino Linotype" w:hAnsi="Palatino Linotype" w:cs="Tahoma"/>
          <w:b/>
        </w:rPr>
        <w:t xml:space="preserve"> </w:t>
      </w:r>
      <w:r w:rsidR="00B46D61" w:rsidRPr="00FA5A0F">
        <w:rPr>
          <w:rFonts w:ascii="Palatino Linotype" w:hAnsi="Palatino Linotype" w:cs="Tahoma"/>
          <w:b/>
        </w:rPr>
        <w:t>L</w:t>
      </w:r>
      <w:r w:rsidR="003F6215">
        <w:rPr>
          <w:rFonts w:ascii="Palatino Linotype" w:hAnsi="Palatino Linotype" w:cs="Tahoma"/>
          <w:b/>
        </w:rPr>
        <w:t>A</w:t>
      </w:r>
      <w:r w:rsidR="00B46D61" w:rsidRPr="00FA5A0F">
        <w:rPr>
          <w:rFonts w:ascii="Palatino Linotype" w:hAnsi="Palatino Linotype" w:cs="Tahoma"/>
          <w:b/>
        </w:rPr>
        <w:t xml:space="preserve"> </w:t>
      </w:r>
      <w:r w:rsidR="003F6215" w:rsidRPr="003F6215">
        <w:rPr>
          <w:rFonts w:ascii="Palatino Linotype" w:hAnsi="Palatino Linotype"/>
          <w:b/>
          <w:lang w:val="es-MX"/>
        </w:rPr>
        <w:t>SECRETARÍA DE EDUCACIÓN</w:t>
      </w:r>
    </w:p>
    <w:p w14:paraId="20FF4B48" w14:textId="77777777" w:rsidR="00FA5A0F" w:rsidRPr="00FA5A0F" w:rsidRDefault="00FA5A0F" w:rsidP="00820C84">
      <w:pPr>
        <w:tabs>
          <w:tab w:val="left" w:pos="1843"/>
        </w:tabs>
        <w:spacing w:after="0" w:line="360" w:lineRule="auto"/>
        <w:jc w:val="both"/>
        <w:rPr>
          <w:rFonts w:ascii="Palatino Linotype" w:hAnsi="Palatino Linotype" w:cs="Arial"/>
          <w:b/>
        </w:rPr>
      </w:pPr>
    </w:p>
    <w:p w14:paraId="560BF44F" w14:textId="2545ED2A" w:rsidR="00E659E3" w:rsidRPr="00FA5A0F" w:rsidRDefault="009F7B18" w:rsidP="00820C84">
      <w:pPr>
        <w:tabs>
          <w:tab w:val="left" w:pos="1843"/>
        </w:tabs>
        <w:spacing w:after="0" w:line="360" w:lineRule="auto"/>
        <w:jc w:val="both"/>
        <w:rPr>
          <w:rFonts w:ascii="Palatino Linotype" w:hAnsi="Palatino Linotype" w:cs="Tahoma"/>
          <w:b/>
        </w:rPr>
      </w:pPr>
      <w:r w:rsidRPr="00FA5A0F">
        <w:rPr>
          <w:rFonts w:ascii="Palatino Linotype" w:hAnsi="Palatino Linotype" w:cs="Tahoma"/>
        </w:rPr>
        <w:t xml:space="preserve">En términos de lo dispuesto por </w:t>
      </w:r>
      <w:r w:rsidR="005A5AC9" w:rsidRPr="00FA5A0F">
        <w:rPr>
          <w:rFonts w:ascii="Palatino Linotype" w:hAnsi="Palatino Linotype" w:cs="Tahoma"/>
        </w:rPr>
        <w:t>los</w:t>
      </w:r>
      <w:r w:rsidRPr="00FA5A0F">
        <w:rPr>
          <w:rFonts w:ascii="Palatino Linotype" w:hAnsi="Palatino Linotype" w:cs="Tahoma"/>
        </w:rPr>
        <w:t xml:space="preserve"> artículo</w:t>
      </w:r>
      <w:r w:rsidR="005A5AC9" w:rsidRPr="00FA5A0F">
        <w:rPr>
          <w:rFonts w:ascii="Palatino Linotype" w:hAnsi="Palatino Linotype" w:cs="Tahoma"/>
        </w:rPr>
        <w:t>s</w:t>
      </w:r>
      <w:r w:rsidRPr="00FA5A0F">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FA5A0F">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FA5A0F">
        <w:rPr>
          <w:rFonts w:ascii="Palatino Linotype" w:hAnsi="Palatino Linotype" w:cs="Tahoma"/>
        </w:rPr>
        <w:t xml:space="preserve">, emito el presente </w:t>
      </w:r>
      <w:r w:rsidRPr="00FA5A0F">
        <w:rPr>
          <w:rFonts w:ascii="Palatino Linotype" w:hAnsi="Palatino Linotype" w:cs="Tahoma"/>
          <w:b/>
        </w:rPr>
        <w:t>Voto Particular</w:t>
      </w:r>
      <w:r w:rsidRPr="00FA5A0F">
        <w:rPr>
          <w:rFonts w:ascii="Palatino Linotype" w:hAnsi="Palatino Linotype" w:cs="Tahoma"/>
        </w:rPr>
        <w:t xml:space="preserve"> </w:t>
      </w:r>
      <w:r w:rsidR="009E0861" w:rsidRPr="00FA5A0F">
        <w:rPr>
          <w:rFonts w:ascii="Palatino Linotype" w:hAnsi="Palatino Linotype" w:cs="Tahoma"/>
        </w:rPr>
        <w:t xml:space="preserve">por </w:t>
      </w:r>
      <w:r w:rsidR="00E659E3" w:rsidRPr="00FA5A0F">
        <w:rPr>
          <w:rFonts w:ascii="Palatino Linotype" w:hAnsi="Palatino Linotype" w:cs="Tahoma"/>
        </w:rPr>
        <w:t>no compartir en su totalidad las consideraciones que sustentan la Resolución del Recurso de Revisión</w:t>
      </w:r>
      <w:r w:rsidR="00405FE0" w:rsidRPr="00FA5A0F">
        <w:rPr>
          <w:rFonts w:ascii="Palatino Linotype" w:hAnsi="Palatino Linotype" w:cs="Tahoma"/>
        </w:rPr>
        <w:t xml:space="preserve"> </w:t>
      </w:r>
      <w:r w:rsidR="003F6215">
        <w:rPr>
          <w:rFonts w:ascii="Palatino Linotype" w:eastAsia="Palatino Linotype" w:hAnsi="Palatino Linotype" w:cs="Palatino Linotype"/>
          <w:b/>
        </w:rPr>
        <w:t>03604/INFOEM/IP/RR/2021</w:t>
      </w:r>
      <w:r w:rsidR="00DA6903" w:rsidRPr="00FA5A0F">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12A6ED37" w14:textId="6751AF07" w:rsidR="00FA5A0F"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563C78">
        <w:rPr>
          <w:rFonts w:ascii="Palatino Linotype" w:hAnsi="Palatino Linotype" w:cs="Tahoma"/>
        </w:rPr>
        <w:t xml:space="preserve"> </w:t>
      </w:r>
      <w:r w:rsidR="003F6215">
        <w:rPr>
          <w:rFonts w:ascii="Palatino Linotype" w:hAnsi="Palatino Linotype" w:cs="Tahoma"/>
        </w:rPr>
        <w:t>diversa información entre ella,</w:t>
      </w:r>
      <w:r w:rsidR="00307191">
        <w:rPr>
          <w:rFonts w:ascii="Palatino Linotype" w:hAnsi="Palatino Linotype" w:cs="Tahoma"/>
        </w:rPr>
        <w:t xml:space="preserve"> l</w:t>
      </w:r>
      <w:r w:rsidR="003F6215">
        <w:rPr>
          <w:rFonts w:ascii="Palatino Linotype" w:hAnsi="Palatino Linotype" w:cs="Tahoma"/>
        </w:rPr>
        <w:t xml:space="preserve">a memoria documental de lo recibido en la Unidad de Transparencia durante varios años; en respuesta, el Sujeto Obligado entregó documentación respecto a varios puntos, también señaló que respecto a la memoria documental, esta corresponde a un aproximado de diez mil hojas y que por tanto, se ponía a disposición del Particular en consulta directa; ante lo cual, el hoy Recurrente planteó su inconformidad; así pues, la Ponencia </w:t>
      </w:r>
      <w:proofErr w:type="spellStart"/>
      <w:r w:rsidR="003F6215">
        <w:rPr>
          <w:rFonts w:ascii="Palatino Linotype" w:hAnsi="Palatino Linotype" w:cs="Tahoma"/>
        </w:rPr>
        <w:t>Resolutora</w:t>
      </w:r>
      <w:proofErr w:type="spellEnd"/>
      <w:r w:rsidR="003F6215">
        <w:rPr>
          <w:rFonts w:ascii="Palatino Linotype" w:hAnsi="Palatino Linotype" w:cs="Tahoma"/>
        </w:rPr>
        <w:t xml:space="preserve"> determinó procedente ordenar la entrega de la información faltante vía </w:t>
      </w:r>
      <w:r w:rsidR="003F6215" w:rsidRPr="003F6215">
        <w:rPr>
          <w:rFonts w:ascii="Palatino Linotype" w:hAnsi="Palatino Linotype" w:cs="Tahoma"/>
        </w:rPr>
        <w:t>Sistema de Acceso a la Información Mexiquense (SAIMEX).</w:t>
      </w:r>
    </w:p>
    <w:p w14:paraId="7840D5EF" w14:textId="77777777" w:rsidR="003F6215" w:rsidRDefault="003F6215" w:rsidP="002A189F">
      <w:pPr>
        <w:spacing w:after="0" w:line="360" w:lineRule="auto"/>
        <w:jc w:val="both"/>
        <w:rPr>
          <w:rFonts w:ascii="Palatino Linotype" w:hAnsi="Palatino Linotype" w:cs="Tahoma"/>
        </w:rPr>
      </w:pPr>
    </w:p>
    <w:p w14:paraId="60EA9E0E" w14:textId="4F8EC067" w:rsidR="003F6215" w:rsidRDefault="003F6215" w:rsidP="002A189F">
      <w:pPr>
        <w:spacing w:after="0" w:line="360" w:lineRule="auto"/>
        <w:jc w:val="both"/>
        <w:rPr>
          <w:rFonts w:ascii="Palatino Linotype" w:hAnsi="Palatino Linotype" w:cs="Tahoma"/>
        </w:rPr>
      </w:pPr>
      <w:r>
        <w:rPr>
          <w:rFonts w:ascii="Palatino Linotype" w:hAnsi="Palatino Linotype" w:cs="Tahoma"/>
        </w:rPr>
        <w:t xml:space="preserve">En este sentido, si bien comparto el sentido de la Resolución, lo cierto es, que no coincido con determinar improcedente el cambio de modalidad; ello en virtud de que el Sujeto </w:t>
      </w:r>
      <w:r>
        <w:rPr>
          <w:rFonts w:ascii="Palatino Linotype" w:hAnsi="Palatino Linotype" w:cs="Tahoma"/>
        </w:rPr>
        <w:lastRenderedPageBreak/>
        <w:t xml:space="preserve">Obligado indicó en respuesta argumentos que permiten acreditar que cuenta con una imposibilidad técnica para la entrega de la información vía </w:t>
      </w:r>
      <w:r w:rsidRPr="003F6215">
        <w:rPr>
          <w:rFonts w:ascii="Palatino Linotype" w:hAnsi="Palatino Linotype" w:cs="Tahoma"/>
        </w:rPr>
        <w:t>Sistema de Acceso a la Información Mexiquense (SAIMEX).</w:t>
      </w:r>
    </w:p>
    <w:p w14:paraId="774D651D" w14:textId="77777777" w:rsidR="003F6215" w:rsidRDefault="003F6215" w:rsidP="002A189F">
      <w:pPr>
        <w:spacing w:after="0" w:line="360" w:lineRule="auto"/>
        <w:jc w:val="both"/>
        <w:rPr>
          <w:rFonts w:ascii="Palatino Linotype" w:hAnsi="Palatino Linotype" w:cs="Tahoma"/>
        </w:rPr>
      </w:pPr>
    </w:p>
    <w:p w14:paraId="6A5C3446" w14:textId="3F00DAC9" w:rsidR="003F6215" w:rsidRDefault="003F6215" w:rsidP="002A189F">
      <w:pPr>
        <w:spacing w:after="0" w:line="360" w:lineRule="auto"/>
        <w:jc w:val="both"/>
        <w:rPr>
          <w:rFonts w:ascii="Palatino Linotype" w:hAnsi="Palatino Linotype" w:cs="Tahoma"/>
        </w:rPr>
      </w:pPr>
      <w:r>
        <w:rPr>
          <w:rFonts w:ascii="Palatino Linotype" w:hAnsi="Palatino Linotype" w:cs="Tahoma"/>
        </w:rPr>
        <w:t xml:space="preserve">Esto es así, ya que en respuesta, indicó que la cantidad de documentos que implican los registros de memoria documental de la Subdirección Regional de Educación Básica de Amecameca desde el año 2019 a la fecha de la solicitud, corresponde a un aproximado de diez mil hojas; en este sentido, la Ponencia </w:t>
      </w:r>
      <w:proofErr w:type="spellStart"/>
      <w:r>
        <w:rPr>
          <w:rFonts w:ascii="Palatino Linotype" w:hAnsi="Palatino Linotype" w:cs="Tahoma"/>
        </w:rPr>
        <w:t>Resolutora</w:t>
      </w:r>
      <w:proofErr w:type="spellEnd"/>
      <w:r>
        <w:rPr>
          <w:rFonts w:ascii="Palatino Linotype" w:hAnsi="Palatino Linotype" w:cs="Tahoma"/>
        </w:rPr>
        <w:t xml:space="preserve"> determinó que al no existir un registro de incidencia en la bitácora que para tales efectos lleva la Dirección General de Informática de este Instituto, entonces, no se acreditó una imposibilidad técnica.</w:t>
      </w:r>
    </w:p>
    <w:p w14:paraId="0314FC93" w14:textId="77777777" w:rsidR="003F6215" w:rsidRDefault="003F6215" w:rsidP="002A189F">
      <w:pPr>
        <w:spacing w:after="0" w:line="360" w:lineRule="auto"/>
        <w:jc w:val="both"/>
        <w:rPr>
          <w:rFonts w:ascii="Palatino Linotype" w:hAnsi="Palatino Linotype" w:cs="Tahoma"/>
        </w:rPr>
      </w:pPr>
    </w:p>
    <w:p w14:paraId="572A3C76" w14:textId="4C03DE15" w:rsidR="003F6215" w:rsidRDefault="003F6215" w:rsidP="002A189F">
      <w:pPr>
        <w:spacing w:after="0" w:line="360" w:lineRule="auto"/>
        <w:jc w:val="both"/>
        <w:rPr>
          <w:rFonts w:ascii="Palatino Linotype" w:hAnsi="Palatino Linotype" w:cs="Tahoma"/>
        </w:rPr>
      </w:pPr>
      <w:r>
        <w:rPr>
          <w:rFonts w:ascii="Palatino Linotype" w:hAnsi="Palatino Linotype" w:cs="Tahoma"/>
        </w:rPr>
        <w:t xml:space="preserve">Al respecto, considero que se debe tomar en consideración que en el desarrollo del análisis formulado por la Ponencia </w:t>
      </w:r>
      <w:proofErr w:type="spellStart"/>
      <w:r>
        <w:rPr>
          <w:rFonts w:ascii="Palatino Linotype" w:hAnsi="Palatino Linotype" w:cs="Tahoma"/>
        </w:rPr>
        <w:t>Resolutora</w:t>
      </w:r>
      <w:proofErr w:type="spellEnd"/>
      <w:r>
        <w:rPr>
          <w:rFonts w:ascii="Palatino Linotype" w:hAnsi="Palatino Linotype" w:cs="Tahoma"/>
        </w:rPr>
        <w:t xml:space="preserve">, se pidió a la Dirección General de Informática, que señalara si el Sujeto Obligado había realizado algún registro de incidencia, en el que se diera constancia de registro de una imposibilidad técnica para entregar la información vía </w:t>
      </w:r>
      <w:r w:rsidRPr="003F6215">
        <w:rPr>
          <w:rFonts w:ascii="Palatino Linotype" w:hAnsi="Palatino Linotype" w:cs="Tahoma"/>
        </w:rPr>
        <w:t xml:space="preserve">Sistema de Acceso a la </w:t>
      </w:r>
      <w:r>
        <w:rPr>
          <w:rFonts w:ascii="Palatino Linotype" w:hAnsi="Palatino Linotype" w:cs="Tahoma"/>
        </w:rPr>
        <w:t>Información Mexiquense (SAIMEX), en respuesta, la Dirección General de Informática, indicó lo siguiente:</w:t>
      </w:r>
    </w:p>
    <w:p w14:paraId="5953FA20" w14:textId="77777777" w:rsidR="003F6215" w:rsidRDefault="003F6215" w:rsidP="002A189F">
      <w:pPr>
        <w:spacing w:after="0" w:line="360" w:lineRule="auto"/>
        <w:jc w:val="both"/>
        <w:rPr>
          <w:rFonts w:ascii="Palatino Linotype" w:hAnsi="Palatino Linotype" w:cs="Tahoma"/>
        </w:rPr>
      </w:pPr>
    </w:p>
    <w:p w14:paraId="3ED3BAD3" w14:textId="2C9A0311" w:rsidR="003F6215" w:rsidRDefault="00307191" w:rsidP="002A189F">
      <w:pPr>
        <w:spacing w:after="0" w:line="360" w:lineRule="auto"/>
        <w:jc w:val="both"/>
        <w:rPr>
          <w:rFonts w:ascii="Palatino Linotype" w:hAnsi="Palatino Linotype" w:cs="Tahoma"/>
        </w:rPr>
      </w:pPr>
      <w:r>
        <w:rPr>
          <w:rFonts w:ascii="Palatino Linotype" w:eastAsia="Palatino Linotype" w:hAnsi="Palatino Linotype" w:cs="Palatino Linotype"/>
          <w:noProof/>
          <w:lang w:val="es-MX"/>
        </w:rPr>
        <w:lastRenderedPageBreak/>
        <w:drawing>
          <wp:inline distT="0" distB="0" distL="0" distR="0" wp14:anchorId="2B7478AC" wp14:editId="2C20A0EB">
            <wp:extent cx="5353797" cy="2905530"/>
            <wp:effectExtent l="19050" t="19050" r="18415" b="28575"/>
            <wp:docPr id="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353797" cy="2905530"/>
                    </a:xfrm>
                    <a:prstGeom prst="rect">
                      <a:avLst/>
                    </a:prstGeom>
                    <a:ln>
                      <a:solidFill>
                        <a:schemeClr val="accent1"/>
                      </a:solidFill>
                    </a:ln>
                  </pic:spPr>
                </pic:pic>
              </a:graphicData>
            </a:graphic>
          </wp:inline>
        </w:drawing>
      </w:r>
    </w:p>
    <w:p w14:paraId="3031D501" w14:textId="77777777" w:rsidR="00307191" w:rsidRDefault="00307191" w:rsidP="002A189F">
      <w:pPr>
        <w:spacing w:after="0" w:line="360" w:lineRule="auto"/>
        <w:jc w:val="both"/>
        <w:rPr>
          <w:rFonts w:ascii="Palatino Linotype" w:hAnsi="Palatino Linotype" w:cs="Tahoma"/>
        </w:rPr>
      </w:pPr>
    </w:p>
    <w:p w14:paraId="20A985B4" w14:textId="0258D6F7" w:rsidR="00307191" w:rsidRDefault="00307191" w:rsidP="002A189F">
      <w:pPr>
        <w:spacing w:after="0" w:line="360" w:lineRule="auto"/>
        <w:jc w:val="both"/>
        <w:rPr>
          <w:rFonts w:ascii="Palatino Linotype" w:hAnsi="Palatino Linotype" w:cs="Tahoma"/>
        </w:rPr>
      </w:pPr>
      <w:r>
        <w:rPr>
          <w:rFonts w:ascii="Palatino Linotype" w:hAnsi="Palatino Linotype" w:cs="Tahoma"/>
        </w:rPr>
        <w:t xml:space="preserve">Así pues, como se observa del correo emitido por la Dirección General de Informática; la cantidad de documentación que se puede adjuntar al </w:t>
      </w:r>
      <w:r w:rsidRPr="00307191">
        <w:rPr>
          <w:rFonts w:ascii="Palatino Linotype" w:hAnsi="Palatino Linotype" w:cs="Tahoma"/>
        </w:rPr>
        <w:t xml:space="preserve">Sistema de Acceso a la </w:t>
      </w:r>
      <w:r>
        <w:rPr>
          <w:rFonts w:ascii="Palatino Linotype" w:hAnsi="Palatino Linotype" w:cs="Tahoma"/>
        </w:rPr>
        <w:t>Información Mexiquense (SAIMEX) corresponde a ocho mil hojas; cantidad que resulta menor a la que deberá entregar el Sujeto Obligado.</w:t>
      </w:r>
    </w:p>
    <w:p w14:paraId="7CED5CE1" w14:textId="77777777" w:rsidR="00307191" w:rsidRDefault="00307191" w:rsidP="002A189F">
      <w:pPr>
        <w:spacing w:after="0" w:line="360" w:lineRule="auto"/>
        <w:jc w:val="both"/>
        <w:rPr>
          <w:rFonts w:ascii="Palatino Linotype" w:hAnsi="Palatino Linotype" w:cs="Tahoma"/>
        </w:rPr>
      </w:pPr>
    </w:p>
    <w:p w14:paraId="73F2EC87" w14:textId="5CFDBB10" w:rsidR="00307191" w:rsidRDefault="00307191" w:rsidP="002A189F">
      <w:pPr>
        <w:spacing w:after="0" w:line="360" w:lineRule="auto"/>
        <w:jc w:val="both"/>
        <w:rPr>
          <w:rFonts w:ascii="Palatino Linotype" w:hAnsi="Palatino Linotype" w:cs="Tahoma"/>
        </w:rPr>
      </w:pPr>
      <w:r>
        <w:rPr>
          <w:rFonts w:ascii="Palatino Linotype" w:hAnsi="Palatino Linotype" w:cs="Tahoma"/>
        </w:rPr>
        <w:t xml:space="preserve">En atención a lo anterior, resulta lógico que el Sujeto Obligado se verá imposibilitado a entregar la información vía </w:t>
      </w:r>
      <w:r w:rsidRPr="00307191">
        <w:rPr>
          <w:rFonts w:ascii="Palatino Linotype" w:hAnsi="Palatino Linotype" w:cs="Tahoma"/>
        </w:rPr>
        <w:t xml:space="preserve">Sistema de Acceso a la </w:t>
      </w:r>
      <w:r>
        <w:rPr>
          <w:rFonts w:ascii="Palatino Linotype" w:hAnsi="Palatino Linotype" w:cs="Tahoma"/>
        </w:rPr>
        <w:t xml:space="preserve">Información Mexiquense (SAIMEX), pues claramente indicó en respuesta, que la documentación corresponde a un aproximado de diez mil hojas, es decir, que rebasa la cantidad que soporta el sistema; en consecuencia, resulta evidente la existencia de una imposibilidad técnica, que debió haber sido analizada por la Ponencia </w:t>
      </w:r>
      <w:proofErr w:type="spellStart"/>
      <w:r>
        <w:rPr>
          <w:rFonts w:ascii="Palatino Linotype" w:hAnsi="Palatino Linotype" w:cs="Tahoma"/>
        </w:rPr>
        <w:t>Resolutora</w:t>
      </w:r>
      <w:proofErr w:type="spellEnd"/>
      <w:r>
        <w:rPr>
          <w:rFonts w:ascii="Palatino Linotype" w:hAnsi="Palatino Linotype" w:cs="Tahoma"/>
        </w:rPr>
        <w:t>.</w:t>
      </w:r>
    </w:p>
    <w:p w14:paraId="6503803C" w14:textId="77777777" w:rsidR="00307191" w:rsidRDefault="00307191" w:rsidP="002A189F">
      <w:pPr>
        <w:spacing w:after="0" w:line="360" w:lineRule="auto"/>
        <w:jc w:val="both"/>
        <w:rPr>
          <w:rFonts w:ascii="Palatino Linotype" w:hAnsi="Palatino Linotype" w:cs="Tahoma"/>
        </w:rPr>
      </w:pPr>
    </w:p>
    <w:p w14:paraId="183A777D" w14:textId="652771EF" w:rsidR="00307191" w:rsidRDefault="00307191" w:rsidP="002A189F">
      <w:pPr>
        <w:spacing w:after="0" w:line="360" w:lineRule="auto"/>
        <w:jc w:val="both"/>
        <w:rPr>
          <w:rFonts w:ascii="Palatino Linotype" w:hAnsi="Palatino Linotype" w:cs="Tahoma"/>
        </w:rPr>
      </w:pPr>
      <w:r>
        <w:rPr>
          <w:rFonts w:ascii="Palatino Linotype" w:hAnsi="Palatino Linotype" w:cs="Tahoma"/>
        </w:rPr>
        <w:t xml:space="preserve">En este sentido, considero que se debió acreditar una imposibilidad técnica, pues la cantidad de hojas que comprende la información rebasa lo que permite el </w:t>
      </w:r>
      <w:r w:rsidRPr="00307191">
        <w:rPr>
          <w:rFonts w:ascii="Palatino Linotype" w:hAnsi="Palatino Linotype" w:cs="Tahoma"/>
        </w:rPr>
        <w:t xml:space="preserve">Sistema de Acceso a la </w:t>
      </w:r>
      <w:r>
        <w:rPr>
          <w:rFonts w:ascii="Palatino Linotype" w:hAnsi="Palatino Linotype" w:cs="Tahoma"/>
        </w:rPr>
        <w:t xml:space="preserve">Información Mexiquense (SAIMEX); además de que, el registro de la incidencia en la </w:t>
      </w:r>
      <w:r>
        <w:rPr>
          <w:rFonts w:ascii="Palatino Linotype" w:hAnsi="Palatino Linotype" w:cs="Tahoma"/>
        </w:rPr>
        <w:lastRenderedPageBreak/>
        <w:t xml:space="preserve">bitácora, no resulta un elemento indispensable para que tenga lugar la imposibilidad técnica, sino que es una herramienta para orientar a los Sujetos Obligados en aspectos especializados sobre la plataforma. </w:t>
      </w:r>
    </w:p>
    <w:p w14:paraId="03415F53" w14:textId="77777777" w:rsidR="005A5AC9" w:rsidRDefault="005A5AC9" w:rsidP="002A189F">
      <w:pPr>
        <w:spacing w:after="0" w:line="360" w:lineRule="auto"/>
        <w:jc w:val="both"/>
        <w:rPr>
          <w:rFonts w:ascii="Palatino Linotype" w:hAnsi="Palatino Linotype" w:cs="Tahoma"/>
        </w:rPr>
      </w:pPr>
    </w:p>
    <w:p w14:paraId="6AF2ADC5" w14:textId="436F130D" w:rsidR="006C275C" w:rsidRDefault="00307191" w:rsidP="00DF675F">
      <w:pPr>
        <w:spacing w:after="0" w:line="360" w:lineRule="auto"/>
        <w:jc w:val="both"/>
        <w:rPr>
          <w:rFonts w:ascii="Palatino Linotype" w:hAnsi="Palatino Linotype" w:cs="Tahoma"/>
        </w:rPr>
      </w:pPr>
      <w:r>
        <w:rPr>
          <w:rFonts w:ascii="Palatino Linotype" w:hAnsi="Palatino Linotype" w:cs="Tahoma"/>
        </w:rPr>
        <w:t xml:space="preserve">Por lo tanto, considero que se debió tener por acreditada la imposibilidad técnica del Sujeto Obligado para hacer entrega de la información en la modalidad solicitada y determinar procedente el cambio de modalidad a consulta directa. </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602E8" w14:textId="77777777" w:rsidR="00963F25" w:rsidRDefault="00963F25" w:rsidP="00EE29F6">
      <w:pPr>
        <w:spacing w:after="0" w:line="240" w:lineRule="auto"/>
      </w:pPr>
      <w:r>
        <w:separator/>
      </w:r>
    </w:p>
  </w:endnote>
  <w:endnote w:type="continuationSeparator" w:id="0">
    <w:p w14:paraId="5C927C53" w14:textId="77777777" w:rsidR="00963F25" w:rsidRDefault="00963F2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08E3" w14:textId="77777777" w:rsidR="00307191" w:rsidRDefault="003071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07191">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7191">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5BE" w14:textId="77777777" w:rsidR="00307191" w:rsidRDefault="003071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32FD3" w14:textId="77777777" w:rsidR="00963F25" w:rsidRDefault="00963F25" w:rsidP="00EE29F6">
      <w:pPr>
        <w:spacing w:after="0" w:line="240" w:lineRule="auto"/>
      </w:pPr>
      <w:r>
        <w:separator/>
      </w:r>
    </w:p>
  </w:footnote>
  <w:footnote w:type="continuationSeparator" w:id="0">
    <w:p w14:paraId="3C47DB42" w14:textId="77777777" w:rsidR="00963F25" w:rsidRDefault="00963F2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C406" w14:textId="77777777" w:rsidR="00307191" w:rsidRDefault="003071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5FE331B8" w:rsidR="00976B1D" w:rsidRDefault="00F977D8" w:rsidP="00976B1D">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3F6215">
            <w:rPr>
              <w:rFonts w:ascii="Palatino Linotype" w:eastAsia="Palatino Linotype" w:hAnsi="Palatino Linotype" w:cs="Palatino Linotype"/>
              <w:b/>
            </w:rPr>
            <w:t>03604/INFOEM/IP/RR/2021</w:t>
          </w:r>
        </w:p>
        <w:p w14:paraId="04583972" w14:textId="7BAAD774" w:rsidR="00DA6903" w:rsidRPr="00976B1D" w:rsidRDefault="00DF2784" w:rsidP="00976B1D">
          <w:pPr>
            <w:pStyle w:val="Encabezado"/>
            <w:jc w:val="both"/>
            <w:rPr>
              <w:rFonts w:ascii="Palatino Linotype" w:eastAsia="Calibri" w:hAnsi="Palatino Linotype" w:cs="Tahoma"/>
            </w:rPr>
          </w:pPr>
          <w:r w:rsidRPr="00085241">
            <w:rPr>
              <w:rFonts w:ascii="Palatino Linotype" w:hAnsi="Palatino Linotype" w:cs="Tahoma"/>
              <w:b/>
            </w:rPr>
            <w:t>Sujeto Obligado:</w:t>
          </w:r>
          <w:r w:rsidR="00976B1D">
            <w:rPr>
              <w:rFonts w:ascii="Palatino Linotype" w:hAnsi="Palatino Linotype" w:cs="Tahoma"/>
              <w:b/>
            </w:rPr>
            <w:t xml:space="preserve"> </w:t>
          </w:r>
          <w:r w:rsidR="003F6215" w:rsidRPr="003F6215">
            <w:rPr>
              <w:rFonts w:ascii="Palatino Linotype" w:eastAsia="Calibri" w:hAnsi="Palatino Linotype" w:cs="Tahoma"/>
            </w:rPr>
            <w:t>Secretaría de Educación</w:t>
          </w:r>
        </w:p>
        <w:p w14:paraId="560BF489" w14:textId="2AF56EC7"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307191" w:rsidRPr="00307191">
            <w:rPr>
              <w:rFonts w:ascii="Palatino Linotype" w:eastAsia="Calibri" w:hAnsi="Palatino Linotype" w:cs="Tahoma"/>
            </w:rPr>
            <w:t xml:space="preserve">Guadalupe Ramírez </w:t>
          </w:r>
          <w:r w:rsidR="00307191" w:rsidRPr="00307191">
            <w:rPr>
              <w:rFonts w:ascii="Palatino Linotype" w:eastAsia="Calibri" w:hAnsi="Palatino Linotype" w:cs="Tahoma"/>
            </w:rPr>
            <w:t>Peña</w:t>
          </w:r>
          <w:bookmarkStart w:id="0" w:name="_GoBack"/>
          <w:bookmarkEnd w:id="0"/>
        </w:p>
      </w:tc>
    </w:tr>
  </w:tbl>
  <w:p w14:paraId="560BF48B" w14:textId="47A07007" w:rsidR="00363357" w:rsidRPr="001106EA" w:rsidRDefault="00363357">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4E948" w14:textId="77777777" w:rsidR="00307191" w:rsidRDefault="003071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3301"/>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7191"/>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6215"/>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3C78"/>
    <w:rsid w:val="00567733"/>
    <w:rsid w:val="00582CCB"/>
    <w:rsid w:val="00584D73"/>
    <w:rsid w:val="0059329D"/>
    <w:rsid w:val="005965EC"/>
    <w:rsid w:val="005A2510"/>
    <w:rsid w:val="005A5AC9"/>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275C"/>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6B1D"/>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9711-9321-4B0E-B4B0-08AC1573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721</Words>
  <Characters>3968</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7</cp:revision>
  <cp:lastPrinted>2019-12-16T20:14:00Z</cp:lastPrinted>
  <dcterms:created xsi:type="dcterms:W3CDTF">2021-10-29T01:02:00Z</dcterms:created>
  <dcterms:modified xsi:type="dcterms:W3CDTF">2021-11-19T22:53:00Z</dcterms:modified>
</cp:coreProperties>
</file>